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723265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748665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w:t>
      </w:r>
    </w:p>
    <w:p>
      <w:pPr>
        <w:spacing w:after="0" w:line="19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3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___________________</w:t>
      </w:r>
    </w:p>
    <w:p>
      <w:pPr>
        <w:sectPr>
          <w:pgSz w:w="11900" w:h="16838" w:orient="portrait"/>
          <w:cols w:equalWidth="0" w:num="1">
            <w:col w:w="10139"/>
          </w:cols>
          <w:pgMar w:left="320" w:top="1440" w:right="1440" w:bottom="1440" w:gutter="0" w:footer="0" w:header="0"/>
        </w:sectPr>
      </w:pPr>
    </w:p>
    <w:p>
      <w:pPr>
        <w:spacing w:after="0" w:line="267" w:lineRule="exact"/>
        <w:rPr>
          <w:sz w:val="24"/>
          <w:szCs w:val="24"/>
          <w:color w:val="auto"/>
        </w:rPr>
      </w:pPr>
    </w:p>
    <w:p>
      <w:pPr>
        <w:ind w:left="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840" w:space="700"/>
            <w:col w:w="7599"/>
          </w:cols>
          <w:pgMar w:left="320" w:top="1440" w:right="1440"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5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382"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8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No fee required.</w:t>
      </w:r>
    </w:p>
    <w:p>
      <w:pPr>
        <w:spacing w:after="0" w:line="113"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460" w:hanging="434"/>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2882265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2908300</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168910</wp:posOffset>
            </wp:positionV>
            <wp:extent cx="204914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91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are cordially invited to attend the 2022 annual meeting of stockholders on Thursday, April 28, 2022, in the auditorium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stockholder proposal to permit a combined 10% of stockholders to call a special meeting,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March 2, 2022, are entitled to vote at the annual meeting.</w:t>
      </w:r>
    </w:p>
    <w:p>
      <w:pPr>
        <w:spacing w:after="0" w:line="20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urge you to vote your shares as promptly as possible by (1) accessing the voting website, (2) calling the toll-free number or (3) signing, dating and mailing the enclosed proxy.</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220281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8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Cynthia Hoff Trochu</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Secretary and General Counsel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242424"/>
        </w:rPr>
        <w:t>2022 PROXY STATEMENT • PAGE 1</w:t>
      </w:r>
    </w:p>
    <w:p>
      <w:pPr>
        <w:sectPr>
          <w:pgSz w:w="11900" w:h="16838" w:orient="portrait"/>
          <w:cols w:equalWidth="0" w:num="1">
            <w:col w:w="11100"/>
          </w:cols>
          <w:pgMar w:left="320" w:top="769"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11020"/>
          </w:cols>
          <w:pgMar w:left="340" w:top="769" w:right="5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18"/>
          <w:szCs w:val="18"/>
          <w:color w:val="auto"/>
        </w:rPr>
      </w:pPr>
      <w:hyperlink w:anchor="page3">
        <w:r>
          <w:rPr>
            <w:rFonts w:ascii="Arial" w:cs="Arial" w:eastAsia="Arial" w:hAnsi="Arial"/>
            <w:sz w:val="18"/>
            <w:szCs w:val="18"/>
            <w:color w:val="auto"/>
          </w:rPr>
          <w:t>Voting procedures, quorum and attendance requirements</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5">
        <w:r>
          <w:rPr>
            <w:rFonts w:ascii="Arial" w:cs="Arial" w:eastAsia="Arial" w:hAnsi="Arial"/>
            <w:sz w:val="18"/>
            <w:szCs w:val="18"/>
            <w:color w:val="auto"/>
          </w:rPr>
          <w:t>Important governance update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5">
        <w:r>
          <w:rPr>
            <w:rFonts w:ascii="Arial" w:cs="Arial" w:eastAsia="Arial" w:hAnsi="Arial"/>
            <w:sz w:val="18"/>
            <w:szCs w:val="18"/>
            <w:color w:val="auto"/>
          </w:rPr>
          <w:t>Election of directors</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5">
        <w:r>
          <w:rPr>
            <w:rFonts w:ascii="Arial" w:cs="Arial" w:eastAsia="Arial" w:hAnsi="Arial"/>
            <w:sz w:val="18"/>
            <w:szCs w:val="18"/>
            <w:color w:val="auto"/>
          </w:rPr>
          <w:t>Director nominees, qualifications and experience</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1">
        <w:r>
          <w:rPr>
            <w:rFonts w:ascii="Arial" w:cs="Arial" w:eastAsia="Arial" w:hAnsi="Arial"/>
            <w:sz w:val="18"/>
            <w:szCs w:val="18"/>
            <w:color w:val="auto"/>
          </w:rPr>
          <w:t>Director nomination process</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2">
        <w:r>
          <w:rPr>
            <w:rFonts w:ascii="Arial" w:cs="Arial" w:eastAsia="Arial" w:hAnsi="Arial"/>
            <w:sz w:val="18"/>
            <w:szCs w:val="18"/>
            <w:color w:val="auto"/>
          </w:rPr>
          <w:t>Communications with the board</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2">
        <w:r>
          <w:rPr>
            <w:rFonts w:ascii="Arial" w:cs="Arial" w:eastAsia="Arial" w:hAnsi="Arial"/>
            <w:sz w:val="18"/>
            <w:szCs w:val="18"/>
            <w:color w:val="auto"/>
          </w:rPr>
          <w:t>Corporate governance</w:t>
        </w:r>
      </w:hyperlink>
    </w:p>
    <w:p>
      <w:pPr>
        <w:spacing w:after="0" w:line="63" w:lineRule="exact"/>
        <w:rPr>
          <w:sz w:val="20"/>
          <w:szCs w:val="20"/>
          <w:color w:val="auto"/>
        </w:rPr>
      </w:pPr>
    </w:p>
    <w:p>
      <w:pPr>
        <w:ind w:left="240" w:right="160"/>
        <w:spacing w:after="0" w:line="261" w:lineRule="auto"/>
        <w:rPr>
          <w:rFonts w:ascii="Arial" w:cs="Arial" w:eastAsia="Arial" w:hAnsi="Arial"/>
          <w:sz w:val="18"/>
          <w:szCs w:val="18"/>
          <w:color w:val="auto"/>
        </w:rPr>
      </w:pPr>
      <w:hyperlink w:anchor="page12">
        <w:r>
          <w:rPr>
            <w:rFonts w:ascii="Arial" w:cs="Arial" w:eastAsia="Arial" w:hAnsi="Arial"/>
            <w:sz w:val="18"/>
            <w:szCs w:val="18"/>
            <w:color w:val="auto"/>
          </w:rPr>
          <w:t>Adoption of special meeting right in response to 2021</w:t>
        </w:r>
      </w:hyperlink>
      <w:r>
        <w:rPr>
          <w:rFonts w:ascii="Arial" w:cs="Arial" w:eastAsia="Arial" w:hAnsi="Arial"/>
          <w:sz w:val="18"/>
          <w:szCs w:val="18"/>
          <w:color w:val="auto"/>
        </w:rPr>
        <w:t xml:space="preserve"> </w:t>
      </w:r>
      <w:hyperlink w:anchor="page12">
        <w:r>
          <w:rPr>
            <w:rFonts w:ascii="Arial" w:cs="Arial" w:eastAsia="Arial" w:hAnsi="Arial"/>
            <w:sz w:val="18"/>
            <w:szCs w:val="18"/>
            <w:color w:val="auto"/>
          </w:rPr>
          <w:t>written consent shareholder proposal</w:t>
        </w:r>
      </w:hyperlink>
    </w:p>
    <w:p>
      <w:pPr>
        <w:spacing w:after="0" w:line="36" w:lineRule="exact"/>
        <w:rPr>
          <w:sz w:val="20"/>
          <w:szCs w:val="20"/>
          <w:color w:val="auto"/>
        </w:rPr>
      </w:pPr>
    </w:p>
    <w:p>
      <w:pPr>
        <w:ind w:left="240"/>
        <w:spacing w:after="0"/>
        <w:rPr>
          <w:rFonts w:ascii="Arial" w:cs="Arial" w:eastAsia="Arial" w:hAnsi="Arial"/>
          <w:sz w:val="18"/>
          <w:szCs w:val="18"/>
          <w:color w:val="auto"/>
        </w:rPr>
      </w:pPr>
      <w:hyperlink w:anchor="page13">
        <w:r>
          <w:rPr>
            <w:rFonts w:ascii="Arial" w:cs="Arial" w:eastAsia="Arial" w:hAnsi="Arial"/>
            <w:sz w:val="18"/>
            <w:szCs w:val="18"/>
            <w:color w:val="auto"/>
          </w:rPr>
          <w:t>Annual meeting attendance</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4">
        <w:r>
          <w:rPr>
            <w:rFonts w:ascii="Arial" w:cs="Arial" w:eastAsia="Arial" w:hAnsi="Arial"/>
            <w:sz w:val="18"/>
            <w:szCs w:val="18"/>
            <w:color w:val="auto"/>
          </w:rPr>
          <w:t>Director independence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15">
        <w:r>
          <w:rPr>
            <w:rFonts w:ascii="Arial" w:cs="Arial" w:eastAsia="Arial" w:hAnsi="Arial"/>
            <w:sz w:val="18"/>
            <w:szCs w:val="18"/>
            <w:color w:val="auto"/>
          </w:rPr>
          <w:t>Board organization</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5">
        <w:r>
          <w:rPr>
            <w:rFonts w:ascii="Arial" w:cs="Arial" w:eastAsia="Arial" w:hAnsi="Arial"/>
            <w:sz w:val="18"/>
            <w:szCs w:val="18"/>
            <w:color w:val="auto"/>
          </w:rPr>
          <w:t>Board and committee meetings</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5">
        <w:r>
          <w:rPr>
            <w:rFonts w:ascii="Arial" w:cs="Arial" w:eastAsia="Arial" w:hAnsi="Arial"/>
            <w:sz w:val="18"/>
            <w:szCs w:val="18"/>
            <w:color w:val="auto"/>
          </w:rPr>
          <w:t>Committees of the board</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8">
        <w:r>
          <w:rPr>
            <w:rFonts w:ascii="Arial" w:cs="Arial" w:eastAsia="Arial" w:hAnsi="Arial"/>
            <w:sz w:val="18"/>
            <w:szCs w:val="18"/>
            <w:color w:val="auto"/>
          </w:rPr>
          <w:t>Board evaluation process</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8">
        <w:r>
          <w:rPr>
            <w:rFonts w:ascii="Arial" w:cs="Arial" w:eastAsia="Arial" w:hAnsi="Arial"/>
            <w:sz w:val="18"/>
            <w:szCs w:val="18"/>
            <w:color w:val="auto"/>
          </w:rPr>
          <w:t>Board leadership structure</w:t>
        </w:r>
      </w:hyperlink>
    </w:p>
    <w:p>
      <w:pPr>
        <w:spacing w:after="0" w:line="63" w:lineRule="exact"/>
        <w:rPr>
          <w:sz w:val="20"/>
          <w:szCs w:val="20"/>
          <w:color w:val="auto"/>
        </w:rPr>
      </w:pPr>
    </w:p>
    <w:p>
      <w:pPr>
        <w:ind w:left="240"/>
        <w:spacing w:after="0"/>
        <w:rPr>
          <w:rFonts w:ascii="Arial" w:cs="Arial" w:eastAsia="Arial" w:hAnsi="Arial"/>
          <w:sz w:val="18"/>
          <w:szCs w:val="18"/>
          <w:color w:val="auto"/>
        </w:rPr>
      </w:pPr>
      <w:hyperlink w:anchor="page19">
        <w:r>
          <w:rPr>
            <w:rFonts w:ascii="Arial" w:cs="Arial" w:eastAsia="Arial" w:hAnsi="Arial"/>
            <w:sz w:val="18"/>
            <w:szCs w:val="18"/>
            <w:color w:val="auto"/>
          </w:rPr>
          <w:t>Risk oversight by the board</w:t>
        </w:r>
      </w:hyperlink>
    </w:p>
    <w:p>
      <w:pPr>
        <w:spacing w:after="0" w:line="63" w:lineRule="exact"/>
        <w:rPr>
          <w:sz w:val="20"/>
          <w:szCs w:val="20"/>
          <w:color w:val="auto"/>
        </w:rPr>
      </w:pPr>
    </w:p>
    <w:p>
      <w:pPr>
        <w:ind w:left="240" w:right="1200"/>
        <w:spacing w:after="0" w:line="261" w:lineRule="auto"/>
        <w:rPr>
          <w:rFonts w:ascii="Arial" w:cs="Arial" w:eastAsia="Arial" w:hAnsi="Arial"/>
          <w:sz w:val="18"/>
          <w:szCs w:val="18"/>
          <w:color w:val="auto"/>
        </w:rPr>
      </w:pPr>
      <w:hyperlink w:anchor="page20">
        <w:r>
          <w:rPr>
            <w:rFonts w:ascii="Arial" w:cs="Arial" w:eastAsia="Arial" w:hAnsi="Arial"/>
            <w:sz w:val="18"/>
            <w:szCs w:val="18"/>
            <w:color w:val="auto"/>
          </w:rPr>
          <w:t>Board oversight of environmental, social</w:t>
        </w:r>
      </w:hyperlink>
      <w:r>
        <w:rPr>
          <w:rFonts w:ascii="Arial" w:cs="Arial" w:eastAsia="Arial" w:hAnsi="Arial"/>
          <w:sz w:val="18"/>
          <w:szCs w:val="18"/>
          <w:color w:val="auto"/>
        </w:rPr>
        <w:t xml:space="preserve"> </w:t>
      </w:r>
      <w:hyperlink w:anchor="page20">
        <w:r>
          <w:rPr>
            <w:rFonts w:ascii="Arial" w:cs="Arial" w:eastAsia="Arial" w:hAnsi="Arial"/>
            <w:sz w:val="18"/>
            <w:szCs w:val="18"/>
            <w:color w:val="auto"/>
          </w:rPr>
          <w:t>and governance (ESG) matters</w:t>
        </w:r>
      </w:hyperlink>
    </w:p>
    <w:p>
      <w:pPr>
        <w:spacing w:after="0" w:line="36" w:lineRule="exact"/>
        <w:rPr>
          <w:sz w:val="20"/>
          <w:szCs w:val="20"/>
          <w:color w:val="auto"/>
        </w:rPr>
      </w:pPr>
    </w:p>
    <w:p>
      <w:pPr>
        <w:spacing w:after="0"/>
        <w:rPr>
          <w:rFonts w:ascii="Arial" w:cs="Arial" w:eastAsia="Arial" w:hAnsi="Arial"/>
          <w:sz w:val="18"/>
          <w:szCs w:val="18"/>
          <w:color w:val="auto"/>
        </w:rPr>
      </w:pPr>
      <w:hyperlink w:anchor="page20">
        <w:r>
          <w:rPr>
            <w:rFonts w:ascii="Arial" w:cs="Arial" w:eastAsia="Arial" w:hAnsi="Arial"/>
            <w:sz w:val="18"/>
            <w:szCs w:val="18"/>
            <w:color w:val="auto"/>
          </w:rPr>
          <w:t>Director compensation</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22">
        <w:r>
          <w:rPr>
            <w:rFonts w:ascii="Arial" w:cs="Arial" w:eastAsia="Arial" w:hAnsi="Arial"/>
            <w:sz w:val="18"/>
            <w:szCs w:val="18"/>
            <w:color w:val="auto"/>
          </w:rPr>
          <w:t>Executive compensation</w:t>
        </w:r>
      </w:hyperlink>
    </w:p>
    <w:p>
      <w:pPr>
        <w:spacing w:after="0" w:line="63" w:lineRule="exact"/>
        <w:rPr>
          <w:sz w:val="20"/>
          <w:szCs w:val="20"/>
          <w:color w:val="auto"/>
        </w:rPr>
      </w:pPr>
    </w:p>
    <w:p>
      <w:pPr>
        <w:ind w:left="240"/>
        <w:spacing w:after="0" w:line="261" w:lineRule="auto"/>
        <w:rPr>
          <w:rFonts w:ascii="Arial" w:cs="Arial" w:eastAsia="Arial" w:hAnsi="Arial"/>
          <w:sz w:val="18"/>
          <w:szCs w:val="18"/>
          <w:color w:val="auto"/>
        </w:rPr>
      </w:pPr>
      <w:hyperlink w:anchor="page23">
        <w:r>
          <w:rPr>
            <w:rFonts w:ascii="Arial" w:cs="Arial" w:eastAsia="Arial" w:hAnsi="Arial"/>
            <w:sz w:val="18"/>
            <w:szCs w:val="18"/>
            <w:color w:val="auto"/>
          </w:rPr>
          <w:t>Proposal regarding advisory approval of the company’s</w:t>
        </w:r>
      </w:hyperlink>
      <w:r>
        <w:rPr>
          <w:rFonts w:ascii="Arial" w:cs="Arial" w:eastAsia="Arial" w:hAnsi="Arial"/>
          <w:sz w:val="18"/>
          <w:szCs w:val="18"/>
          <w:color w:val="auto"/>
        </w:rPr>
        <w:t xml:space="preserve"> </w:t>
      </w:r>
      <w:hyperlink w:anchor="page23">
        <w:r>
          <w:rPr>
            <w:rFonts w:ascii="Arial" w:cs="Arial" w:eastAsia="Arial" w:hAnsi="Arial"/>
            <w:sz w:val="18"/>
            <w:szCs w:val="18"/>
            <w:color w:val="auto"/>
          </w:rPr>
          <w:t>executive compensation</w:t>
        </w:r>
      </w:hyperlink>
    </w:p>
    <w:p>
      <w:pPr>
        <w:spacing w:after="0" w:line="36" w:lineRule="exact"/>
        <w:rPr>
          <w:sz w:val="20"/>
          <w:szCs w:val="20"/>
          <w:color w:val="auto"/>
        </w:rPr>
      </w:pPr>
    </w:p>
    <w:p>
      <w:pPr>
        <w:ind w:left="500" w:right="1300" w:hanging="242"/>
        <w:spacing w:after="0" w:line="313" w:lineRule="auto"/>
        <w:rPr>
          <w:rFonts w:ascii="Arial" w:cs="Arial" w:eastAsia="Arial" w:hAnsi="Arial"/>
          <w:sz w:val="18"/>
          <w:szCs w:val="18"/>
          <w:color w:val="auto"/>
        </w:rPr>
      </w:pPr>
      <w:hyperlink w:anchor="page23">
        <w:r>
          <w:rPr>
            <w:rFonts w:ascii="Arial" w:cs="Arial" w:eastAsia="Arial" w:hAnsi="Arial"/>
            <w:sz w:val="18"/>
            <w:szCs w:val="18"/>
            <w:color w:val="auto"/>
          </w:rPr>
          <w:t>Compensation discussion and analysis</w:t>
        </w:r>
      </w:hyperlink>
      <w:r>
        <w:rPr>
          <w:rFonts w:ascii="Arial" w:cs="Arial" w:eastAsia="Arial" w:hAnsi="Arial"/>
          <w:sz w:val="18"/>
          <w:szCs w:val="18"/>
          <w:color w:val="auto"/>
        </w:rPr>
        <w:t xml:space="preserve"> </w:t>
      </w:r>
      <w:hyperlink w:anchor="page23">
        <w:r>
          <w:rPr>
            <w:rFonts w:ascii="Arial" w:cs="Arial" w:eastAsia="Arial" w:hAnsi="Arial"/>
            <w:sz w:val="18"/>
            <w:szCs w:val="18"/>
            <w:color w:val="auto"/>
          </w:rPr>
          <w:t>Executive summary</w:t>
        </w:r>
      </w:hyperlink>
    </w:p>
    <w:p>
      <w:pPr>
        <w:ind w:left="500"/>
        <w:spacing w:after="0"/>
        <w:rPr>
          <w:rFonts w:ascii="Arial" w:cs="Arial" w:eastAsia="Arial" w:hAnsi="Arial"/>
          <w:sz w:val="18"/>
          <w:szCs w:val="18"/>
          <w:color w:val="auto"/>
        </w:rPr>
      </w:pPr>
      <w:hyperlink w:anchor="page24">
        <w:r>
          <w:rPr>
            <w:rFonts w:ascii="Arial" w:cs="Arial" w:eastAsia="Arial" w:hAnsi="Arial"/>
            <w:sz w:val="18"/>
            <w:szCs w:val="18"/>
            <w:color w:val="auto"/>
          </w:rPr>
          <w:t>Detailed discussion</w:t>
        </w:r>
      </w:hyperlink>
    </w:p>
    <w:p>
      <w:pPr>
        <w:spacing w:after="0" w:line="63" w:lineRule="exact"/>
        <w:rPr>
          <w:sz w:val="20"/>
          <w:szCs w:val="20"/>
          <w:color w:val="auto"/>
        </w:rPr>
      </w:pPr>
    </w:p>
    <w:p>
      <w:pPr>
        <w:ind w:left="740" w:right="700"/>
        <w:spacing w:after="0" w:line="313" w:lineRule="auto"/>
        <w:rPr>
          <w:rFonts w:ascii="Arial" w:cs="Arial" w:eastAsia="Arial" w:hAnsi="Arial"/>
          <w:sz w:val="18"/>
          <w:szCs w:val="18"/>
          <w:color w:val="auto"/>
        </w:rPr>
      </w:pPr>
      <w:hyperlink w:anchor="page24">
        <w:r>
          <w:rPr>
            <w:rFonts w:ascii="Arial" w:cs="Arial" w:eastAsia="Arial" w:hAnsi="Arial"/>
            <w:sz w:val="18"/>
            <w:szCs w:val="18"/>
            <w:color w:val="auto"/>
          </w:rPr>
          <w:t>Compensation philosophy and elements</w:t>
        </w:r>
      </w:hyperlink>
      <w:r>
        <w:rPr>
          <w:rFonts w:ascii="Arial" w:cs="Arial" w:eastAsia="Arial" w:hAnsi="Arial"/>
          <w:sz w:val="18"/>
          <w:szCs w:val="18"/>
          <w:color w:val="auto"/>
        </w:rPr>
        <w:t xml:space="preserve"> </w:t>
      </w:r>
      <w:hyperlink w:anchor="page26">
        <w:r>
          <w:rPr>
            <w:rFonts w:ascii="Arial" w:cs="Arial" w:eastAsia="Arial" w:hAnsi="Arial"/>
            <w:sz w:val="18"/>
            <w:szCs w:val="18"/>
            <w:color w:val="auto"/>
          </w:rPr>
          <w:t>Comparator group</w:t>
        </w:r>
      </w:hyperlink>
    </w:p>
    <w:p>
      <w:pPr>
        <w:ind w:left="740" w:right="640"/>
        <w:spacing w:after="0" w:line="313" w:lineRule="auto"/>
        <w:rPr>
          <w:rFonts w:ascii="Arial" w:cs="Arial" w:eastAsia="Arial" w:hAnsi="Arial"/>
          <w:sz w:val="18"/>
          <w:szCs w:val="18"/>
          <w:color w:val="auto"/>
        </w:rPr>
      </w:pPr>
      <w:hyperlink w:anchor="page27">
        <w:r>
          <w:rPr>
            <w:rFonts w:ascii="Arial" w:cs="Arial" w:eastAsia="Arial" w:hAnsi="Arial"/>
            <w:sz w:val="18"/>
            <w:szCs w:val="18"/>
            <w:color w:val="auto"/>
          </w:rPr>
          <w:t>Analysis of compensation determinations</w:t>
        </w:r>
      </w:hyperlink>
      <w:r>
        <w:rPr>
          <w:rFonts w:ascii="Arial" w:cs="Arial" w:eastAsia="Arial" w:hAnsi="Arial"/>
          <w:sz w:val="18"/>
          <w:szCs w:val="18"/>
          <w:color w:val="auto"/>
        </w:rPr>
        <w:t xml:space="preserve"> </w:t>
      </w:r>
      <w:hyperlink w:anchor="page34">
        <w:r>
          <w:rPr>
            <w:rFonts w:ascii="Arial" w:cs="Arial" w:eastAsia="Arial" w:hAnsi="Arial"/>
            <w:sz w:val="18"/>
            <w:szCs w:val="18"/>
            <w:color w:val="auto"/>
          </w:rPr>
          <w:t>Equity dilution</w:t>
        </w:r>
      </w:hyperlink>
    </w:p>
    <w:p>
      <w:pPr>
        <w:ind w:left="740"/>
        <w:spacing w:after="0"/>
        <w:rPr>
          <w:rFonts w:ascii="Arial" w:cs="Arial" w:eastAsia="Arial" w:hAnsi="Arial"/>
          <w:sz w:val="18"/>
          <w:szCs w:val="18"/>
          <w:color w:val="auto"/>
        </w:rPr>
      </w:pPr>
      <w:hyperlink w:anchor="page34">
        <w:r>
          <w:rPr>
            <w:rFonts w:ascii="Arial" w:cs="Arial" w:eastAsia="Arial" w:hAnsi="Arial"/>
            <w:sz w:val="18"/>
            <w:szCs w:val="18"/>
            <w:color w:val="auto"/>
          </w:rPr>
          <w:t>Process for equity grants</w:t>
        </w:r>
      </w:hyperlink>
    </w:p>
    <w:p>
      <w:pPr>
        <w:spacing w:after="0" w:line="63" w:lineRule="exact"/>
        <w:rPr>
          <w:sz w:val="20"/>
          <w:szCs w:val="20"/>
          <w:color w:val="auto"/>
        </w:rPr>
      </w:pPr>
    </w:p>
    <w:p>
      <w:pPr>
        <w:ind w:left="740"/>
        <w:spacing w:after="0"/>
        <w:rPr>
          <w:rFonts w:ascii="Arial" w:cs="Arial" w:eastAsia="Arial" w:hAnsi="Arial"/>
          <w:sz w:val="18"/>
          <w:szCs w:val="18"/>
          <w:color w:val="auto"/>
        </w:rPr>
      </w:pPr>
      <w:hyperlink w:anchor="page34">
        <w:r>
          <w:rPr>
            <w:rFonts w:ascii="Arial" w:cs="Arial" w:eastAsia="Arial" w:hAnsi="Arial"/>
            <w:sz w:val="18"/>
            <w:szCs w:val="18"/>
            <w:color w:val="auto"/>
          </w:rPr>
          <w:t>Recoupment policy</w:t>
        </w:r>
      </w:hyperlink>
    </w:p>
    <w:p>
      <w:pPr>
        <w:spacing w:after="0" w:line="63" w:lineRule="exact"/>
        <w:rPr>
          <w:sz w:val="20"/>
          <w:szCs w:val="20"/>
          <w:color w:val="auto"/>
        </w:rPr>
      </w:pPr>
    </w:p>
    <w:p>
      <w:pPr>
        <w:ind w:left="740" w:right="640"/>
        <w:spacing w:after="0" w:line="261" w:lineRule="auto"/>
        <w:rPr>
          <w:rFonts w:ascii="Arial" w:cs="Arial" w:eastAsia="Arial" w:hAnsi="Arial"/>
          <w:sz w:val="18"/>
          <w:szCs w:val="18"/>
          <w:color w:val="auto"/>
        </w:rPr>
      </w:pPr>
      <w:hyperlink w:anchor="page34">
        <w:r>
          <w:rPr>
            <w:rFonts w:ascii="Arial" w:cs="Arial" w:eastAsia="Arial" w:hAnsi="Arial"/>
            <w:sz w:val="18"/>
            <w:szCs w:val="18"/>
            <w:color w:val="auto"/>
          </w:rPr>
          <w:t>Most recent stockholder advisory vote on</w:t>
        </w:r>
      </w:hyperlink>
      <w:r>
        <w:rPr>
          <w:rFonts w:ascii="Arial" w:cs="Arial" w:eastAsia="Arial" w:hAnsi="Arial"/>
          <w:sz w:val="18"/>
          <w:szCs w:val="18"/>
          <w:color w:val="auto"/>
        </w:rPr>
        <w:t xml:space="preserve"> </w:t>
      </w:r>
      <w:hyperlink w:anchor="page34">
        <w:r>
          <w:rPr>
            <w:rFonts w:ascii="Arial" w:cs="Arial" w:eastAsia="Arial" w:hAnsi="Arial"/>
            <w:sz w:val="18"/>
            <w:szCs w:val="18"/>
            <w:color w:val="auto"/>
          </w:rPr>
          <w:t>executive compensation</w:t>
        </w:r>
      </w:hyperlink>
    </w:p>
    <w:p>
      <w:pPr>
        <w:spacing w:after="0" w:line="36" w:lineRule="exact"/>
        <w:rPr>
          <w:sz w:val="20"/>
          <w:szCs w:val="20"/>
          <w:color w:val="auto"/>
        </w:rPr>
      </w:pPr>
    </w:p>
    <w:p>
      <w:pPr>
        <w:ind w:left="740"/>
        <w:spacing w:after="0"/>
        <w:rPr>
          <w:rFonts w:ascii="Arial" w:cs="Arial" w:eastAsia="Arial" w:hAnsi="Arial"/>
          <w:sz w:val="18"/>
          <w:szCs w:val="18"/>
          <w:color w:val="auto"/>
        </w:rPr>
      </w:pPr>
      <w:hyperlink w:anchor="page35">
        <w:r>
          <w:rPr>
            <w:rFonts w:ascii="Arial" w:cs="Arial" w:eastAsia="Arial" w:hAnsi="Arial"/>
            <w:sz w:val="18"/>
            <w:szCs w:val="18"/>
            <w:color w:val="auto"/>
          </w:rPr>
          <w:t>Benefits</w:t>
        </w:r>
      </w:hyperlink>
    </w:p>
    <w:p>
      <w:pPr>
        <w:spacing w:after="0" w:line="63" w:lineRule="exact"/>
        <w:rPr>
          <w:sz w:val="20"/>
          <w:szCs w:val="20"/>
          <w:color w:val="auto"/>
        </w:rPr>
      </w:pPr>
    </w:p>
    <w:p>
      <w:pPr>
        <w:ind w:left="740" w:right="20"/>
        <w:spacing w:after="0" w:line="261" w:lineRule="auto"/>
        <w:rPr>
          <w:rFonts w:ascii="Arial" w:cs="Arial" w:eastAsia="Arial" w:hAnsi="Arial"/>
          <w:sz w:val="18"/>
          <w:szCs w:val="18"/>
          <w:color w:val="auto"/>
        </w:rPr>
      </w:pPr>
      <w:hyperlink w:anchor="page36">
        <w:r>
          <w:rPr>
            <w:rFonts w:ascii="Arial" w:cs="Arial" w:eastAsia="Arial" w:hAnsi="Arial"/>
            <w:sz w:val="18"/>
            <w:szCs w:val="18"/>
            <w:color w:val="auto"/>
          </w:rPr>
          <w:t>Compensation following employment termination</w:t>
        </w:r>
      </w:hyperlink>
      <w:r>
        <w:rPr>
          <w:rFonts w:ascii="Arial" w:cs="Arial" w:eastAsia="Arial" w:hAnsi="Arial"/>
          <w:sz w:val="18"/>
          <w:szCs w:val="18"/>
          <w:color w:val="auto"/>
        </w:rPr>
        <w:t xml:space="preserve"> </w:t>
      </w:r>
      <w:hyperlink w:anchor="page36">
        <w:r>
          <w:rPr>
            <w:rFonts w:ascii="Arial" w:cs="Arial" w:eastAsia="Arial" w:hAnsi="Arial"/>
            <w:sz w:val="18"/>
            <w:szCs w:val="18"/>
            <w:color w:val="auto"/>
          </w:rPr>
          <w:t>or change in control</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1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5000" w:type="dxa"/>
            <w:vAlign w:val="bottom"/>
          </w:tcPr>
          <w:p>
            <w:pPr>
              <w:ind w:left="920"/>
              <w:spacing w:after="0"/>
              <w:rPr>
                <w:rFonts w:ascii="Arial" w:cs="Arial" w:eastAsia="Arial" w:hAnsi="Arial"/>
                <w:sz w:val="18"/>
                <w:szCs w:val="18"/>
                <w:color w:val="auto"/>
              </w:rPr>
            </w:pPr>
            <w:hyperlink w:anchor="page36">
              <w:r>
                <w:rPr>
                  <w:rFonts w:ascii="Arial" w:cs="Arial" w:eastAsia="Arial" w:hAnsi="Arial"/>
                  <w:sz w:val="18"/>
                  <w:szCs w:val="18"/>
                  <w:color w:val="auto"/>
                </w:rPr>
                <w:t>Stock ownership guidelines and policy</w:t>
              </w:r>
            </w:hyperlink>
          </w:p>
        </w:tc>
        <w:tc>
          <w:tcPr>
            <w:tcW w:w="5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5000" w:type="dxa"/>
            <w:vAlign w:val="bottom"/>
          </w:tcPr>
          <w:p>
            <w:pPr>
              <w:ind w:left="920"/>
              <w:spacing w:after="0"/>
              <w:rPr>
                <w:rFonts w:ascii="Arial" w:cs="Arial" w:eastAsia="Arial" w:hAnsi="Arial"/>
                <w:sz w:val="18"/>
                <w:szCs w:val="18"/>
                <w:color w:val="auto"/>
              </w:rPr>
            </w:pPr>
            <w:hyperlink w:anchor="page36">
              <w:r>
                <w:rPr>
                  <w:rFonts w:ascii="Arial" w:cs="Arial" w:eastAsia="Arial" w:hAnsi="Arial"/>
                  <w:sz w:val="18"/>
                  <w:szCs w:val="18"/>
                  <w:color w:val="auto"/>
                </w:rPr>
                <w:t>against hedging</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110"/>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5000" w:type="dxa"/>
            <w:vAlign w:val="bottom"/>
          </w:tcPr>
          <w:p>
            <w:pPr>
              <w:ind w:left="920"/>
              <w:spacing w:after="0"/>
              <w:rPr>
                <w:rFonts w:ascii="Arial" w:cs="Arial" w:eastAsia="Arial" w:hAnsi="Arial"/>
                <w:sz w:val="18"/>
                <w:szCs w:val="18"/>
                <w:color w:val="auto"/>
              </w:rPr>
            </w:pPr>
            <w:hyperlink w:anchor="page37">
              <w:r>
                <w:rPr>
                  <w:rFonts w:ascii="Arial" w:cs="Arial" w:eastAsia="Arial" w:hAnsi="Arial"/>
                  <w:sz w:val="18"/>
                  <w:szCs w:val="18"/>
                  <w:color w:val="auto"/>
                </w:rPr>
                <w:t>Consideration of tax and accounting</w:t>
              </w:r>
            </w:hyperlink>
          </w:p>
        </w:tc>
        <w:tc>
          <w:tcPr>
            <w:tcW w:w="5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17"/>
        </w:trPr>
        <w:tc>
          <w:tcPr>
            <w:tcW w:w="400" w:type="dxa"/>
            <w:vAlign w:val="bottom"/>
            <w:vMerge w:val="restart"/>
          </w:tcPr>
          <w:p>
            <w:pPr>
              <w:jc w:val="right"/>
              <w:ind w:right="110"/>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5000" w:type="dxa"/>
            <w:vAlign w:val="bottom"/>
          </w:tcPr>
          <w:p>
            <w:pPr>
              <w:ind w:left="920"/>
              <w:spacing w:after="0"/>
              <w:rPr>
                <w:rFonts w:ascii="Arial" w:cs="Arial" w:eastAsia="Arial" w:hAnsi="Arial"/>
                <w:sz w:val="18"/>
                <w:szCs w:val="18"/>
                <w:color w:val="auto"/>
              </w:rPr>
            </w:pPr>
            <w:hyperlink w:anchor="page37">
              <w:r>
                <w:rPr>
                  <w:rFonts w:ascii="Arial" w:cs="Arial" w:eastAsia="Arial" w:hAnsi="Arial"/>
                  <w:sz w:val="18"/>
                  <w:szCs w:val="18"/>
                  <w:color w:val="auto"/>
                </w:rPr>
                <w:t>treatment of compensation</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37">
              <w:r>
                <w:rPr>
                  <w:rFonts w:ascii="Arial" w:cs="Arial" w:eastAsia="Arial" w:hAnsi="Arial"/>
                  <w:sz w:val="18"/>
                  <w:szCs w:val="18"/>
                  <w:color w:val="auto"/>
                </w:rPr>
                <w:t>Compensation Committee report</w:t>
              </w:r>
            </w:hyperlink>
          </w:p>
        </w:tc>
        <w:tc>
          <w:tcPr>
            <w:tcW w:w="500" w:type="dxa"/>
            <w:vAlign w:val="bottom"/>
            <w:vMerge w:val="restart"/>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1">
              <w:r>
                <w:rPr>
                  <w:rFonts w:ascii="Arial" w:cs="Arial" w:eastAsia="Arial" w:hAnsi="Arial"/>
                  <w:sz w:val="18"/>
                  <w:szCs w:val="18"/>
                  <w:color w:val="auto"/>
                  <w:w w:val="89"/>
                </w:rPr>
                <w:t>11</w:t>
              </w:r>
            </w:hyperlink>
          </w:p>
        </w:tc>
        <w:tc>
          <w:tcPr>
            <w:tcW w:w="50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500" w:type="dxa"/>
            <w:vAlign w:val="bottom"/>
            <w:vMerge w:val="restart"/>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11</w:t>
              </w:r>
            </w:hyperlink>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2021 summary compensation table</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11</w:t>
              </w:r>
            </w:hyperlink>
          </w:p>
        </w:tc>
        <w:tc>
          <w:tcPr>
            <w:tcW w:w="50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38">
              <w:r>
                <w:rPr>
                  <w:rFonts w:ascii="Arial" w:cs="Arial" w:eastAsia="Arial" w:hAnsi="Arial"/>
                  <w:sz w:val="18"/>
                  <w:szCs w:val="18"/>
                  <w:color w:val="auto"/>
                </w:rPr>
                <w:t xml:space="preserve">Grants of plan-based awards </w:t>
              </w:r>
            </w:hyperlink>
            <w:r>
              <w:rPr>
                <w:rFonts w:ascii="Arial" w:cs="Arial" w:eastAsia="Arial" w:hAnsi="Arial"/>
                <w:sz w:val="18"/>
                <w:szCs w:val="18"/>
                <w:color w:val="auto"/>
              </w:rPr>
              <w:t>in 2021</w:t>
            </w:r>
          </w:p>
        </w:tc>
        <w:tc>
          <w:tcPr>
            <w:tcW w:w="500" w:type="dxa"/>
            <w:vAlign w:val="bottom"/>
            <w:vMerge w:val="restart"/>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11</w:t>
              </w:r>
            </w:hyperlink>
          </w:p>
        </w:tc>
        <w:tc>
          <w:tcPr>
            <w:tcW w:w="50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39">
              <w:r>
                <w:rPr>
                  <w:rFonts w:ascii="Arial" w:cs="Arial" w:eastAsia="Arial" w:hAnsi="Arial"/>
                  <w:sz w:val="18"/>
                  <w:szCs w:val="18"/>
                  <w:color w:val="auto"/>
                </w:rPr>
                <w:t xml:space="preserve">Outstanding equity awards at fiscal year end </w:t>
              </w:r>
            </w:hyperlink>
            <w:r>
              <w:rPr>
                <w:rFonts w:ascii="Arial" w:cs="Arial" w:eastAsia="Arial" w:hAnsi="Arial"/>
                <w:sz w:val="18"/>
                <w:szCs w:val="18"/>
                <w:color w:val="auto"/>
              </w:rPr>
              <w:t>2021</w:t>
            </w:r>
          </w:p>
        </w:tc>
        <w:tc>
          <w:tcPr>
            <w:tcW w:w="500" w:type="dxa"/>
            <w:vAlign w:val="bottom"/>
            <w:vMerge w:val="restart"/>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0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13</w:t>
              </w:r>
            </w:hyperlink>
          </w:p>
        </w:tc>
        <w:tc>
          <w:tcPr>
            <w:tcW w:w="5000" w:type="dxa"/>
            <w:vAlign w:val="bottom"/>
            <w:vMerge w:val="restart"/>
          </w:tcPr>
          <w:p>
            <w:pPr>
              <w:ind w:left="420"/>
              <w:spacing w:after="0"/>
              <w:rPr>
                <w:rFonts w:ascii="Arial" w:cs="Arial" w:eastAsia="Arial" w:hAnsi="Arial"/>
                <w:sz w:val="18"/>
                <w:szCs w:val="18"/>
                <w:color w:val="auto"/>
              </w:rPr>
            </w:pPr>
            <w:r>
              <w:rPr>
                <w:rFonts w:ascii="Arial" w:cs="Arial" w:eastAsia="Arial" w:hAnsi="Arial"/>
                <w:sz w:val="18"/>
                <w:szCs w:val="18"/>
                <w:color w:val="auto"/>
              </w:rPr>
              <w:t xml:space="preserve">2021 </w:t>
            </w:r>
            <w:hyperlink w:anchor="page42">
              <w:r>
                <w:rPr>
                  <w:rFonts w:ascii="Arial" w:cs="Arial" w:eastAsia="Arial" w:hAnsi="Arial"/>
                  <w:sz w:val="18"/>
                  <w:szCs w:val="18"/>
                  <w:color w:val="auto"/>
                </w:rPr>
                <w:t>option exercises and stock vested</w:t>
              </w:r>
            </w:hyperlink>
          </w:p>
        </w:tc>
        <w:tc>
          <w:tcPr>
            <w:tcW w:w="5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13</w:t>
              </w:r>
            </w:hyperlink>
          </w:p>
        </w:tc>
        <w:tc>
          <w:tcPr>
            <w:tcW w:w="50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5000" w:type="dxa"/>
            <w:vAlign w:val="bottom"/>
          </w:tcPr>
          <w:p>
            <w:pPr>
              <w:spacing w:after="0"/>
              <w:rPr>
                <w:sz w:val="14"/>
                <w:szCs w:val="14"/>
                <w:color w:val="auto"/>
              </w:rPr>
            </w:pPr>
          </w:p>
        </w:tc>
        <w:tc>
          <w:tcPr>
            <w:tcW w:w="500" w:type="dxa"/>
            <w:vAlign w:val="bottom"/>
            <w:vMerge w:val="restart"/>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rFonts w:ascii="Arial" w:cs="Arial" w:eastAsia="Arial" w:hAnsi="Arial"/>
                <w:sz w:val="18"/>
                <w:szCs w:val="18"/>
                <w:color w:val="auto"/>
                <w:w w:val="89"/>
              </w:rPr>
            </w:pPr>
            <w:hyperlink w:anchor="page15">
              <w:r>
                <w:rPr>
                  <w:rFonts w:ascii="Arial" w:cs="Arial" w:eastAsia="Arial" w:hAnsi="Arial"/>
                  <w:sz w:val="18"/>
                  <w:szCs w:val="18"/>
                  <w:color w:val="auto"/>
                  <w:w w:val="89"/>
                </w:rPr>
                <w:t>14</w:t>
              </w:r>
            </w:hyperlink>
          </w:p>
        </w:tc>
        <w:tc>
          <w:tcPr>
            <w:tcW w:w="5000" w:type="dxa"/>
            <w:vAlign w:val="bottom"/>
            <w:vMerge w:val="restart"/>
          </w:tcPr>
          <w:p>
            <w:pPr>
              <w:ind w:left="420"/>
              <w:spacing w:after="0"/>
              <w:rPr>
                <w:rFonts w:ascii="Arial" w:cs="Arial" w:eastAsia="Arial" w:hAnsi="Arial"/>
                <w:sz w:val="18"/>
                <w:szCs w:val="18"/>
                <w:color w:val="auto"/>
              </w:rPr>
            </w:pPr>
            <w:r>
              <w:rPr>
                <w:rFonts w:ascii="Arial" w:cs="Arial" w:eastAsia="Arial" w:hAnsi="Arial"/>
                <w:sz w:val="18"/>
                <w:szCs w:val="18"/>
                <w:color w:val="auto"/>
              </w:rPr>
              <w:t xml:space="preserve">2021 </w:t>
            </w:r>
            <w:hyperlink w:anchor="page42">
              <w:r>
                <w:rPr>
                  <w:rFonts w:ascii="Arial" w:cs="Arial" w:eastAsia="Arial" w:hAnsi="Arial"/>
                  <w:sz w:val="18"/>
                  <w:szCs w:val="18"/>
                  <w:color w:val="auto"/>
                </w:rPr>
                <w:t>pension benefits</w:t>
              </w:r>
            </w:hyperlink>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0" w:type="dxa"/>
            <w:vAlign w:val="bottom"/>
            <w:vMerge w:val="continue"/>
          </w:tcPr>
          <w:p>
            <w:pPr>
              <w:spacing w:after="0"/>
              <w:rPr>
                <w:sz w:val="18"/>
                <w:szCs w:val="18"/>
                <w:color w:val="auto"/>
              </w:rPr>
            </w:pPr>
          </w:p>
        </w:tc>
        <w:tc>
          <w:tcPr>
            <w:tcW w:w="50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15">
              <w:r>
                <w:rPr>
                  <w:rFonts w:ascii="Arial" w:cs="Arial" w:eastAsia="Arial" w:hAnsi="Arial"/>
                  <w:sz w:val="18"/>
                  <w:szCs w:val="18"/>
                  <w:color w:val="auto"/>
                  <w:w w:val="89"/>
                </w:rPr>
                <w:t>14</w:t>
              </w:r>
            </w:hyperlink>
          </w:p>
        </w:tc>
        <w:tc>
          <w:tcPr>
            <w:tcW w:w="5000" w:type="dxa"/>
            <w:vAlign w:val="bottom"/>
          </w:tcPr>
          <w:p>
            <w:pPr>
              <w:spacing w:after="0"/>
              <w:rPr>
                <w:sz w:val="23"/>
                <w:szCs w:val="23"/>
                <w:color w:val="auto"/>
              </w:rPr>
            </w:pPr>
          </w:p>
        </w:tc>
        <w:tc>
          <w:tcPr>
            <w:tcW w:w="5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17"/>
        </w:trPr>
        <w:tc>
          <w:tcPr>
            <w:tcW w:w="400" w:type="dxa"/>
            <w:vAlign w:val="bottom"/>
          </w:tcPr>
          <w:p>
            <w:pPr>
              <w:jc w:val="right"/>
              <w:ind w:right="110"/>
              <w:spacing w:after="0"/>
              <w:rPr>
                <w:rFonts w:ascii="Arial" w:cs="Arial" w:eastAsia="Arial" w:hAnsi="Arial"/>
                <w:sz w:val="18"/>
                <w:szCs w:val="18"/>
                <w:color w:val="auto"/>
                <w:w w:val="89"/>
              </w:rPr>
            </w:pPr>
            <w:hyperlink w:anchor="page15">
              <w:r>
                <w:rPr>
                  <w:rFonts w:ascii="Arial" w:cs="Arial" w:eastAsia="Arial" w:hAnsi="Arial"/>
                  <w:sz w:val="18"/>
                  <w:szCs w:val="18"/>
                  <w:color w:val="auto"/>
                  <w:w w:val="89"/>
                </w:rPr>
                <w:t>15</w:t>
              </w:r>
            </w:hyperlink>
          </w:p>
        </w:tc>
        <w:tc>
          <w:tcPr>
            <w:tcW w:w="5000" w:type="dxa"/>
            <w:vAlign w:val="bottom"/>
          </w:tcPr>
          <w:p>
            <w:pPr>
              <w:ind w:left="420"/>
              <w:spacing w:after="0"/>
              <w:rPr>
                <w:rFonts w:ascii="Arial" w:cs="Arial" w:eastAsia="Arial" w:hAnsi="Arial"/>
                <w:sz w:val="18"/>
                <w:szCs w:val="18"/>
                <w:color w:val="auto"/>
              </w:rPr>
            </w:pPr>
            <w:r>
              <w:rPr>
                <w:rFonts w:ascii="Arial" w:cs="Arial" w:eastAsia="Arial" w:hAnsi="Arial"/>
                <w:sz w:val="18"/>
                <w:szCs w:val="18"/>
                <w:color w:val="auto"/>
              </w:rPr>
              <w:t xml:space="preserve">2021 </w:t>
            </w:r>
            <w:hyperlink w:anchor="page45">
              <w:r>
                <w:rPr>
                  <w:rFonts w:ascii="Arial" w:cs="Arial" w:eastAsia="Arial" w:hAnsi="Arial"/>
                  <w:sz w:val="18"/>
                  <w:szCs w:val="18"/>
                  <w:color w:val="auto"/>
                </w:rPr>
                <w:t>non-qualified deferred compensation</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0" w:type="dxa"/>
            <w:vAlign w:val="bottom"/>
          </w:tcPr>
          <w:p>
            <w:pPr>
              <w:jc w:val="right"/>
              <w:ind w:right="110"/>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17</w:t>
              </w:r>
            </w:hyperlink>
          </w:p>
        </w:tc>
        <w:tc>
          <w:tcPr>
            <w:tcW w:w="5000" w:type="dxa"/>
            <w:vAlign w:val="bottom"/>
          </w:tcPr>
          <w:p>
            <w:pPr>
              <w:ind w:left="420"/>
              <w:spacing w:after="0"/>
              <w:rPr>
                <w:rFonts w:ascii="Arial" w:cs="Arial" w:eastAsia="Arial" w:hAnsi="Arial"/>
                <w:sz w:val="18"/>
                <w:szCs w:val="18"/>
                <w:color w:val="auto"/>
              </w:rPr>
            </w:pPr>
            <w:hyperlink w:anchor="page46">
              <w:r>
                <w:rPr>
                  <w:rFonts w:ascii="Arial" w:cs="Arial" w:eastAsia="Arial" w:hAnsi="Arial"/>
                  <w:sz w:val="18"/>
                  <w:szCs w:val="18"/>
                  <w:color w:val="auto"/>
                </w:rPr>
                <w:t>Potential payments upon termination or change in</w:t>
              </w:r>
            </w:hyperlink>
          </w:p>
        </w:tc>
        <w:tc>
          <w:tcPr>
            <w:tcW w:w="5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17</w:t>
              </w:r>
            </w:hyperlink>
          </w:p>
        </w:tc>
        <w:tc>
          <w:tcPr>
            <w:tcW w:w="5000" w:type="dxa"/>
            <w:vAlign w:val="bottom"/>
          </w:tcPr>
          <w:p>
            <w:pPr>
              <w:ind w:left="420"/>
              <w:spacing w:after="0"/>
              <w:rPr>
                <w:rFonts w:ascii="Arial" w:cs="Arial" w:eastAsia="Arial" w:hAnsi="Arial"/>
                <w:sz w:val="18"/>
                <w:szCs w:val="18"/>
                <w:color w:val="auto"/>
              </w:rPr>
            </w:pPr>
            <w:hyperlink w:anchor="page46">
              <w:r>
                <w:rPr>
                  <w:rFonts w:ascii="Arial" w:cs="Arial" w:eastAsia="Arial" w:hAnsi="Arial"/>
                  <w:sz w:val="18"/>
                  <w:szCs w:val="18"/>
                  <w:color w:val="auto"/>
                </w:rPr>
                <w:t>control</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18</w:t>
              </w:r>
            </w:hyperlink>
          </w:p>
        </w:tc>
        <w:tc>
          <w:tcPr>
            <w:tcW w:w="5000" w:type="dxa"/>
            <w:vAlign w:val="bottom"/>
          </w:tcPr>
          <w:p>
            <w:pPr>
              <w:ind w:left="420"/>
              <w:spacing w:after="0"/>
              <w:rPr>
                <w:rFonts w:ascii="Arial" w:cs="Arial" w:eastAsia="Arial" w:hAnsi="Arial"/>
                <w:sz w:val="18"/>
                <w:szCs w:val="18"/>
                <w:color w:val="auto"/>
              </w:rPr>
            </w:pPr>
            <w:hyperlink w:anchor="page51">
              <w:r>
                <w:rPr>
                  <w:rFonts w:ascii="Arial" w:cs="Arial" w:eastAsia="Arial" w:hAnsi="Arial"/>
                  <w:sz w:val="18"/>
                  <w:szCs w:val="18"/>
                  <w:color w:val="auto"/>
                </w:rPr>
                <w:t>Pay ratio</w:t>
              </w:r>
            </w:hyperlink>
          </w:p>
        </w:tc>
        <w:tc>
          <w:tcPr>
            <w:tcW w:w="5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19</w:t>
              </w:r>
            </w:hyperlink>
          </w:p>
        </w:tc>
        <w:tc>
          <w:tcPr>
            <w:tcW w:w="5000" w:type="dxa"/>
            <w:vAlign w:val="bottom"/>
          </w:tcPr>
          <w:p>
            <w:pPr>
              <w:ind w:left="180"/>
              <w:spacing w:after="0"/>
              <w:rPr>
                <w:rFonts w:ascii="Arial" w:cs="Arial" w:eastAsia="Arial" w:hAnsi="Arial"/>
                <w:sz w:val="18"/>
                <w:szCs w:val="18"/>
                <w:color w:val="auto"/>
              </w:rPr>
            </w:pPr>
            <w:hyperlink w:anchor="page51">
              <w:r>
                <w:rPr>
                  <w:rFonts w:ascii="Arial" w:cs="Arial" w:eastAsia="Arial" w:hAnsi="Arial"/>
                  <w:sz w:val="18"/>
                  <w:szCs w:val="18"/>
                  <w:color w:val="auto"/>
                </w:rPr>
                <w:t>Audit Committee report</w:t>
              </w:r>
            </w:hyperlink>
          </w:p>
        </w:tc>
        <w:tc>
          <w:tcPr>
            <w:tcW w:w="5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000" w:type="dxa"/>
            <w:vAlign w:val="bottom"/>
          </w:tcPr>
          <w:p>
            <w:pPr>
              <w:ind w:left="180"/>
              <w:spacing w:after="0"/>
              <w:rPr>
                <w:rFonts w:ascii="Arial" w:cs="Arial" w:eastAsia="Arial" w:hAnsi="Arial"/>
                <w:sz w:val="18"/>
                <w:szCs w:val="18"/>
                <w:color w:val="auto"/>
              </w:rPr>
            </w:pPr>
            <w:hyperlink w:anchor="page52">
              <w:r>
                <w:rPr>
                  <w:rFonts w:ascii="Arial" w:cs="Arial" w:eastAsia="Arial" w:hAnsi="Arial"/>
                  <w:sz w:val="18"/>
                  <w:szCs w:val="18"/>
                  <w:color w:val="auto"/>
                </w:rPr>
                <w:t>Proposal to ratify appointment of independent registered</w:t>
              </w:r>
            </w:hyperlink>
          </w:p>
        </w:tc>
        <w:tc>
          <w:tcPr>
            <w:tcW w:w="5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19</w:t>
              </w:r>
            </w:hyperlink>
          </w:p>
        </w:tc>
        <w:tc>
          <w:tcPr>
            <w:tcW w:w="5000" w:type="dxa"/>
            <w:vAlign w:val="bottom"/>
          </w:tcPr>
          <w:p>
            <w:pPr>
              <w:ind w:left="180"/>
              <w:spacing w:after="0"/>
              <w:rPr>
                <w:rFonts w:ascii="Arial" w:cs="Arial" w:eastAsia="Arial" w:hAnsi="Arial"/>
                <w:sz w:val="18"/>
                <w:szCs w:val="18"/>
                <w:color w:val="auto"/>
              </w:rPr>
            </w:pPr>
            <w:hyperlink w:anchor="page52">
              <w:r>
                <w:rPr>
                  <w:rFonts w:ascii="Arial" w:cs="Arial" w:eastAsia="Arial" w:hAnsi="Arial"/>
                  <w:sz w:val="18"/>
                  <w:szCs w:val="18"/>
                  <w:color w:val="auto"/>
                </w:rPr>
                <w:t>public accounting firm</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22</w:t>
              </w:r>
            </w:hyperlink>
          </w:p>
        </w:tc>
        <w:tc>
          <w:tcPr>
            <w:tcW w:w="5000" w:type="dxa"/>
            <w:vAlign w:val="bottom"/>
          </w:tcPr>
          <w:p>
            <w:pPr>
              <w:ind w:left="180"/>
              <w:spacing w:after="0"/>
              <w:rPr>
                <w:sz w:val="20"/>
                <w:szCs w:val="20"/>
                <w:color w:val="auto"/>
              </w:rPr>
            </w:pPr>
            <w:r>
              <w:rPr>
                <w:rFonts w:ascii="Arial" w:cs="Arial" w:eastAsia="Arial" w:hAnsi="Arial"/>
                <w:sz w:val="18"/>
                <w:szCs w:val="18"/>
                <w:color w:val="auto"/>
              </w:rPr>
              <w:t>Stockholder proposal</w:t>
            </w:r>
          </w:p>
        </w:tc>
        <w:tc>
          <w:tcPr>
            <w:tcW w:w="5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22</w:t>
              </w:r>
            </w:hyperlink>
          </w:p>
        </w:tc>
        <w:tc>
          <w:tcPr>
            <w:tcW w:w="5000" w:type="dxa"/>
            <w:vAlign w:val="bottom"/>
          </w:tcPr>
          <w:p>
            <w:pPr>
              <w:ind w:left="180"/>
              <w:spacing w:after="0"/>
              <w:rPr>
                <w:rFonts w:ascii="Arial" w:cs="Arial" w:eastAsia="Arial" w:hAnsi="Arial"/>
                <w:sz w:val="18"/>
                <w:szCs w:val="18"/>
                <w:color w:val="auto"/>
              </w:rPr>
            </w:pPr>
            <w:hyperlink w:anchor="page55">
              <w:r>
                <w:rPr>
                  <w:rFonts w:ascii="Arial" w:cs="Arial" w:eastAsia="Arial" w:hAnsi="Arial"/>
                  <w:sz w:val="18"/>
                  <w:szCs w:val="18"/>
                  <w:color w:val="auto"/>
                </w:rPr>
                <w:t>Additional information</w:t>
              </w:r>
            </w:hyperlink>
          </w:p>
        </w:tc>
        <w:tc>
          <w:tcPr>
            <w:tcW w:w="5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000" w:type="dxa"/>
            <w:vAlign w:val="bottom"/>
          </w:tcPr>
          <w:p>
            <w:pPr>
              <w:ind w:left="420"/>
              <w:spacing w:after="0"/>
              <w:rPr>
                <w:rFonts w:ascii="Arial" w:cs="Arial" w:eastAsia="Arial" w:hAnsi="Arial"/>
                <w:sz w:val="18"/>
                <w:szCs w:val="18"/>
                <w:color w:val="auto"/>
              </w:rPr>
            </w:pPr>
            <w:hyperlink w:anchor="page55">
              <w:r>
                <w:rPr>
                  <w:rFonts w:ascii="Arial" w:cs="Arial" w:eastAsia="Arial" w:hAnsi="Arial"/>
                  <w:sz w:val="18"/>
                  <w:szCs w:val="18"/>
                  <w:color w:val="auto"/>
                </w:rPr>
                <w:t>Voting securities</w:t>
              </w:r>
            </w:hyperlink>
          </w:p>
        </w:tc>
        <w:tc>
          <w:tcPr>
            <w:tcW w:w="5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22</w:t>
              </w:r>
            </w:hyperlink>
          </w:p>
        </w:tc>
        <w:tc>
          <w:tcPr>
            <w:tcW w:w="5000" w:type="dxa"/>
            <w:vAlign w:val="bottom"/>
          </w:tcPr>
          <w:p>
            <w:pPr>
              <w:ind w:left="420"/>
              <w:spacing w:after="0"/>
              <w:rPr>
                <w:rFonts w:ascii="Arial" w:cs="Arial" w:eastAsia="Arial" w:hAnsi="Arial"/>
                <w:sz w:val="18"/>
                <w:szCs w:val="18"/>
                <w:color w:val="auto"/>
              </w:rPr>
            </w:pPr>
            <w:hyperlink w:anchor="page55">
              <w:r>
                <w:rPr>
                  <w:rFonts w:ascii="Arial" w:cs="Arial" w:eastAsia="Arial" w:hAnsi="Arial"/>
                  <w:sz w:val="18"/>
                  <w:szCs w:val="18"/>
                  <w:color w:val="auto"/>
                </w:rPr>
                <w:t>Security ownership of certain beneficial owners</w:t>
              </w:r>
            </w:hyperlink>
          </w:p>
        </w:tc>
        <w:tc>
          <w:tcPr>
            <w:tcW w:w="5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9"/>
        </w:trPr>
        <w:tc>
          <w:tcPr>
            <w:tcW w:w="400" w:type="dxa"/>
            <w:vAlign w:val="bottom"/>
          </w:tcPr>
          <w:p>
            <w:pPr>
              <w:jc w:val="right"/>
              <w:ind w:right="110"/>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22</w:t>
              </w:r>
            </w:hyperlink>
          </w:p>
        </w:tc>
        <w:tc>
          <w:tcPr>
            <w:tcW w:w="5000" w:type="dxa"/>
            <w:vAlign w:val="bottom"/>
          </w:tcPr>
          <w:p>
            <w:pPr>
              <w:ind w:left="420"/>
              <w:spacing w:after="0"/>
              <w:rPr>
                <w:rFonts w:ascii="Arial" w:cs="Arial" w:eastAsia="Arial" w:hAnsi="Arial"/>
                <w:sz w:val="18"/>
                <w:szCs w:val="18"/>
                <w:color w:val="auto"/>
              </w:rPr>
            </w:pPr>
            <w:hyperlink w:anchor="page55">
              <w:r>
                <w:rPr>
                  <w:rFonts w:ascii="Arial" w:cs="Arial" w:eastAsia="Arial" w:hAnsi="Arial"/>
                  <w:sz w:val="18"/>
                  <w:szCs w:val="18"/>
                  <w:color w:val="auto"/>
                </w:rPr>
                <w:t>Security ownership of directors and</w:t>
              </w:r>
            </w:hyperlink>
          </w:p>
        </w:tc>
        <w:tc>
          <w:tcPr>
            <w:tcW w:w="5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4">
              <w:r>
                <w:rPr>
                  <w:rFonts w:ascii="Arial" w:cs="Arial" w:eastAsia="Arial" w:hAnsi="Arial"/>
                  <w:sz w:val="18"/>
                  <w:szCs w:val="18"/>
                  <w:color w:val="auto"/>
                  <w:w w:val="89"/>
                </w:rPr>
                <w:t>23</w:t>
              </w:r>
            </w:hyperlink>
          </w:p>
        </w:tc>
        <w:tc>
          <w:tcPr>
            <w:tcW w:w="5000" w:type="dxa"/>
            <w:vAlign w:val="bottom"/>
          </w:tcPr>
          <w:p>
            <w:pPr>
              <w:ind w:left="420"/>
              <w:spacing w:after="0"/>
              <w:rPr>
                <w:rFonts w:ascii="Arial" w:cs="Arial" w:eastAsia="Arial" w:hAnsi="Arial"/>
                <w:sz w:val="18"/>
                <w:szCs w:val="18"/>
                <w:color w:val="auto"/>
              </w:rPr>
            </w:pPr>
            <w:hyperlink w:anchor="page55">
              <w:r>
                <w:rPr>
                  <w:rFonts w:ascii="Arial" w:cs="Arial" w:eastAsia="Arial" w:hAnsi="Arial"/>
                  <w:sz w:val="18"/>
                  <w:szCs w:val="18"/>
                  <w:color w:val="auto"/>
                </w:rPr>
                <w:t>management</w:t>
              </w:r>
            </w:hyperlink>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jc w:val="right"/>
              <w:ind w:right="110"/>
              <w:spacing w:after="0"/>
              <w:rPr>
                <w:rFonts w:ascii="Arial" w:cs="Arial" w:eastAsia="Arial" w:hAnsi="Arial"/>
                <w:sz w:val="18"/>
                <w:szCs w:val="18"/>
                <w:color w:val="auto"/>
                <w:w w:val="89"/>
              </w:rPr>
            </w:pPr>
            <w:hyperlink w:anchor="page24">
              <w:r>
                <w:rPr>
                  <w:rFonts w:ascii="Arial" w:cs="Arial" w:eastAsia="Arial" w:hAnsi="Arial"/>
                  <w:sz w:val="18"/>
                  <w:szCs w:val="18"/>
                  <w:color w:val="auto"/>
                  <w:w w:val="89"/>
                </w:rPr>
                <w:t>23</w:t>
              </w:r>
            </w:hyperlink>
          </w:p>
        </w:tc>
        <w:tc>
          <w:tcPr>
            <w:tcW w:w="5000" w:type="dxa"/>
            <w:vAlign w:val="bottom"/>
          </w:tcPr>
          <w:p>
            <w:pPr>
              <w:ind w:left="420"/>
              <w:spacing w:after="0"/>
              <w:rPr>
                <w:rFonts w:ascii="Arial" w:cs="Arial" w:eastAsia="Arial" w:hAnsi="Arial"/>
                <w:sz w:val="18"/>
                <w:szCs w:val="18"/>
                <w:color w:val="auto"/>
              </w:rPr>
            </w:pPr>
            <w:hyperlink w:anchor="page57">
              <w:r>
                <w:rPr>
                  <w:rFonts w:ascii="Arial" w:cs="Arial" w:eastAsia="Arial" w:hAnsi="Arial"/>
                  <w:sz w:val="18"/>
                  <w:szCs w:val="18"/>
                  <w:color w:val="auto"/>
                </w:rPr>
                <w:t>Related person transactions</w:t>
              </w:r>
            </w:hyperlink>
          </w:p>
        </w:tc>
        <w:tc>
          <w:tcPr>
            <w:tcW w:w="5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16"/>
        </w:trPr>
        <w:tc>
          <w:tcPr>
            <w:tcW w:w="400" w:type="dxa"/>
            <w:vAlign w:val="bottom"/>
          </w:tcPr>
          <w:p>
            <w:pPr>
              <w:jc w:val="right"/>
              <w:ind w:right="110"/>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25</w:t>
              </w:r>
            </w:hyperlink>
          </w:p>
        </w:tc>
        <w:tc>
          <w:tcPr>
            <w:tcW w:w="5000" w:type="dxa"/>
            <w:vAlign w:val="bottom"/>
          </w:tcPr>
          <w:p>
            <w:pPr>
              <w:ind w:left="420"/>
              <w:spacing w:after="0"/>
              <w:rPr>
                <w:rFonts w:ascii="Arial" w:cs="Arial" w:eastAsia="Arial" w:hAnsi="Arial"/>
                <w:sz w:val="18"/>
                <w:szCs w:val="18"/>
                <w:color w:val="auto"/>
              </w:rPr>
            </w:pPr>
            <w:hyperlink w:anchor="page59">
              <w:r>
                <w:rPr>
                  <w:rFonts w:ascii="Arial" w:cs="Arial" w:eastAsia="Arial" w:hAnsi="Arial"/>
                  <w:sz w:val="18"/>
                  <w:szCs w:val="18"/>
                  <w:color w:val="auto"/>
                </w:rPr>
                <w:t>Compensation committee interlocks and</w:t>
              </w:r>
            </w:hyperlink>
          </w:p>
        </w:tc>
        <w:tc>
          <w:tcPr>
            <w:tcW w:w="50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17"/>
        </w:trPr>
        <w:tc>
          <w:tcPr>
            <w:tcW w:w="400" w:type="dxa"/>
            <w:vAlign w:val="bottom"/>
            <w:vMerge w:val="restart"/>
          </w:tcPr>
          <w:p>
            <w:pPr>
              <w:jc w:val="right"/>
              <w:ind w:right="110"/>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27</w:t>
              </w:r>
            </w:hyperlink>
          </w:p>
        </w:tc>
        <w:tc>
          <w:tcPr>
            <w:tcW w:w="5000" w:type="dxa"/>
            <w:vAlign w:val="bottom"/>
          </w:tcPr>
          <w:p>
            <w:pPr>
              <w:ind w:left="420"/>
              <w:spacing w:after="0"/>
              <w:rPr>
                <w:rFonts w:ascii="Arial" w:cs="Arial" w:eastAsia="Arial" w:hAnsi="Arial"/>
                <w:sz w:val="18"/>
                <w:szCs w:val="18"/>
                <w:color w:val="auto"/>
              </w:rPr>
            </w:pPr>
            <w:hyperlink w:anchor="page59">
              <w:r>
                <w:rPr>
                  <w:rFonts w:ascii="Arial" w:cs="Arial" w:eastAsia="Arial" w:hAnsi="Arial"/>
                  <w:sz w:val="18"/>
                  <w:szCs w:val="18"/>
                  <w:color w:val="auto"/>
                </w:rPr>
                <w:t>insider participation</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59">
              <w:r>
                <w:rPr>
                  <w:rFonts w:ascii="Arial" w:cs="Arial" w:eastAsia="Arial" w:hAnsi="Arial"/>
                  <w:sz w:val="18"/>
                  <w:szCs w:val="18"/>
                  <w:color w:val="auto"/>
                </w:rPr>
                <w:t>Cost of solicitation</w:t>
              </w:r>
            </w:hyperlink>
          </w:p>
        </w:tc>
        <w:tc>
          <w:tcPr>
            <w:tcW w:w="500" w:type="dxa"/>
            <w:vAlign w:val="bottom"/>
            <w:vMerge w:val="restart"/>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33</w:t>
              </w:r>
            </w:hyperlink>
          </w:p>
        </w:tc>
        <w:tc>
          <w:tcPr>
            <w:tcW w:w="50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59">
              <w:r>
                <w:rPr>
                  <w:rFonts w:ascii="Arial" w:cs="Arial" w:eastAsia="Arial" w:hAnsi="Arial"/>
                  <w:sz w:val="18"/>
                  <w:szCs w:val="18"/>
                  <w:color w:val="auto"/>
                </w:rPr>
                <w:t>Stockholder proposals and nominations</w:t>
              </w:r>
            </w:hyperlink>
          </w:p>
        </w:tc>
        <w:tc>
          <w:tcPr>
            <w:tcW w:w="500" w:type="dxa"/>
            <w:vAlign w:val="bottom"/>
            <w:vMerge w:val="restart"/>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161"/>
        </w:trPr>
        <w:tc>
          <w:tcPr>
            <w:tcW w:w="400" w:type="dxa"/>
            <w:vAlign w:val="bottom"/>
            <w:vMerge w:val="restart"/>
          </w:tcPr>
          <w:p>
            <w:pPr>
              <w:jc w:val="right"/>
              <w:ind w:right="110"/>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33</w:t>
              </w:r>
            </w:hyperlink>
          </w:p>
        </w:tc>
        <w:tc>
          <w:tcPr>
            <w:tcW w:w="50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00" w:type="dxa"/>
            <w:vAlign w:val="bottom"/>
            <w:vMerge w:val="continue"/>
          </w:tcPr>
          <w:p>
            <w:pPr>
              <w:spacing w:after="0"/>
              <w:rPr>
                <w:sz w:val="9"/>
                <w:szCs w:val="9"/>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59">
              <w:r>
                <w:rPr>
                  <w:rFonts w:ascii="Arial" w:cs="Arial" w:eastAsia="Arial" w:hAnsi="Arial"/>
                  <w:sz w:val="18"/>
                  <w:szCs w:val="18"/>
                  <w:color w:val="auto"/>
                </w:rPr>
                <w:t xml:space="preserve">for </w:t>
              </w:r>
            </w:hyperlink>
            <w:r>
              <w:rPr>
                <w:rFonts w:ascii="Arial" w:cs="Arial" w:eastAsia="Arial" w:hAnsi="Arial"/>
                <w:sz w:val="18"/>
                <w:szCs w:val="18"/>
                <w:color w:val="auto"/>
              </w:rPr>
              <w:t>2023</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c>
          <w:tcPr>
            <w:tcW w:w="50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59">
              <w:r>
                <w:rPr>
                  <w:rFonts w:ascii="Arial" w:cs="Arial" w:eastAsia="Arial" w:hAnsi="Arial"/>
                  <w:sz w:val="18"/>
                  <w:szCs w:val="18"/>
                  <w:color w:val="auto"/>
                </w:rPr>
                <w:t>Benefit plan voting</w:t>
              </w:r>
            </w:hyperlink>
          </w:p>
        </w:tc>
        <w:tc>
          <w:tcPr>
            <w:tcW w:w="500" w:type="dxa"/>
            <w:vAlign w:val="bottom"/>
            <w:vMerge w:val="restart"/>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8"/>
        </w:trPr>
        <w:tc>
          <w:tcPr>
            <w:tcW w:w="400" w:type="dxa"/>
            <w:vAlign w:val="bottom"/>
            <w:vMerge w:val="restart"/>
          </w:tcPr>
          <w:p>
            <w:pPr>
              <w:jc w:val="right"/>
              <w:ind w:right="110"/>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34</w:t>
              </w:r>
            </w:hyperlink>
          </w:p>
        </w:tc>
        <w:tc>
          <w:tcPr>
            <w:tcW w:w="50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Delinquent Section 16(a) reports</w:t>
            </w:r>
          </w:p>
        </w:tc>
        <w:tc>
          <w:tcPr>
            <w:tcW w:w="500" w:type="dxa"/>
            <w:vAlign w:val="bottom"/>
            <w:vMerge w:val="restart"/>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0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00" w:type="dxa"/>
            <w:vAlign w:val="bottom"/>
            <w:vMerge w:val="restart"/>
          </w:tcPr>
          <w:p>
            <w:pPr>
              <w:jc w:val="right"/>
              <w:ind w:right="110"/>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34</w:t>
              </w:r>
            </w:hyperlink>
          </w:p>
        </w:tc>
        <w:tc>
          <w:tcPr>
            <w:tcW w:w="5000" w:type="dxa"/>
            <w:vAlign w:val="bottom"/>
          </w:tcPr>
          <w:p>
            <w:pPr>
              <w:ind w:left="420"/>
              <w:spacing w:after="0"/>
              <w:rPr>
                <w:rFonts w:ascii="Arial" w:cs="Arial" w:eastAsia="Arial" w:hAnsi="Arial"/>
                <w:sz w:val="18"/>
                <w:szCs w:val="18"/>
                <w:color w:val="auto"/>
              </w:rPr>
            </w:pPr>
            <w:hyperlink w:anchor="page60">
              <w:r>
                <w:rPr>
                  <w:rFonts w:ascii="Arial" w:cs="Arial" w:eastAsia="Arial" w:hAnsi="Arial"/>
                  <w:sz w:val="18"/>
                  <w:szCs w:val="18"/>
                  <w:color w:val="auto"/>
                </w:rPr>
                <w:t>Telephone and internet voting</w:t>
              </w:r>
            </w:hyperlink>
          </w:p>
        </w:tc>
        <w:tc>
          <w:tcPr>
            <w:tcW w:w="50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60">
              <w:r>
                <w:rPr>
                  <w:rFonts w:ascii="Arial" w:cs="Arial" w:eastAsia="Arial" w:hAnsi="Arial"/>
                  <w:sz w:val="18"/>
                  <w:szCs w:val="18"/>
                  <w:color w:val="auto"/>
                </w:rPr>
                <w:t>Stockholders sharing the same address</w:t>
              </w:r>
            </w:hyperlink>
          </w:p>
        </w:tc>
        <w:tc>
          <w:tcPr>
            <w:tcW w:w="500" w:type="dxa"/>
            <w:vAlign w:val="bottom"/>
            <w:vMerge w:val="restart"/>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ind w:right="110"/>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35</w:t>
              </w:r>
            </w:hyperlink>
          </w:p>
        </w:tc>
        <w:tc>
          <w:tcPr>
            <w:tcW w:w="50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5000" w:type="dxa"/>
            <w:vAlign w:val="bottom"/>
            <w:vMerge w:val="restart"/>
          </w:tcPr>
          <w:p>
            <w:pPr>
              <w:ind w:left="420"/>
              <w:spacing w:after="0"/>
              <w:rPr>
                <w:rFonts w:ascii="Arial" w:cs="Arial" w:eastAsia="Arial" w:hAnsi="Arial"/>
                <w:sz w:val="18"/>
                <w:szCs w:val="18"/>
                <w:color w:val="auto"/>
              </w:rPr>
            </w:pPr>
            <w:hyperlink w:anchor="page60">
              <w:r>
                <w:rPr>
                  <w:rFonts w:ascii="Arial" w:cs="Arial" w:eastAsia="Arial" w:hAnsi="Arial"/>
                  <w:sz w:val="18"/>
                  <w:szCs w:val="18"/>
                  <w:color w:val="auto"/>
                </w:rPr>
                <w:t>Electronic delivery of proxy materials and copies of our</w:t>
              </w:r>
            </w:hyperlink>
          </w:p>
        </w:tc>
        <w:tc>
          <w:tcPr>
            <w:tcW w:w="500" w:type="dxa"/>
            <w:vAlign w:val="bottom"/>
            <w:vMerge w:val="restart"/>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50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000" w:type="dxa"/>
            <w:vAlign w:val="bottom"/>
          </w:tcPr>
          <w:p>
            <w:pPr>
              <w:ind w:left="420"/>
              <w:spacing w:after="0"/>
              <w:rPr>
                <w:rFonts w:ascii="Arial" w:cs="Arial" w:eastAsia="Arial" w:hAnsi="Arial"/>
                <w:sz w:val="18"/>
                <w:szCs w:val="18"/>
                <w:color w:val="auto"/>
              </w:rPr>
            </w:pPr>
            <w:hyperlink w:anchor="page60">
              <w:r>
                <w:rPr>
                  <w:rFonts w:ascii="Arial" w:cs="Arial" w:eastAsia="Arial" w:hAnsi="Arial"/>
                  <w:sz w:val="18"/>
                  <w:szCs w:val="18"/>
                  <w:color w:val="auto"/>
                </w:rPr>
                <w:t>Form 10-K</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000" w:type="dxa"/>
            <w:vAlign w:val="bottom"/>
          </w:tcPr>
          <w:p>
            <w:pPr>
              <w:ind w:left="180"/>
              <w:spacing w:after="0"/>
              <w:rPr>
                <w:rFonts w:ascii="Arial" w:cs="Arial" w:eastAsia="Arial" w:hAnsi="Arial"/>
                <w:sz w:val="18"/>
                <w:szCs w:val="18"/>
                <w:color w:val="auto"/>
              </w:rPr>
            </w:pPr>
            <w:hyperlink w:anchor="page61">
              <w:r>
                <w:rPr>
                  <w:rFonts w:ascii="Arial" w:cs="Arial" w:eastAsia="Arial" w:hAnsi="Arial"/>
                  <w:sz w:val="18"/>
                  <w:szCs w:val="18"/>
                  <w:color w:val="auto"/>
                </w:rPr>
                <w:t>Notice regarding forward-looking statements</w:t>
              </w:r>
            </w:hyperlink>
          </w:p>
        </w:tc>
        <w:tc>
          <w:tcPr>
            <w:tcW w:w="50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000" w:type="dxa"/>
            <w:vAlign w:val="bottom"/>
          </w:tcPr>
          <w:p>
            <w:pPr>
              <w:ind w:left="180"/>
              <w:spacing w:after="0"/>
              <w:rPr>
                <w:rFonts w:ascii="Arial" w:cs="Arial" w:eastAsia="Arial" w:hAnsi="Arial"/>
                <w:sz w:val="18"/>
                <w:szCs w:val="18"/>
                <w:color w:val="auto"/>
              </w:rPr>
            </w:pPr>
            <w:hyperlink w:anchor="page61">
              <w:r>
                <w:rPr>
                  <w:rFonts w:ascii="Arial" w:cs="Arial" w:eastAsia="Arial" w:hAnsi="Arial"/>
                  <w:sz w:val="18"/>
                  <w:szCs w:val="18"/>
                  <w:color w:val="auto"/>
                </w:rPr>
                <w:t>Directions and other annual meeting information</w:t>
              </w:r>
            </w:hyperlink>
          </w:p>
        </w:tc>
        <w:tc>
          <w:tcPr>
            <w:tcW w:w="50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000" w:type="dxa"/>
            <w:vAlign w:val="bottom"/>
          </w:tcPr>
          <w:p>
            <w:pPr>
              <w:ind w:left="180"/>
              <w:spacing w:after="0"/>
              <w:rPr>
                <w:rFonts w:ascii="Arial" w:cs="Arial" w:eastAsia="Arial" w:hAnsi="Arial"/>
                <w:sz w:val="18"/>
                <w:szCs w:val="18"/>
                <w:color w:val="auto"/>
              </w:rPr>
            </w:pPr>
            <w:hyperlink w:anchor="page62">
              <w:r>
                <w:rPr>
                  <w:rFonts w:ascii="Arial" w:cs="Arial" w:eastAsia="Arial" w:hAnsi="Arial"/>
                  <w:sz w:val="18"/>
                  <w:szCs w:val="18"/>
                  <w:color w:val="auto"/>
                </w:rPr>
                <w:t>Appendix A (Non-GAAP reconciliations)</w:t>
              </w:r>
            </w:hyperlink>
          </w:p>
        </w:tc>
        <w:tc>
          <w:tcPr>
            <w:tcW w:w="50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A-</w:t>
            </w:r>
            <w:hyperlink w:anchor="page6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40" w:space="480"/>
            <w:col w:w="5900"/>
          </w:cols>
          <w:pgMar w:left="340" w:top="76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242424"/>
        </w:rPr>
        <w:t>2022 PROXY STATEMENT • PAGE 2</w:t>
      </w:r>
    </w:p>
    <w:p>
      <w:pPr>
        <w:sectPr>
          <w:pgSz w:w="11900" w:h="16838" w:orient="portrait"/>
          <w:cols w:equalWidth="0" w:num="1">
            <w:col w:w="11020"/>
          </w:cols>
          <w:pgMar w:left="340" w:top="769" w:right="5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PROXY STATEMENT – MARCH 15,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 DALLAS, TX 75243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P.O. BOX 660199, DALLAS, TX 75266-0199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3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TI’s board of directors requests your proxy for the annual meeting of stockholders on April 28, 2022.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15, 2022.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Matter</w:t>
            </w:r>
          </w:p>
        </w:tc>
        <w:tc>
          <w:tcPr>
            <w:tcW w:w="44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Required Vote for Election or Approval</w:t>
            </w:r>
          </w:p>
        </w:tc>
        <w:tc>
          <w:tcPr>
            <w:tcW w:w="4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485"/>
        </w:trPr>
        <w:tc>
          <w:tcPr>
            <w:tcW w:w="25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Election of directors.</w:t>
            </w:r>
          </w:p>
        </w:tc>
        <w:tc>
          <w:tcPr>
            <w:tcW w:w="44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Majority of votes present in person or by</w:t>
            </w:r>
          </w:p>
        </w:tc>
        <w:tc>
          <w:tcPr>
            <w:tcW w:w="420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Abstentions have the same effect as votes</w:t>
            </w:r>
          </w:p>
        </w:tc>
      </w:tr>
      <w:tr>
        <w:trPr>
          <w:trHeight w:val="216"/>
        </w:trPr>
        <w:tc>
          <w:tcPr>
            <w:tcW w:w="2580" w:type="dxa"/>
            <w:vAlign w:val="bottom"/>
            <w:shd w:val="clear" w:color="auto" w:fill="DBDBDB"/>
          </w:tcPr>
          <w:p>
            <w:pPr>
              <w:spacing w:after="0"/>
              <w:rPr>
                <w:sz w:val="18"/>
                <w:szCs w:val="18"/>
                <w:color w:val="auto"/>
              </w:rPr>
            </w:pPr>
          </w:p>
        </w:tc>
        <w:tc>
          <w:tcPr>
            <w:tcW w:w="44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proxy at the meeting and entitled to be cast</w:t>
            </w:r>
          </w:p>
        </w:tc>
        <w:tc>
          <w:tcPr>
            <w:tcW w:w="4200" w:type="dxa"/>
            <w:vAlign w:val="bottom"/>
            <w:shd w:val="clear" w:color="auto" w:fill="DBDBDB"/>
          </w:tcPr>
          <w:p>
            <w:pPr>
              <w:ind w:left="160"/>
              <w:spacing w:after="0"/>
              <w:rPr>
                <w:sz w:val="20"/>
                <w:szCs w:val="20"/>
                <w:color w:val="auto"/>
              </w:rPr>
            </w:pPr>
            <w:r>
              <w:rPr>
                <w:rFonts w:ascii="Arial" w:cs="Arial" w:eastAsia="Arial" w:hAnsi="Arial"/>
                <w:sz w:val="18"/>
                <w:szCs w:val="18"/>
                <w:color w:val="auto"/>
              </w:rPr>
              <w:t>against. Broker non-votes are not counted as</w:t>
            </w:r>
          </w:p>
        </w:tc>
      </w:tr>
      <w:tr>
        <w:trPr>
          <w:trHeight w:val="216"/>
        </w:trPr>
        <w:tc>
          <w:tcPr>
            <w:tcW w:w="2580" w:type="dxa"/>
            <w:vAlign w:val="bottom"/>
            <w:shd w:val="clear" w:color="auto" w:fill="DBDBDB"/>
          </w:tcPr>
          <w:p>
            <w:pPr>
              <w:spacing w:after="0"/>
              <w:rPr>
                <w:sz w:val="18"/>
                <w:szCs w:val="18"/>
                <w:color w:val="auto"/>
              </w:rPr>
            </w:pPr>
          </w:p>
        </w:tc>
        <w:tc>
          <w:tcPr>
            <w:tcW w:w="44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in the election with respect to a nominee</w:t>
            </w:r>
          </w:p>
        </w:tc>
        <w:tc>
          <w:tcPr>
            <w:tcW w:w="4200" w:type="dxa"/>
            <w:vAlign w:val="bottom"/>
            <w:shd w:val="clear" w:color="auto" w:fill="DBDBDB"/>
          </w:tcPr>
          <w:p>
            <w:pPr>
              <w:ind w:left="160"/>
              <w:spacing w:after="0"/>
              <w:rPr>
                <w:sz w:val="20"/>
                <w:szCs w:val="20"/>
                <w:color w:val="auto"/>
              </w:rPr>
            </w:pPr>
            <w:r>
              <w:rPr>
                <w:rFonts w:ascii="Arial" w:cs="Arial" w:eastAsia="Arial" w:hAnsi="Arial"/>
                <w:sz w:val="18"/>
                <w:szCs w:val="18"/>
                <w:color w:val="auto"/>
              </w:rPr>
              <w:t>votes for or against.</w:t>
            </w:r>
          </w:p>
        </w:tc>
      </w:tr>
      <w:tr>
        <w:trPr>
          <w:trHeight w:val="217"/>
        </w:trPr>
        <w:tc>
          <w:tcPr>
            <w:tcW w:w="2580" w:type="dxa"/>
            <w:vAlign w:val="bottom"/>
            <w:shd w:val="clear" w:color="auto" w:fill="DBDBDB"/>
          </w:tcPr>
          <w:p>
            <w:pPr>
              <w:spacing w:after="0"/>
              <w:rPr>
                <w:sz w:val="18"/>
                <w:szCs w:val="18"/>
                <w:color w:val="auto"/>
              </w:rPr>
            </w:pPr>
          </w:p>
        </w:tc>
        <w:tc>
          <w:tcPr>
            <w:tcW w:w="4440" w:type="dxa"/>
            <w:vAlign w:val="bottom"/>
            <w:shd w:val="clear" w:color="auto" w:fill="DBDBDB"/>
          </w:tcPr>
          <w:p>
            <w:pPr>
              <w:ind w:left="840"/>
              <w:spacing w:after="0"/>
              <w:rPr>
                <w:sz w:val="20"/>
                <w:szCs w:val="20"/>
                <w:color w:val="auto"/>
              </w:rPr>
            </w:pPr>
            <w:r>
              <w:rPr>
                <w:rFonts w:ascii="Arial" w:cs="Arial" w:eastAsia="Arial" w:hAnsi="Arial"/>
                <w:sz w:val="18"/>
                <w:szCs w:val="18"/>
                <w:color w:val="auto"/>
              </w:rPr>
              <w:t>must be cast for that nominee.</w:t>
            </w:r>
          </w:p>
        </w:tc>
        <w:tc>
          <w:tcPr>
            <w:tcW w:w="4200" w:type="dxa"/>
            <w:vAlign w:val="bottom"/>
            <w:shd w:val="clear" w:color="auto" w:fill="DBDBDB"/>
          </w:tcPr>
          <w:p>
            <w:pPr>
              <w:spacing w:after="0"/>
              <w:rPr>
                <w:sz w:val="18"/>
                <w:szCs w:val="18"/>
                <w:color w:val="auto"/>
              </w:rPr>
            </w:pPr>
          </w:p>
        </w:tc>
      </w:tr>
      <w:tr>
        <w:trPr>
          <w:trHeight w:val="135"/>
        </w:trPr>
        <w:tc>
          <w:tcPr>
            <w:tcW w:w="2580" w:type="dxa"/>
            <w:vAlign w:val="bottom"/>
            <w:shd w:val="clear" w:color="auto" w:fill="DBDBDB"/>
          </w:tcPr>
          <w:p>
            <w:pPr>
              <w:spacing w:after="0"/>
              <w:rPr>
                <w:sz w:val="11"/>
                <w:szCs w:val="11"/>
                <w:color w:val="auto"/>
              </w:rPr>
            </w:pPr>
          </w:p>
        </w:tc>
        <w:tc>
          <w:tcPr>
            <w:tcW w:w="4440" w:type="dxa"/>
            <w:vAlign w:val="bottom"/>
            <w:shd w:val="clear" w:color="auto" w:fill="DBDBDB"/>
          </w:tcPr>
          <w:p>
            <w:pPr>
              <w:spacing w:after="0"/>
              <w:rPr>
                <w:sz w:val="11"/>
                <w:szCs w:val="11"/>
                <w:color w:val="auto"/>
              </w:rPr>
            </w:pPr>
          </w:p>
        </w:tc>
        <w:tc>
          <w:tcPr>
            <w:tcW w:w="4200" w:type="dxa"/>
            <w:vAlign w:val="bottom"/>
            <w:shd w:val="clear" w:color="auto" w:fill="DBDBDB"/>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sectPr>
      </w:pPr>
    </w:p>
    <w:p>
      <w:pPr>
        <w:spacing w:after="0" w:line="69" w:lineRule="exact"/>
        <w:rPr>
          <w:sz w:val="20"/>
          <w:szCs w:val="20"/>
          <w:color w:val="auto"/>
        </w:rPr>
      </w:pPr>
    </w:p>
    <w:p>
      <w:pPr>
        <w:jc w:val="both"/>
        <w:ind w:left="100" w:right="20"/>
        <w:spacing w:after="0" w:line="291" w:lineRule="auto"/>
        <w:rPr>
          <w:sz w:val="20"/>
          <w:szCs w:val="20"/>
          <w:color w:val="auto"/>
        </w:rPr>
      </w:pPr>
      <w:r>
        <w:rPr>
          <w:rFonts w:ascii="Arial" w:cs="Arial" w:eastAsia="Arial" w:hAnsi="Arial"/>
          <w:sz w:val="17"/>
          <w:szCs w:val="17"/>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226" w:lineRule="exact"/>
        <w:rPr>
          <w:sz w:val="20"/>
          <w:szCs w:val="20"/>
          <w:color w:val="auto"/>
        </w:rPr>
      </w:pPr>
    </w:p>
    <w:p>
      <w:pPr>
        <w:sectPr>
          <w:pgSz w:w="11900" w:h="16838" w:orient="portrait"/>
          <w:cols w:equalWidth="0" w:num="3">
            <w:col w:w="2700" w:space="720"/>
            <w:col w:w="3260" w:space="500"/>
            <w:col w:w="404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85"/>
        </w:trPr>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Proposal to ratify appointment of</w:t>
            </w:r>
          </w:p>
        </w:tc>
        <w:tc>
          <w:tcPr>
            <w:tcW w:w="38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Majority of votes present in person or by</w:t>
            </w: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have the same effect as votes</w:t>
            </w:r>
          </w:p>
        </w:tc>
      </w:tr>
      <w:tr>
        <w:trPr>
          <w:trHeight w:val="216"/>
        </w:trPr>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independent registered public</w:t>
            </w:r>
          </w:p>
        </w:tc>
        <w:tc>
          <w:tcPr>
            <w:tcW w:w="38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proxy at the meeting must be cast for the</w:t>
            </w: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against. (Brokers are permitted to exercise their</w:t>
            </w:r>
          </w:p>
        </w:tc>
      </w:tr>
      <w:tr>
        <w:trPr>
          <w:trHeight w:val="216"/>
        </w:trPr>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accounting firm.</w:t>
            </w:r>
          </w:p>
        </w:tc>
        <w:tc>
          <w:tcPr>
            <w:tcW w:w="38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proposal.</w:t>
            </w: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discretion and vote without specific instruction on</w:t>
            </w:r>
          </w:p>
        </w:tc>
      </w:tr>
      <w:tr>
        <w:trPr>
          <w:trHeight w:val="216"/>
        </w:trPr>
        <w:tc>
          <w:tcPr>
            <w:tcW w:w="3060" w:type="dxa"/>
            <w:vAlign w:val="bottom"/>
            <w:shd w:val="clear" w:color="auto" w:fill="DBDBDB"/>
          </w:tcPr>
          <w:p>
            <w:pPr>
              <w:spacing w:after="0"/>
              <w:rPr>
                <w:sz w:val="18"/>
                <w:szCs w:val="18"/>
                <w:color w:val="auto"/>
              </w:rPr>
            </w:pPr>
          </w:p>
        </w:tc>
        <w:tc>
          <w:tcPr>
            <w:tcW w:w="3860" w:type="dxa"/>
            <w:vAlign w:val="bottom"/>
            <w:shd w:val="clear" w:color="auto" w:fill="DBDBDB"/>
          </w:tcPr>
          <w:p>
            <w:pPr>
              <w:spacing w:after="0"/>
              <w:rPr>
                <w:sz w:val="18"/>
                <w:szCs w:val="18"/>
                <w:color w:val="auto"/>
              </w:rPr>
            </w:pP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this matter. Accordingly, there are no broker non-</w:t>
            </w:r>
          </w:p>
        </w:tc>
      </w:tr>
      <w:tr>
        <w:trPr>
          <w:trHeight w:val="217"/>
        </w:trPr>
        <w:tc>
          <w:tcPr>
            <w:tcW w:w="3060" w:type="dxa"/>
            <w:vAlign w:val="bottom"/>
            <w:shd w:val="clear" w:color="auto" w:fill="DBDBDB"/>
          </w:tcPr>
          <w:p>
            <w:pPr>
              <w:spacing w:after="0"/>
              <w:rPr>
                <w:sz w:val="18"/>
                <w:szCs w:val="18"/>
                <w:color w:val="auto"/>
              </w:rPr>
            </w:pPr>
          </w:p>
        </w:tc>
        <w:tc>
          <w:tcPr>
            <w:tcW w:w="3860" w:type="dxa"/>
            <w:vAlign w:val="bottom"/>
            <w:shd w:val="clear" w:color="auto" w:fill="DBDBDB"/>
          </w:tcPr>
          <w:p>
            <w:pPr>
              <w:spacing w:after="0"/>
              <w:rPr>
                <w:sz w:val="18"/>
                <w:szCs w:val="18"/>
                <w:color w:val="auto"/>
              </w:rPr>
            </w:pP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votes.)</w:t>
            </w:r>
          </w:p>
        </w:tc>
      </w:tr>
      <w:tr>
        <w:trPr>
          <w:trHeight w:val="27"/>
        </w:trPr>
        <w:tc>
          <w:tcPr>
            <w:tcW w:w="3060" w:type="dxa"/>
            <w:vAlign w:val="bottom"/>
            <w:shd w:val="clear" w:color="auto" w:fill="DBDBDB"/>
          </w:tcPr>
          <w:p>
            <w:pPr>
              <w:spacing w:after="0"/>
              <w:rPr>
                <w:sz w:val="2"/>
                <w:szCs w:val="2"/>
                <w:color w:val="auto"/>
              </w:rPr>
            </w:pPr>
          </w:p>
        </w:tc>
        <w:tc>
          <w:tcPr>
            <w:tcW w:w="3860" w:type="dxa"/>
            <w:vAlign w:val="bottom"/>
            <w:shd w:val="clear" w:color="auto" w:fill="DBDBDB"/>
          </w:tcPr>
          <w:p>
            <w:pPr>
              <w:spacing w:after="0"/>
              <w:rPr>
                <w:sz w:val="2"/>
                <w:szCs w:val="2"/>
                <w:color w:val="auto"/>
              </w:rPr>
            </w:pPr>
          </w:p>
        </w:tc>
        <w:tc>
          <w:tcPr>
            <w:tcW w:w="430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69" w:lineRule="exact"/>
        <w:rPr>
          <w:sz w:val="20"/>
          <w:szCs w:val="20"/>
          <w:color w:val="auto"/>
        </w:rPr>
      </w:pPr>
    </w:p>
    <w:p>
      <w:pPr>
        <w:ind w:left="100"/>
        <w:spacing w:after="0" w:line="256" w:lineRule="auto"/>
        <w:rPr>
          <w:sz w:val="20"/>
          <w:szCs w:val="20"/>
          <w:color w:val="auto"/>
        </w:rPr>
      </w:pPr>
      <w:r>
        <w:rPr>
          <w:rFonts w:ascii="Arial" w:cs="Arial" w:eastAsia="Arial" w:hAnsi="Arial"/>
          <w:sz w:val="18"/>
          <w:szCs w:val="18"/>
          <w:color w:val="auto"/>
        </w:rPr>
        <w:t>Stockholder proposal to permit a combined 10% of stockholders to call a special meeting.</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Majority of the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Abstentions and broker non votes have the same effect as votes against.</w:t>
      </w:r>
    </w:p>
    <w:p>
      <w:pPr>
        <w:spacing w:after="0" w:line="226" w:lineRule="exact"/>
        <w:rPr>
          <w:sz w:val="20"/>
          <w:szCs w:val="20"/>
          <w:color w:val="auto"/>
        </w:rPr>
      </w:pPr>
    </w:p>
    <w:p>
      <w:pPr>
        <w:sectPr>
          <w:pgSz w:w="11900" w:h="16838" w:orient="portrait"/>
          <w:cols w:equalWidth="0" w:num="3">
            <w:col w:w="3080" w:space="340"/>
            <w:col w:w="3500" w:space="260"/>
            <w:col w:w="4040"/>
          </w:cols>
          <w:pgMar w:left="320" w:top="769" w:right="359" w:bottom="1440" w:gutter="0" w:footer="0" w:header="0"/>
          <w:type w:val="continuous"/>
        </w:sectPr>
      </w:pPr>
    </w:p>
    <w:tbl>
      <w:tblPr>
        <w:tblLayout w:type="fixed"/>
        <w:tblInd w:w="0" w:type="dxa"/>
        <w:tblCellMar>
          <w:top w:w="0" w:type="dxa"/>
          <w:left w:w="0" w:type="dxa"/>
          <w:bottom w:w="0" w:type="dxa"/>
          <w:right w:w="0" w:type="dxa"/>
        </w:tblCellMar>
      </w:tblPr>
      <w:tr>
        <w:trPr>
          <w:trHeight w:val="485"/>
        </w:trPr>
        <w:tc>
          <w:tcPr>
            <w:tcW w:w="32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Any other matter that may properly be</w:t>
            </w:r>
          </w:p>
        </w:tc>
        <w:tc>
          <w:tcPr>
            <w:tcW w:w="3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Majority of votes present in person or by</w:t>
            </w: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Abstentions and broker non-votes have the same</w:t>
            </w:r>
          </w:p>
        </w:tc>
      </w:tr>
      <w:tr>
        <w:trPr>
          <w:trHeight w:val="216"/>
        </w:trPr>
        <w:tc>
          <w:tcPr>
            <w:tcW w:w="32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submitted at the meeting.</w:t>
            </w:r>
          </w:p>
        </w:tc>
        <w:tc>
          <w:tcPr>
            <w:tcW w:w="3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proxy at the meeting must be cast for the</w:t>
            </w:r>
          </w:p>
        </w:tc>
        <w:tc>
          <w:tcPr>
            <w:tcW w:w="4300" w:type="dxa"/>
            <w:vAlign w:val="bottom"/>
            <w:shd w:val="clear" w:color="auto" w:fill="DBDBDB"/>
          </w:tcPr>
          <w:p>
            <w:pPr>
              <w:ind w:left="260"/>
              <w:spacing w:after="0"/>
              <w:rPr>
                <w:sz w:val="20"/>
                <w:szCs w:val="20"/>
                <w:color w:val="auto"/>
              </w:rPr>
            </w:pPr>
            <w:r>
              <w:rPr>
                <w:rFonts w:ascii="Arial" w:cs="Arial" w:eastAsia="Arial" w:hAnsi="Arial"/>
                <w:sz w:val="18"/>
                <w:szCs w:val="18"/>
                <w:color w:val="auto"/>
              </w:rPr>
              <w:t>effect as votes against.</w:t>
            </w:r>
          </w:p>
        </w:tc>
      </w:tr>
      <w:tr>
        <w:trPr>
          <w:trHeight w:val="217"/>
        </w:trPr>
        <w:tc>
          <w:tcPr>
            <w:tcW w:w="3280" w:type="dxa"/>
            <w:vAlign w:val="bottom"/>
            <w:shd w:val="clear" w:color="auto" w:fill="DBDBDB"/>
          </w:tcPr>
          <w:p>
            <w:pPr>
              <w:spacing w:after="0"/>
              <w:rPr>
                <w:sz w:val="18"/>
                <w:szCs w:val="18"/>
                <w:color w:val="auto"/>
              </w:rPr>
            </w:pPr>
          </w:p>
        </w:tc>
        <w:tc>
          <w:tcPr>
            <w:tcW w:w="3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proposal.</w:t>
            </w:r>
          </w:p>
        </w:tc>
        <w:tc>
          <w:tcPr>
            <w:tcW w:w="4300" w:type="dxa"/>
            <w:vAlign w:val="bottom"/>
            <w:shd w:val="clear" w:color="auto" w:fill="DBDBDB"/>
          </w:tcPr>
          <w:p>
            <w:pPr>
              <w:spacing w:after="0"/>
              <w:rPr>
                <w:sz w:val="18"/>
                <w:szCs w:val="18"/>
                <w:color w:val="auto"/>
              </w:rPr>
            </w:pPr>
          </w:p>
        </w:tc>
      </w:tr>
      <w:tr>
        <w:trPr>
          <w:trHeight w:val="27"/>
        </w:trPr>
        <w:tc>
          <w:tcPr>
            <w:tcW w:w="3280" w:type="dxa"/>
            <w:vAlign w:val="bottom"/>
            <w:shd w:val="clear" w:color="auto" w:fill="DBDBDB"/>
          </w:tcPr>
          <w:p>
            <w:pPr>
              <w:spacing w:after="0"/>
              <w:rPr>
                <w:sz w:val="2"/>
                <w:szCs w:val="2"/>
                <w:color w:val="auto"/>
              </w:rPr>
            </w:pPr>
          </w:p>
        </w:tc>
        <w:tc>
          <w:tcPr>
            <w:tcW w:w="3640" w:type="dxa"/>
            <w:vAlign w:val="bottom"/>
            <w:shd w:val="clear" w:color="auto" w:fill="DBDBDB"/>
          </w:tcPr>
          <w:p>
            <w:pPr>
              <w:spacing w:after="0"/>
              <w:rPr>
                <w:sz w:val="2"/>
                <w:szCs w:val="2"/>
                <w:color w:val="auto"/>
              </w:rPr>
            </w:pPr>
          </w:p>
        </w:tc>
        <w:tc>
          <w:tcPr>
            <w:tcW w:w="430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w:t>
      </w:r>
    </w:p>
    <w:p>
      <w:pPr>
        <w:sectPr>
          <w:pgSz w:w="11900" w:h="16838" w:orient="portrait"/>
          <w:cols w:equalWidth="0" w:num="1">
            <w:col w:w="11220"/>
          </w:cols>
          <w:pgMar w:left="320" w:top="76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auto"/>
        </w:rPr>
        <w:t>Attendance and instructions for the annual meeting</w:t>
      </w:r>
    </w:p>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Attendance at the annual meeting is limited to stockholders or their legal proxy holders.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21, 2022.</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Advance registration forms can be printed by clicking on the “Register for Meeting” button found at www.proxyvote.com and following the instructions provided. You will need the 16-digit control number included in your notice, proxy card or voting instruction form. You must request your advance registration form by April 27, 2022, at 11:59 p.m. (Eastern time). If you are unable to print your advance registration form, please call Stockholder Meeting Registration Phone Support (toll free) at 1-844-318-0137 or 1-925-331-6070 (international toll) for assistance.</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governance update</w:t>
      </w:r>
    </w:p>
    <w:p>
      <w:pPr>
        <w:spacing w:after="0" w:line="2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January 20, 2022, TI’s board of directors approved by-law amendments to add a new provision allowing net long owners of 25% or more of the company’s outstanding common stock to call a special meeting of stockholders. These amendments were publicly disclosed pursuant to a Form 8-K filed on January 26, 2022. See “Adoption of special meeting right in response to 2021 written consent proposal” for more information regarding the bases on which the company took this action, including a description of the company’s robust stockholder outreach campaign.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3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Jean M. Hobby, Michael D. Hsu, Haviv Ilan, Ronald Kirk, Pamela H. Patsley, Robert E. Sanchez and Richard K. Templeton.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nominees, qualifications and experience</w:t>
      </w:r>
    </w:p>
    <w:p>
      <w:pPr>
        <w:spacing w:after="0" w:line="242"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All of the nominees for directorship are directors of the company. If any nominee becomes unable to serve before the meeting, the persons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4</w:t>
      </w:r>
    </w:p>
    <w:p>
      <w:pPr>
        <w:sectPr>
          <w:pgSz w:w="11900" w:h="16838" w:orient="portrait"/>
          <w:cols w:equalWidth="0" w:num="1">
            <w:col w:w="11240"/>
          </w:cols>
          <w:pgMar w:left="320" w:top="76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auto"/>
        </w:rPr>
        <w:t>Summary</w:t>
      </w:r>
    </w:p>
    <w:p>
      <w:pPr>
        <w:spacing w:after="0" w:line="21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This table provides a summary view of the qualifications, experience and demographics of each director nominee as of the proxy statement filing date.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Mark</w:t>
            </w:r>
          </w:p>
        </w:tc>
        <w:tc>
          <w:tcPr>
            <w:tcW w:w="680" w:type="dxa"/>
            <w:vAlign w:val="bottom"/>
          </w:tcPr>
          <w:p>
            <w:pPr>
              <w:spacing w:after="0"/>
              <w:rPr>
                <w:sz w:val="15"/>
                <w:szCs w:val="15"/>
                <w:color w:val="auto"/>
              </w:rPr>
            </w:pP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Janet</w:t>
            </w:r>
          </w:p>
        </w:tc>
        <w:tc>
          <w:tcPr>
            <w:tcW w:w="500" w:type="dxa"/>
            <w:vAlign w:val="bottom"/>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Jean</w:t>
            </w:r>
          </w:p>
        </w:tc>
        <w:tc>
          <w:tcPr>
            <w:tcW w:w="560" w:type="dxa"/>
            <w:vAlign w:val="bottom"/>
            <w:shd w:val="clear" w:color="auto" w:fill="DBDBDB"/>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Pamela</w:t>
            </w:r>
          </w:p>
        </w:tc>
        <w:tc>
          <w:tcPr>
            <w:tcW w:w="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Robert</w:t>
            </w:r>
          </w:p>
        </w:tc>
        <w:tc>
          <w:tcPr>
            <w:tcW w:w="740" w:type="dxa"/>
            <w:vAlign w:val="bottom"/>
          </w:tcPr>
          <w:p>
            <w:pPr>
              <w:spacing w:after="0"/>
              <w:rPr>
                <w:sz w:val="15"/>
                <w:szCs w:val="15"/>
                <w:color w:val="auto"/>
              </w:rPr>
            </w:pPr>
          </w:p>
        </w:tc>
      </w:tr>
      <w:tr>
        <w:trPr>
          <w:trHeight w:val="162"/>
        </w:trPr>
        <w:tc>
          <w:tcPr>
            <w:tcW w:w="4340" w:type="dxa"/>
            <w:vAlign w:val="bottom"/>
          </w:tcPr>
          <w:p>
            <w:pPr>
              <w:spacing w:after="0"/>
              <w:rPr>
                <w:sz w:val="14"/>
                <w:szCs w:val="14"/>
                <w:color w:val="auto"/>
              </w:rPr>
            </w:pPr>
          </w:p>
        </w:tc>
        <w:tc>
          <w:tcPr>
            <w:tcW w:w="5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A.</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Todd M.</w:t>
            </w:r>
          </w:p>
        </w:tc>
        <w:tc>
          <w:tcPr>
            <w:tcW w:w="4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6"/>
              </w:rPr>
              <w:t>F.</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Carrie</w:t>
            </w:r>
          </w:p>
        </w:tc>
        <w:tc>
          <w:tcPr>
            <w:tcW w:w="7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Martin 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M.</w:t>
            </w:r>
          </w:p>
        </w:tc>
        <w:tc>
          <w:tcPr>
            <w:tcW w:w="5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Michael</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Haviv</w:t>
            </w:r>
          </w:p>
        </w:tc>
        <w:tc>
          <w:tcPr>
            <w:tcW w:w="5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Ronald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0"/>
              </w:rPr>
              <w: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Richard K.</w:t>
            </w:r>
          </w:p>
        </w:tc>
      </w:tr>
      <w:tr>
        <w:trPr>
          <w:trHeight w:val="19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Qualifications and experience</w:t>
            </w:r>
          </w:p>
        </w:tc>
        <w:tc>
          <w:tcPr>
            <w:tcW w:w="5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Blinn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Bluedorn</w:t>
            </w:r>
          </w:p>
        </w:tc>
        <w:tc>
          <w:tcPr>
            <w:tcW w:w="4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Clark</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 Cox</w:t>
            </w:r>
          </w:p>
        </w:tc>
        <w:tc>
          <w:tcPr>
            <w:tcW w:w="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Craighead</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Hobby</w:t>
            </w:r>
          </w:p>
        </w:tc>
        <w:tc>
          <w:tcPr>
            <w:tcW w:w="5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D. Hsu</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Ilan</w:t>
            </w:r>
          </w:p>
        </w:tc>
        <w:tc>
          <w:tcPr>
            <w:tcW w:w="5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Kirk</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Patsley</w:t>
            </w:r>
          </w:p>
        </w:tc>
        <w:tc>
          <w:tcPr>
            <w:tcW w:w="6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Sanchez</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Templeton</w:t>
            </w:r>
          </w:p>
        </w:tc>
      </w:tr>
      <w:tr>
        <w:trPr>
          <w:trHeight w:val="270"/>
        </w:trPr>
        <w:tc>
          <w:tcPr>
            <w:tcW w:w="4340" w:type="dxa"/>
            <w:vAlign w:val="bottom"/>
          </w:tcPr>
          <w:p>
            <w:pPr>
              <w:ind w:left="20"/>
              <w:spacing w:after="0"/>
              <w:rPr>
                <w:sz w:val="20"/>
                <w:szCs w:val="20"/>
                <w:color w:val="auto"/>
              </w:rPr>
            </w:pPr>
            <w:r>
              <w:rPr>
                <w:rFonts w:ascii="Arial" w:cs="Arial" w:eastAsia="Arial" w:hAnsi="Arial"/>
                <w:sz w:val="18"/>
                <w:szCs w:val="18"/>
                <w:color w:val="auto"/>
              </w:rPr>
              <w:t>Independence</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Pr>
          <w:p>
            <w:pPr>
              <w:spacing w:after="0"/>
              <w:rPr>
                <w:sz w:val="23"/>
                <w:szCs w:val="23"/>
                <w:color w:val="auto"/>
              </w:rPr>
            </w:pPr>
          </w:p>
        </w:tc>
        <w:tc>
          <w:tcPr>
            <w:tcW w:w="5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Multinational experience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4"/>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Executive leadership (public or private)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Technology, research and development</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spacing w:after="0"/>
              <w:rPr>
                <w:sz w:val="22"/>
                <w:szCs w:val="22"/>
                <w:color w:val="auto"/>
              </w:rPr>
            </w:pP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Manufacturing</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spacing w:after="0"/>
              <w:rPr>
                <w:sz w:val="22"/>
                <w:szCs w:val="22"/>
                <w:color w:val="auto"/>
              </w:rPr>
            </w:pP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spacing w:after="0"/>
              <w:rPr>
                <w:sz w:val="22"/>
                <w:szCs w:val="22"/>
                <w:color w:val="auto"/>
              </w:rPr>
            </w:pPr>
          </w:p>
        </w:tc>
        <w:tc>
          <w:tcPr>
            <w:tcW w:w="540" w:type="dxa"/>
            <w:vAlign w:val="bottom"/>
            <w:tcBorders>
              <w:top w:val="single" w:sz="8" w:color="B6B6B6"/>
            </w:tcBorders>
          </w:tcPr>
          <w:p>
            <w:pPr>
              <w:spacing w:after="0"/>
              <w:rPr>
                <w:sz w:val="22"/>
                <w:szCs w:val="22"/>
                <w:color w:val="auto"/>
              </w:rPr>
            </w:pPr>
          </w:p>
        </w:tc>
        <w:tc>
          <w:tcPr>
            <w:tcW w:w="640" w:type="dxa"/>
            <w:vAlign w:val="bottom"/>
            <w:tcBorders>
              <w:top w:val="single" w:sz="8" w:color="B6B6B6"/>
              <w:bottom w:val="single" w:sz="8" w:color="DBDBDB"/>
            </w:tcBorders>
            <w:shd w:val="clear" w:color="auto" w:fill="DBDBDB"/>
          </w:tcPr>
          <w:p>
            <w:pPr>
              <w:spacing w:after="0"/>
              <w:rPr>
                <w:sz w:val="22"/>
                <w:szCs w:val="22"/>
                <w:color w:val="auto"/>
              </w:rPr>
            </w:pP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End-market knowledge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spacing w:after="0"/>
              <w:rPr>
                <w:sz w:val="22"/>
                <w:szCs w:val="22"/>
                <w:color w:val="auto"/>
              </w:rPr>
            </w:pP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Regulatory, public policy or legal</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spacing w:after="0"/>
              <w:rPr>
                <w:sz w:val="22"/>
                <w:szCs w:val="22"/>
                <w:color w:val="auto"/>
              </w:rPr>
            </w:pP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spacing w:after="0"/>
              <w:rPr>
                <w:sz w:val="22"/>
                <w:szCs w:val="22"/>
                <w:color w:val="auto"/>
              </w:rPr>
            </w:pP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spacing w:after="0"/>
              <w:rPr>
                <w:sz w:val="22"/>
                <w:szCs w:val="22"/>
                <w:color w:val="auto"/>
              </w:rPr>
            </w:pPr>
          </w:p>
        </w:tc>
        <w:tc>
          <w:tcPr>
            <w:tcW w:w="740" w:type="dxa"/>
            <w:vAlign w:val="bottom"/>
            <w:tcBorders>
              <w:top w:val="single" w:sz="8" w:color="B6B6B6"/>
            </w:tcBorders>
          </w:tcPr>
          <w:p>
            <w:pPr>
              <w:spacing w:after="0"/>
              <w:rPr>
                <w:sz w:val="22"/>
                <w:szCs w:val="22"/>
                <w:color w:val="auto"/>
              </w:rPr>
            </w:pP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Other public board service</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spacing w:after="0"/>
              <w:rPr>
                <w:sz w:val="22"/>
                <w:szCs w:val="22"/>
                <w:color w:val="auto"/>
              </w:rPr>
            </w:pP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spacing w:after="0"/>
              <w:rPr>
                <w:sz w:val="22"/>
                <w:szCs w:val="22"/>
                <w:color w:val="auto"/>
              </w:rPr>
            </w:pPr>
          </w:p>
        </w:tc>
      </w:tr>
      <w:tr>
        <w:trPr>
          <w:trHeight w:val="264"/>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Financial acumen</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Auditing/accounting</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spacing w:after="0"/>
              <w:rPr>
                <w:sz w:val="22"/>
                <w:szCs w:val="22"/>
                <w:color w:val="auto"/>
              </w:rPr>
            </w:pP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spacing w:after="0"/>
              <w:rPr>
                <w:sz w:val="22"/>
                <w:szCs w:val="22"/>
                <w:color w:val="auto"/>
              </w:rPr>
            </w:pPr>
          </w:p>
        </w:tc>
        <w:tc>
          <w:tcPr>
            <w:tcW w:w="74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60" w:type="dxa"/>
            <w:vAlign w:val="bottom"/>
            <w:tcBorders>
              <w:top w:val="single" w:sz="8" w:color="B6B6B6"/>
              <w:bottom w:val="single" w:sz="8" w:color="DBDBDB"/>
            </w:tcBorders>
            <w:shd w:val="clear" w:color="auto" w:fill="DBDBDB"/>
          </w:tcPr>
          <w:p>
            <w:pPr>
              <w:spacing w:after="0"/>
              <w:rPr>
                <w:sz w:val="22"/>
                <w:szCs w:val="22"/>
                <w:color w:val="auto"/>
              </w:rPr>
            </w:pPr>
          </w:p>
        </w:tc>
        <w:tc>
          <w:tcPr>
            <w:tcW w:w="520" w:type="dxa"/>
            <w:vAlign w:val="bottom"/>
            <w:tcBorders>
              <w:top w:val="single" w:sz="8" w:color="B6B6B6"/>
            </w:tcBorders>
          </w:tcPr>
          <w:p>
            <w:pPr>
              <w:spacing w:after="0"/>
              <w:rPr>
                <w:sz w:val="22"/>
                <w:szCs w:val="22"/>
                <w:color w:val="auto"/>
              </w:rPr>
            </w:pPr>
          </w:p>
        </w:tc>
        <w:tc>
          <w:tcPr>
            <w:tcW w:w="520" w:type="dxa"/>
            <w:vAlign w:val="bottom"/>
            <w:tcBorders>
              <w:top w:val="single" w:sz="8" w:color="B6B6B6"/>
              <w:bottom w:val="single" w:sz="8" w:color="DBDBDB"/>
            </w:tcBorders>
            <w:shd w:val="clear" w:color="auto" w:fill="DBDBDB"/>
          </w:tcPr>
          <w:p>
            <w:pPr>
              <w:spacing w:after="0"/>
              <w:rPr>
                <w:sz w:val="22"/>
                <w:szCs w:val="22"/>
                <w:color w:val="auto"/>
              </w:rPr>
            </w:pP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spacing w:after="0"/>
              <w:rPr>
                <w:sz w:val="22"/>
                <w:szCs w:val="22"/>
                <w:color w:val="auto"/>
              </w:rPr>
            </w:pP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Sustainability</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B6B6B6"/>
            </w:tcBorders>
          </w:tcPr>
          <w:p>
            <w:pPr>
              <w:spacing w:after="0"/>
              <w:rPr>
                <w:sz w:val="22"/>
                <w:szCs w:val="22"/>
                <w:color w:val="auto"/>
              </w:rPr>
            </w:pP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540" w:type="dxa"/>
            <w:vAlign w:val="bottom"/>
            <w:tcBorders>
              <w:top w:val="single" w:sz="8" w:color="B6B6B6"/>
            </w:tcBorders>
          </w:tcPr>
          <w:p>
            <w:pPr>
              <w:spacing w:after="0"/>
              <w:rPr>
                <w:sz w:val="22"/>
                <w:szCs w:val="22"/>
                <w:color w:val="auto"/>
              </w:rPr>
            </w:pP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4"/>
              </w:rPr>
              <w:t>•</w:t>
            </w:r>
          </w:p>
        </w:tc>
      </w:tr>
      <w:tr>
        <w:trPr>
          <w:trHeight w:val="244"/>
        </w:trPr>
        <w:tc>
          <w:tcPr>
            <w:tcW w:w="4340" w:type="dxa"/>
            <w:vAlign w:val="bottom"/>
            <w:tcBorders>
              <w:top w:val="single" w:sz="8" w:color="B6B6B6"/>
              <w:bottom w:val="single" w:sz="8" w:color="auto"/>
            </w:tcBorders>
          </w:tcPr>
          <w:p>
            <w:pPr>
              <w:ind w:left="20"/>
              <w:spacing w:after="0"/>
              <w:rPr>
                <w:sz w:val="20"/>
                <w:szCs w:val="20"/>
                <w:color w:val="auto"/>
              </w:rPr>
            </w:pPr>
            <w:r>
              <w:rPr>
                <w:rFonts w:ascii="Arial" w:cs="Arial" w:eastAsia="Arial" w:hAnsi="Arial"/>
                <w:sz w:val="14"/>
                <w:szCs w:val="14"/>
                <w:b w:val="1"/>
                <w:bCs w:val="1"/>
                <w:color w:val="auto"/>
              </w:rPr>
              <w:t>Demographic background</w:t>
            </w:r>
          </w:p>
        </w:tc>
        <w:tc>
          <w:tcPr>
            <w:tcW w:w="500" w:type="dxa"/>
            <w:vAlign w:val="bottom"/>
            <w:tcBorders>
              <w:top w:val="single" w:sz="8" w:color="B6B6B6"/>
              <w:bottom w:val="single" w:sz="8" w:color="auto"/>
            </w:tcBorders>
            <w:shd w:val="clear" w:color="auto" w:fill="DBDBDB"/>
          </w:tcPr>
          <w:p>
            <w:pPr>
              <w:spacing w:after="0"/>
              <w:rPr>
                <w:sz w:val="21"/>
                <w:szCs w:val="21"/>
                <w:color w:val="auto"/>
              </w:rPr>
            </w:pPr>
          </w:p>
        </w:tc>
        <w:tc>
          <w:tcPr>
            <w:tcW w:w="680" w:type="dxa"/>
            <w:vAlign w:val="bottom"/>
            <w:tcBorders>
              <w:top w:val="single" w:sz="8" w:color="B6B6B6"/>
              <w:bottom w:val="single" w:sz="8" w:color="auto"/>
            </w:tcBorders>
          </w:tcPr>
          <w:p>
            <w:pPr>
              <w:spacing w:after="0"/>
              <w:rPr>
                <w:sz w:val="21"/>
                <w:szCs w:val="21"/>
                <w:color w:val="auto"/>
              </w:rPr>
            </w:pPr>
          </w:p>
        </w:tc>
        <w:tc>
          <w:tcPr>
            <w:tcW w:w="420" w:type="dxa"/>
            <w:vAlign w:val="bottom"/>
            <w:tcBorders>
              <w:top w:val="single" w:sz="8" w:color="B6B6B6"/>
              <w:bottom w:val="single" w:sz="8" w:color="auto"/>
            </w:tcBorders>
            <w:shd w:val="clear" w:color="auto" w:fill="DBDBDB"/>
          </w:tcPr>
          <w:p>
            <w:pPr>
              <w:spacing w:after="0"/>
              <w:rPr>
                <w:sz w:val="21"/>
                <w:szCs w:val="21"/>
                <w:color w:val="auto"/>
              </w:rPr>
            </w:pPr>
          </w:p>
        </w:tc>
        <w:tc>
          <w:tcPr>
            <w:tcW w:w="500" w:type="dxa"/>
            <w:vAlign w:val="bottom"/>
            <w:tcBorders>
              <w:top w:val="single" w:sz="8" w:color="B6B6B6"/>
              <w:bottom w:val="single" w:sz="8" w:color="auto"/>
            </w:tcBorders>
          </w:tcPr>
          <w:p>
            <w:pPr>
              <w:spacing w:after="0"/>
              <w:rPr>
                <w:sz w:val="21"/>
                <w:szCs w:val="21"/>
                <w:color w:val="auto"/>
              </w:rPr>
            </w:pPr>
          </w:p>
        </w:tc>
        <w:tc>
          <w:tcPr>
            <w:tcW w:w="740" w:type="dxa"/>
            <w:vAlign w:val="bottom"/>
            <w:tcBorders>
              <w:top w:val="single" w:sz="8" w:color="B6B6B6"/>
              <w:bottom w:val="single" w:sz="8" w:color="auto"/>
            </w:tcBorders>
            <w:shd w:val="clear" w:color="auto" w:fill="DBDBDB"/>
          </w:tcPr>
          <w:p>
            <w:pPr>
              <w:spacing w:after="0"/>
              <w:rPr>
                <w:sz w:val="21"/>
                <w:szCs w:val="21"/>
                <w:color w:val="auto"/>
              </w:rPr>
            </w:pPr>
          </w:p>
        </w:tc>
        <w:tc>
          <w:tcPr>
            <w:tcW w:w="520" w:type="dxa"/>
            <w:vAlign w:val="bottom"/>
            <w:tcBorders>
              <w:top w:val="single" w:sz="8" w:color="B6B6B6"/>
              <w:bottom w:val="single" w:sz="8" w:color="auto"/>
            </w:tcBorders>
          </w:tcPr>
          <w:p>
            <w:pPr>
              <w:spacing w:after="0"/>
              <w:rPr>
                <w:sz w:val="21"/>
                <w:szCs w:val="21"/>
                <w:color w:val="auto"/>
              </w:rPr>
            </w:pPr>
          </w:p>
        </w:tc>
        <w:tc>
          <w:tcPr>
            <w:tcW w:w="560" w:type="dxa"/>
            <w:vAlign w:val="bottom"/>
            <w:tcBorders>
              <w:top w:val="single" w:sz="8" w:color="B6B6B6"/>
              <w:bottom w:val="single" w:sz="8" w:color="auto"/>
            </w:tcBorders>
            <w:shd w:val="clear" w:color="auto" w:fill="DBDBDB"/>
          </w:tcPr>
          <w:p>
            <w:pPr>
              <w:spacing w:after="0"/>
              <w:rPr>
                <w:sz w:val="21"/>
                <w:szCs w:val="21"/>
                <w:color w:val="auto"/>
              </w:rPr>
            </w:pPr>
          </w:p>
        </w:tc>
        <w:tc>
          <w:tcPr>
            <w:tcW w:w="520" w:type="dxa"/>
            <w:vAlign w:val="bottom"/>
            <w:tcBorders>
              <w:top w:val="single" w:sz="8" w:color="B6B6B6"/>
              <w:bottom w:val="single" w:sz="8" w:color="auto"/>
            </w:tcBorders>
          </w:tcPr>
          <w:p>
            <w:pPr>
              <w:spacing w:after="0"/>
              <w:rPr>
                <w:sz w:val="21"/>
                <w:szCs w:val="21"/>
                <w:color w:val="auto"/>
              </w:rPr>
            </w:pPr>
          </w:p>
        </w:tc>
        <w:tc>
          <w:tcPr>
            <w:tcW w:w="520" w:type="dxa"/>
            <w:vAlign w:val="bottom"/>
            <w:tcBorders>
              <w:top w:val="single" w:sz="8" w:color="B6B6B6"/>
              <w:bottom w:val="single" w:sz="8" w:color="auto"/>
            </w:tcBorders>
            <w:shd w:val="clear" w:color="auto" w:fill="DBDBDB"/>
          </w:tcPr>
          <w:p>
            <w:pPr>
              <w:spacing w:after="0"/>
              <w:rPr>
                <w:sz w:val="21"/>
                <w:szCs w:val="21"/>
                <w:color w:val="auto"/>
              </w:rPr>
            </w:pPr>
          </w:p>
        </w:tc>
        <w:tc>
          <w:tcPr>
            <w:tcW w:w="540" w:type="dxa"/>
            <w:vAlign w:val="bottom"/>
            <w:tcBorders>
              <w:top w:val="single" w:sz="8" w:color="B6B6B6"/>
              <w:bottom w:val="single" w:sz="8" w:color="auto"/>
            </w:tcBorders>
          </w:tcPr>
          <w:p>
            <w:pPr>
              <w:spacing w:after="0"/>
              <w:rPr>
                <w:sz w:val="21"/>
                <w:szCs w:val="21"/>
                <w:color w:val="auto"/>
              </w:rPr>
            </w:pPr>
          </w:p>
        </w:tc>
        <w:tc>
          <w:tcPr>
            <w:tcW w:w="640" w:type="dxa"/>
            <w:vAlign w:val="bottom"/>
            <w:tcBorders>
              <w:top w:val="single" w:sz="8" w:color="B6B6B6"/>
              <w:bottom w:val="single" w:sz="8" w:color="auto"/>
            </w:tcBorders>
            <w:shd w:val="clear" w:color="auto" w:fill="DBDBDB"/>
          </w:tcPr>
          <w:p>
            <w:pPr>
              <w:spacing w:after="0"/>
              <w:rPr>
                <w:sz w:val="21"/>
                <w:szCs w:val="21"/>
                <w:color w:val="auto"/>
              </w:rPr>
            </w:pPr>
          </w:p>
        </w:tc>
        <w:tc>
          <w:tcPr>
            <w:tcW w:w="740" w:type="dxa"/>
            <w:vAlign w:val="bottom"/>
            <w:tcBorders>
              <w:top w:val="single" w:sz="8" w:color="B6B6B6"/>
              <w:bottom w:val="single" w:sz="8" w:color="auto"/>
            </w:tcBorders>
          </w:tcPr>
          <w:p>
            <w:pPr>
              <w:spacing w:after="0"/>
              <w:rPr>
                <w:sz w:val="21"/>
                <w:szCs w:val="21"/>
                <w:color w:val="auto"/>
              </w:rPr>
            </w:pPr>
          </w:p>
        </w:tc>
      </w:tr>
      <w:tr>
        <w:trPr>
          <w:trHeight w:val="269"/>
        </w:trPr>
        <w:tc>
          <w:tcPr>
            <w:tcW w:w="4340" w:type="dxa"/>
            <w:vAlign w:val="bottom"/>
          </w:tcPr>
          <w:p>
            <w:pPr>
              <w:ind w:left="20"/>
              <w:spacing w:after="0"/>
              <w:rPr>
                <w:sz w:val="20"/>
                <w:szCs w:val="20"/>
                <w:color w:val="auto"/>
              </w:rPr>
            </w:pPr>
            <w:r>
              <w:rPr>
                <w:rFonts w:ascii="Arial" w:cs="Arial" w:eastAsia="Arial" w:hAnsi="Arial"/>
                <w:sz w:val="18"/>
                <w:szCs w:val="18"/>
                <w:color w:val="auto"/>
              </w:rPr>
              <w:t>Tenure (years)</w:t>
            </w:r>
          </w:p>
        </w:tc>
        <w:tc>
          <w:tcPr>
            <w:tcW w:w="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9</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7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4</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5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5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9</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6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11</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263"/>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Age (years)</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60</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58</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67</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64</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62</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61</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57</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53</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67</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65</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56</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9"/>
              </w:rPr>
              <w:t>63</w:t>
            </w:r>
          </w:p>
        </w:tc>
      </w:tr>
      <w:tr>
        <w:trPr>
          <w:trHeight w:val="264"/>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Gender</w:t>
            </w:r>
          </w:p>
        </w:tc>
        <w:tc>
          <w:tcPr>
            <w:tcW w:w="50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0"/>
              </w:rPr>
              <w:t>F</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7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M</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0"/>
              </w:rPr>
              <w:t>F</w:t>
            </w:r>
          </w:p>
        </w:tc>
        <w:tc>
          <w:tcPr>
            <w:tcW w:w="56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c>
          <w:tcPr>
            <w:tcW w:w="52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M</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F</w:t>
            </w:r>
          </w:p>
        </w:tc>
        <w:tc>
          <w:tcPr>
            <w:tcW w:w="640" w:type="dxa"/>
            <w:vAlign w:val="bottom"/>
            <w:tcBorders>
              <w:top w:val="single" w:sz="8" w:color="B6B6B6"/>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M</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M</w:t>
            </w:r>
          </w:p>
        </w:tc>
      </w:tr>
      <w:tr>
        <w:trPr>
          <w:trHeight w:val="237"/>
        </w:trPr>
        <w:tc>
          <w:tcPr>
            <w:tcW w:w="4340" w:type="dxa"/>
            <w:vAlign w:val="bottom"/>
            <w:tcBorders>
              <w:top w:val="single" w:sz="8" w:color="B6B6B6"/>
            </w:tcBorders>
          </w:tcPr>
          <w:p>
            <w:pPr>
              <w:ind w:left="20"/>
              <w:spacing w:after="0"/>
              <w:rPr>
                <w:sz w:val="20"/>
                <w:szCs w:val="20"/>
                <w:color w:val="auto"/>
              </w:rPr>
            </w:pPr>
            <w:r>
              <w:rPr>
                <w:rFonts w:ascii="Arial" w:cs="Arial" w:eastAsia="Arial" w:hAnsi="Arial"/>
                <w:sz w:val="18"/>
                <w:szCs w:val="18"/>
                <w:color w:val="auto"/>
              </w:rPr>
              <w:t>Race/Ethnicity **</w:t>
            </w:r>
          </w:p>
        </w:tc>
        <w:tc>
          <w:tcPr>
            <w:tcW w:w="50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68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W</w:t>
            </w:r>
          </w:p>
        </w:tc>
        <w:tc>
          <w:tcPr>
            <w:tcW w:w="4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W</w:t>
            </w:r>
          </w:p>
        </w:tc>
        <w:tc>
          <w:tcPr>
            <w:tcW w:w="50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7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3"/>
              </w:rPr>
              <w:t>W</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56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A</w:t>
            </w:r>
          </w:p>
        </w:tc>
        <w:tc>
          <w:tcPr>
            <w:tcW w:w="52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c>
          <w:tcPr>
            <w:tcW w:w="5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B</w:t>
            </w:r>
          </w:p>
        </w:tc>
        <w:tc>
          <w:tcPr>
            <w:tcW w:w="5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w w:val="93"/>
              </w:rPr>
              <w:t>W</w:t>
            </w:r>
          </w:p>
        </w:tc>
        <w:tc>
          <w:tcPr>
            <w:tcW w:w="64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1"/>
              </w:rPr>
              <w:t>H</w:t>
            </w:r>
          </w:p>
        </w:tc>
        <w:tc>
          <w:tcPr>
            <w:tcW w:w="740" w:type="dxa"/>
            <w:vAlign w:val="bottom"/>
            <w:tcBorders>
              <w:top w:val="single" w:sz="8" w:color="B6B6B6"/>
            </w:tcBorders>
          </w:tcPr>
          <w:p>
            <w:pPr>
              <w:jc w:val="center"/>
              <w:spacing w:after="0"/>
              <w:rPr>
                <w:sz w:val="20"/>
                <w:szCs w:val="20"/>
                <w:color w:val="auto"/>
              </w:rPr>
            </w:pPr>
            <w:r>
              <w:rPr>
                <w:rFonts w:ascii="Arial" w:cs="Arial" w:eastAsia="Arial" w:hAnsi="Arial"/>
                <w:sz w:val="18"/>
                <w:szCs w:val="18"/>
                <w:color w:val="auto"/>
              </w:rPr>
              <w:t>W</w:t>
            </w:r>
          </w:p>
        </w:tc>
      </w:tr>
      <w:tr>
        <w:trPr>
          <w:trHeight w:val="27"/>
        </w:trPr>
        <w:tc>
          <w:tcPr>
            <w:tcW w:w="4340" w:type="dxa"/>
            <w:vAlign w:val="bottom"/>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DBDBDB"/>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740" w:type="dxa"/>
            <w:vAlign w:val="bottom"/>
          </w:tcPr>
          <w:p>
            <w:pPr>
              <w:spacing w:after="0"/>
              <w:rPr>
                <w:sz w:val="2"/>
                <w:szCs w:val="2"/>
                <w:color w:val="auto"/>
              </w:rPr>
            </w:pPr>
          </w:p>
        </w:tc>
      </w:tr>
    </w:tbl>
    <w:p>
      <w:pPr>
        <w:spacing w:after="0" w:line="20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Elected to the board effective December 2, 2021</w:t>
      </w:r>
    </w:p>
    <w:p>
      <w:pPr>
        <w:spacing w:after="0" w:line="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 Asian; B = Black/African American; W = White; H = Hispanic/Latino</w:t>
      </w:r>
    </w:p>
    <w:p>
      <w:pPr>
        <w:spacing w:after="0" w:line="200" w:lineRule="exact"/>
        <w:rPr>
          <w:sz w:val="20"/>
          <w:szCs w:val="20"/>
          <w:color w:val="auto"/>
        </w:rPr>
      </w:pPr>
    </w:p>
    <w:p>
      <w:pPr>
        <w:spacing w:after="0" w:line="24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5</w:t>
      </w:r>
    </w:p>
    <w:p>
      <w:pPr>
        <w:sectPr>
          <w:pgSz w:w="11900" w:h="16838" w:orient="portrait"/>
          <w:cols w:equalWidth="0" w:num="1">
            <w:col w:w="11220"/>
          </w:cols>
          <w:pgMar w:left="320" w:top="1000"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u w:val="single" w:color="auto"/>
          <w:color w:val="auto"/>
        </w:rPr>
        <w:t>Nominee criteria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considers the following criteria:</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Relevant commercial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acumen.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6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spacing w:after="0" w:line="6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four other public companies.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Nominee assessment</w:t>
      </w:r>
    </w:p>
    <w:p>
      <w:pPr>
        <w:spacing w:after="0" w:line="21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it considered director nominees for the 2022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which includes key sustainability matters.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born of previous service on the board, that each of the nominees brings insight to board deliberations as well as a willingness to ask challenging questions.</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All nominees for directorship are currently directors. Mr. Ilan is the only director nominee at the 2022 annual meeting of stockholders who is standing for election by the stockholders for the first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6</w:t>
      </w:r>
    </w:p>
    <w:p>
      <w:pPr>
        <w:sectPr>
          <w:pgSz w:w="11900" w:h="16838" w:orient="portrait"/>
          <w:cols w:equalWidth="0" w:num="1">
            <w:col w:w="11240"/>
          </w:cols>
          <w:pgMar w:left="320" w:top="7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Director nominees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Blinn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Former chief executive officer of Flowserve Corporation</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20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1200150"/>
                    </a:xfrm>
                    <a:prstGeom prst="rect">
                      <a:avLst/>
                    </a:prstGeom>
                    <a:noFill/>
                  </pic:spPr>
                </pic:pic>
              </a:graphicData>
            </a:graphic>
          </wp:anchor>
        </w:drawing>
      </w:r>
    </w:p>
    <w:p>
      <w:pPr>
        <w:spacing w:after="0" w:line="61" w:lineRule="exact"/>
        <w:rPr>
          <w:sz w:val="20"/>
          <w:szCs w:val="20"/>
          <w:color w:val="auto"/>
        </w:rPr>
      </w:pPr>
    </w:p>
    <w:p>
      <w:pPr>
        <w:ind w:left="2080" w:right="20"/>
        <w:spacing w:after="0" w:line="251" w:lineRule="auto"/>
        <w:rPr>
          <w:sz w:val="20"/>
          <w:szCs w:val="20"/>
          <w:color w:val="auto"/>
        </w:rPr>
      </w:pPr>
      <w:r>
        <w:rPr>
          <w:rFonts w:ascii="Arial" w:cs="Arial" w:eastAsia="Arial" w:hAnsi="Arial"/>
          <w:sz w:val="18"/>
          <w:szCs w:val="18"/>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Todd Bluedorn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Lennox International Inc.</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2001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4410" cy="1200150"/>
                    </a:xfrm>
                    <a:prstGeom prst="rect">
                      <a:avLst/>
                    </a:prstGeom>
                    <a:noFill/>
                  </pic:spPr>
                </pic:pic>
              </a:graphicData>
            </a:graphic>
          </wp:anchor>
        </w:drawing>
      </w:r>
    </w:p>
    <w:p>
      <w:pPr>
        <w:spacing w:after="0" w:line="61" w:lineRule="exact"/>
        <w:rPr>
          <w:sz w:val="20"/>
          <w:szCs w:val="20"/>
          <w:color w:val="auto"/>
        </w:rPr>
      </w:pPr>
    </w:p>
    <w:p>
      <w:pPr>
        <w:ind w:left="2080" w:right="60"/>
        <w:spacing w:after="0" w:line="252" w:lineRule="auto"/>
        <w:rPr>
          <w:sz w:val="20"/>
          <w:szCs w:val="20"/>
          <w:color w:val="auto"/>
        </w:rPr>
      </w:pPr>
      <w:r>
        <w:rPr>
          <w:rFonts w:ascii="Arial" w:cs="Arial" w:eastAsia="Arial" w:hAnsi="Arial"/>
          <w:sz w:val="18"/>
          <w:szCs w:val="18"/>
          <w:color w:val="auto"/>
        </w:rPr>
        <w:t>At Lennox, Mr. Bluedorn has served as chief executive officer since 2007 and chairman of the board since 2012. Prior to Lennox, Mr. Bluedorn served in several senior management positions at United Technologies Corporation since 1995, including leading Otis Elevator -- North &amp; South America.</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Janet Clark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Former chief financial officer of Marathon Oil Corporation</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200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4410" cy="1200150"/>
                    </a:xfrm>
                    <a:prstGeom prst="rect">
                      <a:avLst/>
                    </a:prstGeom>
                    <a:noFill/>
                  </pic:spPr>
                </pic:pic>
              </a:graphicData>
            </a:graphic>
          </wp:anchor>
        </w:drawing>
      </w:r>
    </w:p>
    <w:p>
      <w:pPr>
        <w:spacing w:after="0" w:line="61" w:lineRule="exact"/>
        <w:rPr>
          <w:sz w:val="20"/>
          <w:szCs w:val="20"/>
          <w:color w:val="auto"/>
        </w:rPr>
      </w:pPr>
    </w:p>
    <w:p>
      <w:pPr>
        <w:ind w:left="2080"/>
        <w:spacing w:after="0" w:line="251" w:lineRule="auto"/>
        <w:rPr>
          <w:sz w:val="20"/>
          <w:szCs w:val="20"/>
          <w:color w:val="auto"/>
        </w:rPr>
      </w:pPr>
      <w:r>
        <w:rPr>
          <w:rFonts w:ascii="Arial" w:cs="Arial" w:eastAsia="Arial" w:hAnsi="Arial"/>
          <w:sz w:val="18"/>
          <w:szCs w:val="18"/>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hanging="236"/>
        <w:spacing w:after="0" w:line="258" w:lineRule="auto"/>
        <w:tabs>
          <w:tab w:leader="none" w:pos="2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ind w:left="240" w:hanging="236"/>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81" w:lineRule="exact"/>
        <w:rPr>
          <w:sz w:val="20"/>
          <w:szCs w:val="20"/>
          <w:color w:val="auto"/>
        </w:rPr>
      </w:pPr>
    </w:p>
    <w:p>
      <w:pPr>
        <w:ind w:left="240" w:hanging="236"/>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Globe Life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Leggett &amp; Platt, Incorporated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81" w:lineRule="exact"/>
        <w:rPr>
          <w:sz w:val="20"/>
          <w:szCs w:val="20"/>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Flowserve Corporation</w:t>
      </w:r>
    </w:p>
    <w:p>
      <w:pPr>
        <w:spacing w:after="0" w:line="9" w:lineRule="exact"/>
        <w:rPr>
          <w:rFonts w:ascii="Arial" w:cs="Arial" w:eastAsia="Arial" w:hAnsi="Arial"/>
          <w:sz w:val="18"/>
          <w:szCs w:val="18"/>
          <w:color w:val="auto"/>
        </w:rPr>
      </w:pPr>
    </w:p>
    <w:p>
      <w:pPr>
        <w:ind w:left="240" w:hanging="236"/>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Kraton Corporation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hanging="236"/>
        <w:spacing w:after="0" w:line="258" w:lineRule="auto"/>
        <w:tabs>
          <w:tab w:leader="none" w:pos="2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ind w:left="240" w:hanging="236"/>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07" w:lineRule="exact"/>
        <w:rPr>
          <w:sz w:val="20"/>
          <w:szCs w:val="20"/>
          <w:color w:val="auto"/>
        </w:rPr>
      </w:pPr>
    </w:p>
    <w:p>
      <w:pPr>
        <w:ind w:right="1960"/>
        <w:spacing w:after="0" w:line="345"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Lennox International Inc.</w:t>
      </w:r>
    </w:p>
    <w:p>
      <w:pPr>
        <w:spacing w:after="0" w:line="107" w:lineRule="exact"/>
        <w:rPr>
          <w:sz w:val="20"/>
          <w:szCs w:val="20"/>
          <w:color w:val="auto"/>
        </w:rPr>
      </w:pPr>
    </w:p>
    <w:p>
      <w:pPr>
        <w:ind w:right="940"/>
        <w:spacing w:after="0" w:line="345"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Eaton Corporation plc</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2" w:lineRule="exact"/>
        <w:rPr>
          <w:rFonts w:ascii="Arial" w:cs="Arial" w:eastAsia="Arial" w:hAnsi="Arial"/>
          <w:sz w:val="18"/>
          <w:szCs w:val="18"/>
          <w:color w:val="auto"/>
        </w:rPr>
      </w:pPr>
    </w:p>
    <w:p>
      <w:pPr>
        <w:ind w:left="240" w:right="100" w:hanging="236"/>
        <w:spacing w:after="0" w:line="261" w:lineRule="auto"/>
        <w:tabs>
          <w:tab w:leader="none" w:pos="2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126" w:lineRule="exact"/>
        <w:rPr>
          <w:sz w:val="20"/>
          <w:szCs w:val="20"/>
          <w:color w:val="auto"/>
        </w:rPr>
      </w:pPr>
    </w:p>
    <w:p>
      <w:pPr>
        <w:ind w:right="1960"/>
        <w:spacing w:after="0" w:line="345"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EOG Resources,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81" w:lineRule="exact"/>
        <w:rPr>
          <w:sz w:val="20"/>
          <w:szCs w:val="20"/>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Goldman Sachs BDC,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Goldman Sachs Private Middle Market Credit LLC</w:t>
      </w:r>
    </w:p>
    <w:p>
      <w:pPr>
        <w:spacing w:after="0" w:line="552" w:lineRule="exact"/>
        <w:rPr>
          <w:sz w:val="20"/>
          <w:szCs w:val="20"/>
          <w:color w:val="auto"/>
        </w:rPr>
      </w:pPr>
    </w:p>
    <w:p>
      <w:pPr>
        <w:sectPr>
          <w:pgSz w:w="11900" w:h="16838" w:orient="portrait"/>
          <w:cols w:equalWidth="0" w:num="2">
            <w:col w:w="5500" w:space="280"/>
            <w:col w:w="5400"/>
          </w:cols>
          <w:pgMar w:left="340" w:top="10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7</w:t>
      </w:r>
    </w:p>
    <w:p>
      <w:pPr>
        <w:sectPr>
          <w:pgSz w:w="11900" w:h="16838" w:orient="portrait"/>
          <w:cols w:equalWidth="0" w:num="1">
            <w:col w:w="11180"/>
          </w:cols>
          <w:pgMar w:left="340" w:top="1057"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Carrie Cox</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Humacyte, Inc.</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61" w:lineRule="exact"/>
        <w:rPr>
          <w:sz w:val="20"/>
          <w:szCs w:val="20"/>
          <w:color w:val="auto"/>
        </w:rPr>
      </w:pPr>
    </w:p>
    <w:p>
      <w:pPr>
        <w:ind w:left="2080"/>
        <w:spacing w:after="0" w:line="251" w:lineRule="auto"/>
        <w:rPr>
          <w:sz w:val="20"/>
          <w:szCs w:val="20"/>
          <w:color w:val="auto"/>
        </w:rPr>
      </w:pPr>
      <w:r>
        <w:rPr>
          <w:rFonts w:ascii="Arial" w:cs="Arial" w:eastAsia="Arial" w:hAnsi="Arial"/>
          <w:sz w:val="18"/>
          <w:szCs w:val="18"/>
          <w:color w:val="auto"/>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Martin Craighead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Baker Hughes Inc.</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61" w:lineRule="exact"/>
        <w:rPr>
          <w:sz w:val="20"/>
          <w:szCs w:val="20"/>
          <w:color w:val="auto"/>
        </w:rPr>
      </w:pPr>
    </w:p>
    <w:p>
      <w:pPr>
        <w:ind w:left="2080"/>
        <w:spacing w:after="0" w:line="251" w:lineRule="auto"/>
        <w:rPr>
          <w:sz w:val="20"/>
          <w:szCs w:val="20"/>
          <w:color w:val="auto"/>
        </w:rPr>
      </w:pPr>
      <w:r>
        <w:rPr>
          <w:rFonts w:ascii="Arial" w:cs="Arial" w:eastAsia="Arial" w:hAnsi="Arial"/>
          <w:sz w:val="18"/>
          <w:szCs w:val="18"/>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Jean Hobby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Retired partner, PricewaterhouseCoopers LLP</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spacing w:after="0" w:line="61" w:lineRule="exact"/>
        <w:rPr>
          <w:sz w:val="20"/>
          <w:szCs w:val="20"/>
          <w:color w:val="auto"/>
        </w:rPr>
      </w:pPr>
    </w:p>
    <w:p>
      <w:pPr>
        <w:ind w:left="2080" w:right="40"/>
        <w:spacing w:after="0" w:line="250" w:lineRule="auto"/>
        <w:rPr>
          <w:sz w:val="20"/>
          <w:szCs w:val="20"/>
          <w:color w:val="auto"/>
        </w:rPr>
      </w:pPr>
      <w:r>
        <w:rPr>
          <w:rFonts w:ascii="Arial" w:cs="Arial" w:eastAsia="Arial" w:hAnsi="Arial"/>
          <w:sz w:val="18"/>
          <w:szCs w:val="18"/>
          <w:color w:val="auto"/>
        </w:rPr>
        <w:t>Ms. Hobby was global strategy officer of PricewaterhouseCoopers from 2013 to 2015. Prior to that, she held several senior management positions at the</w:t>
      </w:r>
    </w:p>
    <w:p>
      <w:pPr>
        <w:spacing w:after="0" w:line="2" w:lineRule="exact"/>
        <w:rPr>
          <w:sz w:val="20"/>
          <w:szCs w:val="20"/>
          <w:color w:val="auto"/>
        </w:rPr>
      </w:pPr>
    </w:p>
    <w:p>
      <w:pPr>
        <w:jc w:val="both"/>
        <w:ind w:left="2080" w:right="200"/>
        <w:spacing w:after="0" w:line="256" w:lineRule="auto"/>
        <w:rPr>
          <w:sz w:val="20"/>
          <w:szCs w:val="20"/>
          <w:color w:val="auto"/>
        </w:rPr>
      </w:pPr>
      <w:r>
        <w:rPr>
          <w:rFonts w:ascii="Arial" w:cs="Arial" w:eastAsia="Arial" w:hAnsi="Arial"/>
          <w:sz w:val="18"/>
          <w:szCs w:val="18"/>
          <w:color w:val="auto"/>
        </w:rPr>
        <w:t>firm, including as technology, media and telecom sector leader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right="180" w:hanging="236"/>
        <w:spacing w:after="0" w:line="258" w:lineRule="auto"/>
        <w:tabs>
          <w:tab w:leader="none" w:pos="2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81" w:lineRule="exact"/>
        <w:rPr>
          <w:sz w:val="20"/>
          <w:szCs w:val="20"/>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Cardinal Health,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Organon &amp; Co.</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Selecta Biosciences,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81"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Array BioPharma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Celgene Corporation</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electroCore,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right="120" w:hanging="236"/>
        <w:spacing w:after="0" w:line="258" w:lineRule="auto"/>
        <w:tabs>
          <w:tab w:leader="none" w:pos="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ind w:left="240" w:hanging="236"/>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81" w:lineRule="exact"/>
        <w:rPr>
          <w:sz w:val="20"/>
          <w:szCs w:val="20"/>
          <w:color w:val="auto"/>
        </w:rPr>
      </w:pPr>
    </w:p>
    <w:p>
      <w:pPr>
        <w:ind w:left="240" w:hanging="236"/>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Ecovyst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81" w:lineRule="exact"/>
        <w:rPr>
          <w:sz w:val="20"/>
          <w:szCs w:val="20"/>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Baker Hughes Company (f/k/a Baker Hughes, a GE company)</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Baker Hughes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right="260" w:hanging="236"/>
        <w:spacing w:after="0" w:line="258" w:lineRule="auto"/>
        <w:tabs>
          <w:tab w:leader="none" w:pos="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Extensive audit knowledge and keen appreciation for audit, financial control and technology matters</w:t>
      </w: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responsibility at a large, multinational company</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planning expertise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81" w:lineRule="exact"/>
        <w:rPr>
          <w:sz w:val="20"/>
          <w:szCs w:val="20"/>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Hewlett Packard Enterprise Company</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Integer Holdings Corporation</w:t>
      </w:r>
    </w:p>
    <w:p>
      <w:pPr>
        <w:spacing w:after="0" w:line="207" w:lineRule="exact"/>
        <w:rPr>
          <w:sz w:val="20"/>
          <w:szCs w:val="20"/>
          <w:color w:val="auto"/>
        </w:rPr>
      </w:pPr>
    </w:p>
    <w:p>
      <w:pPr>
        <w:ind w:right="740"/>
        <w:spacing w:after="0" w:line="345"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CA, Inc.</w:t>
      </w:r>
    </w:p>
    <w:p>
      <w:pPr>
        <w:spacing w:after="0" w:line="200" w:lineRule="exact"/>
        <w:rPr>
          <w:sz w:val="20"/>
          <w:szCs w:val="20"/>
          <w:color w:val="auto"/>
        </w:rPr>
      </w:pPr>
    </w:p>
    <w:p>
      <w:pPr>
        <w:sectPr>
          <w:pgSz w:w="11900" w:h="16838" w:orient="portrait"/>
          <w:cols w:equalWidth="0" w:num="2">
            <w:col w:w="5500" w:space="280"/>
            <w:col w:w="5200"/>
          </w:cols>
          <w:pgMar w:left="340" w:top="103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242424"/>
        </w:rPr>
        <w:t>2022 PROXY STATEMENT • PAGE 8</w:t>
      </w:r>
    </w:p>
    <w:p>
      <w:pPr>
        <w:sectPr>
          <w:pgSz w:w="11900" w:h="16838" w:orient="portrait"/>
          <w:cols w:equalWidth="0" w:num="1">
            <w:col w:w="10980"/>
          </w:cols>
          <w:pgMar w:left="340" w:top="1030" w:right="5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Michael Hsu</w:t>
      </w:r>
    </w:p>
    <w:p>
      <w:pPr>
        <w:spacing w:after="0" w:line="80" w:lineRule="exact"/>
        <w:rPr>
          <w:sz w:val="20"/>
          <w:szCs w:val="20"/>
          <w:color w:val="auto"/>
        </w:rPr>
      </w:pPr>
    </w:p>
    <w:p>
      <w:pPr>
        <w:jc w:val="center"/>
        <w:ind w:right="60"/>
        <w:spacing w:after="0" w:line="313" w:lineRule="auto"/>
        <w:rPr>
          <w:sz w:val="20"/>
          <w:szCs w:val="20"/>
          <w:color w:val="auto"/>
        </w:rPr>
      </w:pPr>
      <w:r>
        <w:rPr>
          <w:rFonts w:ascii="Arial" w:cs="Arial" w:eastAsia="Arial" w:hAnsi="Arial"/>
          <w:sz w:val="18"/>
          <w:szCs w:val="18"/>
          <w:color w:val="auto"/>
        </w:rPr>
        <w:t xml:space="preserve">Chairman and chief executive officer of Kimberly-Clark Corporation </w:t>
      </w: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994410" cy="1174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ind w:left="2080"/>
        <w:spacing w:after="0" w:line="251" w:lineRule="auto"/>
        <w:rPr>
          <w:sz w:val="20"/>
          <w:szCs w:val="20"/>
          <w:color w:val="auto"/>
        </w:rPr>
      </w:pPr>
      <w:r>
        <w:rPr>
          <w:rFonts w:ascii="Arial" w:cs="Arial" w:eastAsia="Arial" w:hAnsi="Arial"/>
          <w:sz w:val="18"/>
          <w:szCs w:val="18"/>
          <w:color w:val="auto"/>
        </w:rPr>
        <w:t>At Kimberly-Clark, Mr. Hsu has served as chief executive officer since 2019 and chairman since 2020. Prior to those roles, he was group president North America from 2012 to 2017, then president and chief operating officer from 2017 to 2019. Mr. Hsu has also held senior leadership positions at Kraft Foods, Inc. and H.J. Heinz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hanging="236"/>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Management responsibility at a large, multinational manufacturer</w:t>
      </w:r>
    </w:p>
    <w:p>
      <w:pPr>
        <w:spacing w:after="0" w:line="34" w:lineRule="exact"/>
        <w:rPr>
          <w:rFonts w:ascii="Arial" w:cs="Arial" w:eastAsia="Arial" w:hAnsi="Arial"/>
          <w:sz w:val="17"/>
          <w:szCs w:val="17"/>
          <w:color w:val="auto"/>
        </w:rPr>
      </w:pPr>
    </w:p>
    <w:p>
      <w:pPr>
        <w:ind w:left="240" w:hanging="236"/>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07" w:lineRule="exact"/>
        <w:rPr>
          <w:sz w:val="20"/>
          <w:szCs w:val="20"/>
          <w:color w:val="auto"/>
        </w:rPr>
      </w:pPr>
    </w:p>
    <w:p>
      <w:pPr>
        <w:ind w:right="1960"/>
        <w:spacing w:after="0" w:line="345"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Kimberly-Clark Corporation</w:t>
      </w:r>
    </w:p>
    <w:p>
      <w:pPr>
        <w:spacing w:after="0" w:line="107" w:lineRule="exact"/>
        <w:rPr>
          <w:sz w:val="20"/>
          <w:szCs w:val="20"/>
          <w:color w:val="auto"/>
        </w:rPr>
      </w:pPr>
    </w:p>
    <w:p>
      <w:pPr>
        <w:ind w:right="940"/>
        <w:spacing w:after="0" w:line="345"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30" w:lineRule="exact"/>
        <w:rPr>
          <w:sz w:val="20"/>
          <w:szCs w:val="20"/>
          <w:color w:val="auto"/>
        </w:rPr>
      </w:pPr>
    </w:p>
    <w:p>
      <w:pPr>
        <w:sectPr>
          <w:pgSz w:w="11900" w:h="16838" w:orient="portrait"/>
          <w:cols w:equalWidth="0" w:num="2">
            <w:col w:w="5400" w:space="380"/>
            <w:col w:w="5400"/>
          </w:cols>
          <w:pgMar w:left="340" w:top="1030" w:right="379" w:bottom="1440" w:gutter="0" w:footer="0" w:header="0"/>
        </w:sectPr>
      </w:pPr>
    </w:p>
    <w:p>
      <w:pPr>
        <w:spacing w:after="0"/>
        <w:rPr>
          <w:sz w:val="20"/>
          <w:szCs w:val="20"/>
          <w:color w:val="auto"/>
        </w:rPr>
      </w:pPr>
      <w:r>
        <w:rPr>
          <w:rFonts w:ascii="Arial" w:cs="Arial" w:eastAsia="Arial" w:hAnsi="Arial"/>
          <w:sz w:val="20"/>
          <w:szCs w:val="20"/>
          <w:b w:val="1"/>
          <w:bCs w:val="1"/>
          <w:color w:val="auto"/>
        </w:rPr>
        <w:t>Haviv Ilan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operating officer of Texas Instruments Incorporated</w:t>
      </w:r>
    </w:p>
    <w:p>
      <w:pPr>
        <w:sectPr>
          <w:pgSz w:w="11900" w:h="16838" w:orient="portrait"/>
          <w:cols w:equalWidth="0" w:num="1">
            <w:col w:w="11180"/>
          </w:cols>
          <w:pgMar w:left="340" w:top="1030" w:right="379" w:bottom="1440" w:gutter="0" w:footer="0" w:header="0"/>
          <w:type w:val="continuous"/>
        </w:sectPr>
      </w:pPr>
    </w:p>
    <w:p>
      <w:pPr>
        <w:spacing w:after="0" w:line="57"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61" w:lineRule="exact"/>
        <w:rPr>
          <w:sz w:val="20"/>
          <w:szCs w:val="20"/>
          <w:color w:val="auto"/>
        </w:rPr>
      </w:pPr>
    </w:p>
    <w:p>
      <w:pPr>
        <w:ind w:left="2080"/>
        <w:spacing w:after="0" w:line="251" w:lineRule="auto"/>
        <w:rPr>
          <w:sz w:val="20"/>
          <w:szCs w:val="20"/>
          <w:color w:val="auto"/>
        </w:rPr>
      </w:pPr>
      <w:r>
        <w:rPr>
          <w:rFonts w:ascii="Arial" w:cs="Arial" w:eastAsia="Arial" w:hAnsi="Arial"/>
          <w:sz w:val="18"/>
          <w:szCs w:val="18"/>
          <w:color w:val="auto"/>
        </w:rPr>
        <w:t>Mr. Ilan has been an employee of the company for over 20 years, serving the last eight years at a senior level at the company, including as director since 2021, executive vice president and chief operating officer since 2020 and senior vice president since 2014. As COO, Mr. Ilan is responsible for leading TI's business, sales, manufacturing and information technology organizations.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responsibility for the company's operations</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Knowledge of the company and the semiconductor industry</w:t>
      </w:r>
    </w:p>
    <w:p>
      <w:pPr>
        <w:spacing w:after="0" w:line="47" w:lineRule="exact"/>
        <w:rPr>
          <w:rFonts w:ascii="Arial" w:cs="Arial" w:eastAsia="Arial" w:hAnsi="Arial"/>
          <w:sz w:val="17"/>
          <w:szCs w:val="17"/>
          <w:i w:val="1"/>
          <w:iCs w:val="1"/>
          <w:color w:val="auto"/>
        </w:rPr>
      </w:pPr>
    </w:p>
    <w:p>
      <w:pPr>
        <w:ind w:left="240" w:hanging="236"/>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207" w:lineRule="exact"/>
        <w:rPr>
          <w:sz w:val="20"/>
          <w:szCs w:val="20"/>
          <w:color w:val="auto"/>
        </w:rPr>
      </w:pPr>
    </w:p>
    <w:p>
      <w:pPr>
        <w:ind w:right="1960"/>
        <w:spacing w:after="0" w:line="345"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7" w:lineRule="exact"/>
        <w:rPr>
          <w:sz w:val="20"/>
          <w:szCs w:val="20"/>
          <w:color w:val="auto"/>
        </w:rPr>
      </w:pPr>
    </w:p>
    <w:p>
      <w:pPr>
        <w:ind w:right="940"/>
        <w:spacing w:after="0" w:line="345"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4" w:lineRule="exact"/>
        <w:rPr>
          <w:sz w:val="20"/>
          <w:szCs w:val="20"/>
          <w:color w:val="auto"/>
        </w:rPr>
      </w:pPr>
    </w:p>
    <w:p>
      <w:pPr>
        <w:sectPr>
          <w:pgSz w:w="11900" w:h="16838" w:orient="portrait"/>
          <w:cols w:equalWidth="0" w:num="2">
            <w:col w:w="5480" w:space="300"/>
            <w:col w:w="5400"/>
          </w:cols>
          <w:pgMar w:left="340" w:top="1030" w:right="37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Ronald Kirk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Senior of counsel, Gibson, Dunn &amp; Crutcher LLP</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61" w:lineRule="exact"/>
        <w:rPr>
          <w:sz w:val="20"/>
          <w:szCs w:val="20"/>
          <w:color w:val="auto"/>
        </w:rPr>
      </w:pPr>
    </w:p>
    <w:p>
      <w:pPr>
        <w:ind w:left="2080"/>
        <w:spacing w:after="0" w:line="251" w:lineRule="auto"/>
        <w:rPr>
          <w:sz w:val="20"/>
          <w:szCs w:val="20"/>
          <w:color w:val="auto"/>
        </w:rPr>
      </w:pPr>
      <w:r>
        <w:rPr>
          <w:rFonts w:ascii="Arial" w:cs="Arial" w:eastAsia="Arial" w:hAnsi="Arial"/>
          <w:sz w:val="18"/>
          <w:szCs w:val="18"/>
          <w:color w:val="auto"/>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right="420" w:hanging="236"/>
        <w:spacing w:after="0" w:line="258"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ind w:left="240" w:right="60" w:hanging="236"/>
        <w:spacing w:after="0" w:line="261" w:lineRule="auto"/>
        <w:tabs>
          <w:tab w:leader="none" w:pos="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81" w:lineRule="exact"/>
        <w:rPr>
          <w:sz w:val="20"/>
          <w:szCs w:val="20"/>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Macquarie Infrastructure Holdings, LLC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Mister Car Wash, Inc.</w:t>
      </w:r>
    </w:p>
    <w:p>
      <w:pPr>
        <w:spacing w:after="0" w:line="207" w:lineRule="exact"/>
        <w:rPr>
          <w:sz w:val="20"/>
          <w:szCs w:val="20"/>
          <w:color w:val="auto"/>
        </w:rPr>
      </w:pPr>
    </w:p>
    <w:p>
      <w:pPr>
        <w:ind w:right="940"/>
        <w:spacing w:after="0" w:line="345"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480" w:space="300"/>
            <w:col w:w="5400"/>
          </w:cols>
          <w:pgMar w:left="340" w:top="10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9</w:t>
      </w:r>
    </w:p>
    <w:p>
      <w:pPr>
        <w:sectPr>
          <w:pgSz w:w="11900" w:h="16838" w:orient="portrait"/>
          <w:cols w:equalWidth="0" w:num="1">
            <w:col w:w="11180"/>
          </w:cols>
          <w:pgMar w:left="340" w:top="1030"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Pamela Patsley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 of MoneyGram International, Inc.</w:t>
      </w:r>
    </w:p>
    <w:p>
      <w:pPr>
        <w:sectPr>
          <w:pgSz w:w="11900" w:h="16838" w:orient="portrait"/>
          <w:cols w:equalWidth="0" w:num="1">
            <w:col w:w="10860"/>
          </w:cols>
          <w:pgMar w:left="340" w:top="1030" w:right="699" w:bottom="1440" w:gutter="0" w:footer="0" w:header="0"/>
        </w:sectPr>
      </w:pP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61" w:lineRule="exact"/>
        <w:rPr>
          <w:sz w:val="20"/>
          <w:szCs w:val="20"/>
          <w:color w:val="auto"/>
        </w:rPr>
      </w:pPr>
    </w:p>
    <w:p>
      <w:pPr>
        <w:ind w:left="2080"/>
        <w:spacing w:after="0" w:line="251" w:lineRule="auto"/>
        <w:rPr>
          <w:sz w:val="20"/>
          <w:szCs w:val="20"/>
          <w:color w:val="auto"/>
        </w:rPr>
      </w:pPr>
      <w:r>
        <w:rPr>
          <w:rFonts w:ascii="Arial" w:cs="Arial" w:eastAsia="Arial" w:hAnsi="Arial"/>
          <w:sz w:val="18"/>
          <w:szCs w:val="18"/>
          <w:color w:val="auto"/>
        </w:rPr>
        <w:t>At MoneyGram, Ms. Patsley 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Robert Sanchez</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Ryder System, Inc.</w:t>
      </w:r>
    </w:p>
    <w:p>
      <w:pPr>
        <w:spacing w:after="0" w:line="45"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994410" cy="1174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1174115"/>
                    </a:xfrm>
                    <a:prstGeom prst="rect">
                      <a:avLst/>
                    </a:prstGeom>
                    <a:noFill/>
                  </pic:spPr>
                </pic:pic>
              </a:graphicData>
            </a:graphic>
          </wp:anchor>
        </w:drawing>
      </w:r>
    </w:p>
    <w:p>
      <w:pPr>
        <w:spacing w:after="0" w:line="61" w:lineRule="exact"/>
        <w:rPr>
          <w:sz w:val="20"/>
          <w:szCs w:val="20"/>
          <w:color w:val="auto"/>
        </w:rPr>
      </w:pPr>
    </w:p>
    <w:p>
      <w:pPr>
        <w:ind w:left="2080" w:right="40"/>
        <w:spacing w:after="0" w:line="251" w:lineRule="auto"/>
        <w:rPr>
          <w:sz w:val="20"/>
          <w:szCs w:val="20"/>
          <w:color w:val="auto"/>
        </w:rPr>
      </w:pPr>
      <w:r>
        <w:rPr>
          <w:rFonts w:ascii="Arial" w:cs="Arial" w:eastAsia="Arial" w:hAnsi="Arial"/>
          <w:sz w:val="18"/>
          <w:szCs w:val="18"/>
          <w:color w:val="auto"/>
        </w:rPr>
        <w:t>Mr. Sanchez has been chairman and executive officer of Ryder since 2013. During his career at Ryder, Mr. 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w:t>
      </w:r>
    </w:p>
    <w:p>
      <w:pPr>
        <w:spacing w:after="0" w:line="22" w:lineRule="exact"/>
        <w:rPr>
          <w:rFonts w:ascii="Arial" w:cs="Arial" w:eastAsia="Arial" w:hAnsi="Arial"/>
          <w:sz w:val="18"/>
          <w:szCs w:val="18"/>
          <w:color w:val="auto"/>
        </w:rPr>
      </w:pPr>
    </w:p>
    <w:p>
      <w:pPr>
        <w:ind w:left="240" w:right="60" w:hanging="236"/>
        <w:spacing w:after="0" w:line="261" w:lineRule="auto"/>
        <w:tabs>
          <w:tab w:leader="none" w:pos="2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81" w:lineRule="exact"/>
        <w:rPr>
          <w:sz w:val="20"/>
          <w:szCs w:val="20"/>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Hilton Grand Vacations Inc.</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Payoneer Global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81" w:lineRule="exact"/>
        <w:rPr>
          <w:sz w:val="20"/>
          <w:szCs w:val="20"/>
          <w:color w:val="auto"/>
        </w:rPr>
      </w:pPr>
    </w:p>
    <w:p>
      <w:pPr>
        <w:ind w:left="240" w:hanging="236"/>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ACI Worldwide, Inc.</w:t>
      </w:r>
    </w:p>
    <w:p>
      <w:pPr>
        <w:spacing w:after="0" w:line="22" w:lineRule="exact"/>
        <w:rPr>
          <w:rFonts w:ascii="Arial" w:cs="Arial" w:eastAsia="Arial" w:hAnsi="Arial"/>
          <w:sz w:val="18"/>
          <w:szCs w:val="18"/>
          <w:color w:val="auto"/>
        </w:rPr>
      </w:pPr>
    </w:p>
    <w:p>
      <w:pPr>
        <w:ind w:left="240" w:hanging="236"/>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MoneyGram International,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right="780" w:hanging="236"/>
        <w:spacing w:after="0" w:line="258" w:lineRule="auto"/>
        <w:tabs>
          <w:tab w:leader="none" w:pos="2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ind w:left="240" w:hanging="236"/>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07" w:lineRule="exact"/>
        <w:rPr>
          <w:sz w:val="20"/>
          <w:szCs w:val="20"/>
          <w:color w:val="auto"/>
        </w:rPr>
      </w:pPr>
    </w:p>
    <w:p>
      <w:pPr>
        <w:ind w:right="1640"/>
        <w:spacing w:after="0" w:line="345"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Ryder System, Inc.</w:t>
      </w:r>
    </w:p>
    <w:p>
      <w:pPr>
        <w:spacing w:after="0" w:line="107" w:lineRule="exact"/>
        <w:rPr>
          <w:sz w:val="20"/>
          <w:szCs w:val="20"/>
          <w:color w:val="auto"/>
        </w:rPr>
      </w:pPr>
    </w:p>
    <w:p>
      <w:pPr>
        <w:ind w:right="620"/>
        <w:spacing w:after="0" w:line="30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 w:lineRule="exact"/>
        <w:rPr>
          <w:sz w:val="20"/>
          <w:szCs w:val="20"/>
          <w:color w:val="auto"/>
        </w:rPr>
      </w:pPr>
    </w:p>
    <w:p>
      <w:pPr>
        <w:sectPr>
          <w:pgSz w:w="11900" w:h="16838" w:orient="portrait"/>
          <w:cols w:equalWidth="0" w:num="2">
            <w:col w:w="5500" w:space="280"/>
            <w:col w:w="5080"/>
          </w:cols>
          <w:pgMar w:left="340" w:top="1030" w:right="69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Rich Templeton</w:t>
      </w:r>
    </w:p>
    <w:p>
      <w:pPr>
        <w:spacing w:after="0" w:line="80" w:lineRule="exact"/>
        <w:rPr>
          <w:sz w:val="20"/>
          <w:szCs w:val="20"/>
          <w:color w:val="auto"/>
        </w:rPr>
      </w:pPr>
    </w:p>
    <w:p>
      <w:pPr>
        <w:jc w:val="center"/>
        <w:spacing w:after="0" w:line="297" w:lineRule="auto"/>
        <w:rPr>
          <w:sz w:val="20"/>
          <w:szCs w:val="20"/>
          <w:color w:val="auto"/>
        </w:rPr>
      </w:pPr>
      <w:r>
        <w:rPr>
          <w:rFonts w:ascii="Arial" w:cs="Arial" w:eastAsia="Arial" w:hAnsi="Arial"/>
          <w:sz w:val="18"/>
          <w:szCs w:val="18"/>
          <w:color w:val="auto"/>
        </w:rPr>
        <w:t xml:space="preserve">Chairman and chief executive officer of Texas Instruments Incorporated </w:t>
      </w: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-152400</wp:posOffset>
            </wp:positionV>
            <wp:extent cx="994410" cy="1174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4410" cy="1174750"/>
                    </a:xfrm>
                    <a:prstGeom prst="rect">
                      <a:avLst/>
                    </a:prstGeom>
                    <a:noFill/>
                  </pic:spPr>
                </pic:pic>
              </a:graphicData>
            </a:graphic>
          </wp:anchor>
        </w:drawing>
      </w:r>
    </w:p>
    <w:p>
      <w:pPr>
        <w:ind w:left="2080" w:right="180"/>
        <w:spacing w:after="0" w:line="252" w:lineRule="auto"/>
        <w:rPr>
          <w:sz w:val="20"/>
          <w:szCs w:val="20"/>
          <w:color w:val="auto"/>
        </w:rPr>
      </w:pPr>
      <w:r>
        <w:rPr>
          <w:rFonts w:ascii="Arial" w:cs="Arial" w:eastAsia="Arial" w:hAnsi="Arial"/>
          <w:sz w:val="18"/>
          <w:szCs w:val="18"/>
          <w:color w:val="auto"/>
        </w:rPr>
        <w:t>Mr. Templeton is a 40-year veteran of the semiconductor industry, serving the last 27 years at a senior level at the company. He has been the company’s chairman since 2008, and chief executive officer and president from 2004 to June 2018 and July 2018 to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81" w:lineRule="exact"/>
        <w:rPr>
          <w:sz w:val="20"/>
          <w:szCs w:val="20"/>
          <w:color w:val="auto"/>
        </w:rPr>
      </w:pPr>
    </w:p>
    <w:p>
      <w:pPr>
        <w:ind w:left="240" w:right="460" w:hanging="236"/>
        <w:spacing w:after="0" w:line="258" w:lineRule="auto"/>
        <w:tabs>
          <w:tab w:leader="none" w:pos="2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Deep knowledge of all aspects of the company and the semiconductor industry</w:t>
      </w:r>
    </w:p>
    <w:p>
      <w:pPr>
        <w:ind w:left="240" w:hanging="236"/>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responsibility of the company</w:t>
      </w:r>
    </w:p>
    <w:p>
      <w:pPr>
        <w:spacing w:after="0" w:line="36" w:lineRule="exact"/>
        <w:rPr>
          <w:rFonts w:ascii="Arial" w:cs="Arial" w:eastAsia="Arial" w:hAnsi="Arial"/>
          <w:sz w:val="18"/>
          <w:szCs w:val="18"/>
          <w:color w:val="auto"/>
        </w:rPr>
      </w:pPr>
    </w:p>
    <w:p>
      <w:pPr>
        <w:ind w:left="240" w:hanging="236"/>
        <w:spacing w:after="0"/>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219" w:lineRule="exact"/>
        <w:rPr>
          <w:sz w:val="20"/>
          <w:szCs w:val="20"/>
          <w:color w:val="auto"/>
        </w:rPr>
      </w:pPr>
    </w:p>
    <w:p>
      <w:pPr>
        <w:ind w:right="1640"/>
        <w:spacing w:after="0" w:line="345"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07" w:lineRule="exact"/>
        <w:rPr>
          <w:sz w:val="20"/>
          <w:szCs w:val="20"/>
          <w:color w:val="auto"/>
        </w:rPr>
      </w:pPr>
    </w:p>
    <w:p>
      <w:pPr>
        <w:ind w:right="620"/>
        <w:spacing w:after="0" w:line="345"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ectPr>
          <w:pgSz w:w="11900" w:h="16838" w:orient="portrait"/>
          <w:cols w:equalWidth="0" w:num="2">
            <w:col w:w="5680" w:space="100"/>
            <w:col w:w="5080"/>
          </w:cols>
          <w:pgMar w:left="340" w:top="1030"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242424"/>
        </w:rPr>
        <w:t>2022 PROXY STATEMENT • PAGE 10</w:t>
      </w:r>
    </w:p>
    <w:p>
      <w:pPr>
        <w:sectPr>
          <w:pgSz w:w="11900" w:h="16838" w:orient="portrait"/>
          <w:cols w:equalWidth="0" w:num="1">
            <w:col w:w="10860"/>
          </w:cols>
          <w:pgMar w:left="340" w:top="1030" w:right="6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Director nomination process</w:t>
      </w:r>
    </w:p>
    <w:p>
      <w:pPr>
        <w:spacing w:after="0" w:line="242"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(Nasdaq) and the board’s corporate governance guidelines. Our board of directors has adopted a written charter for the GSR Committee. It can be found on our website at www.ti.com/corporategovernance.</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can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20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2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the board</w:t>
      </w:r>
    </w:p>
    <w:p>
      <w:pPr>
        <w:spacing w:after="0" w:line="2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 specific to governance, executive compensation and environmental and social matters. The board’s corporate governance guidelines (which include the director independence standards), the charters of each of the board’s committees, TI’s “Living our Values: TI’s ambitions, values and code of conduct,” our code of ethics for our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81" w:lineRule="exact"/>
        <w:rPr>
          <w:sz w:val="20"/>
          <w:szCs w:val="20"/>
          <w:color w:val="auto"/>
        </w:rPr>
      </w:pPr>
    </w:p>
    <w:p>
      <w:pPr>
        <w:ind w:right="2560"/>
        <w:spacing w:after="0" w:line="478" w:lineRule="auto"/>
        <w:rPr>
          <w:sz w:val="20"/>
          <w:szCs w:val="20"/>
          <w:color w:val="auto"/>
        </w:rPr>
      </w:pPr>
      <w:r>
        <w:rPr>
          <w:rFonts w:ascii="Arial" w:cs="Arial" w:eastAsia="Arial" w:hAnsi="Arial"/>
          <w:sz w:val="20"/>
          <w:szCs w:val="20"/>
          <w:b w:val="1"/>
          <w:bCs w:val="1"/>
          <w:color w:val="auto"/>
        </w:rPr>
        <w:t xml:space="preserve">Adoption of special meeting right in response to 2021 written consent shareholder proposal </w:t>
      </w:r>
      <w:r>
        <w:rPr>
          <w:rFonts w:ascii="Arial" w:cs="Arial" w:eastAsia="Arial" w:hAnsi="Arial"/>
          <w:sz w:val="20"/>
          <w:szCs w:val="20"/>
          <w:u w:val="single" w:color="auto"/>
          <w:color w:val="auto"/>
        </w:rPr>
        <w:t>2021 proposal</w:t>
      </w:r>
    </w:p>
    <w:p>
      <w:pPr>
        <w:spacing w:after="0" w:line="2"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At the 2021 annual meeting, holders of approximately 63% of our outstanding shares expressed support for a non-binding stockholder proposal to allow action by written consent without a meeting of stockholders (the “2021 proposal”).</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described its concerns with a stockholder right to act by written consent in its 2021 Proxy Statement at pages 46-47. Following the 2021 annual meeting, the board remained concerned about the disruptive effects of a stockholder written consent right. For example, shareholder action by written consent could impede the company’s and our stockholders’ ability to thoroughly consider significant corporate actions and possible alternatives. In addition, stockholders without full economic interests or voting rights in the company could force the company to expend significant company resources, and a small number of stockholders could potentially unduly influence corporate actions. Given these concerns, and so that it could be well-positioned to incorporate stockholder feedback into its response to the 2021 proposal, the Governance and Stockholder Relations Committee requested that management engage with stockholders to understand the reasoning for their votes on the 2021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2022 PROXY STATEMENT • PAGE 11</w:t>
      </w:r>
    </w:p>
    <w:p>
      <w:pPr>
        <w:sectPr>
          <w:pgSz w:w="11900" w:h="16838" w:orient="portrait"/>
          <w:cols w:equalWidth="0" w:num="1">
            <w:col w:w="11200"/>
          </w:cols>
          <w:pgMar w:left="320" w:top="976" w:right="379" w:bottom="144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auto"/>
        </w:rPr>
        <w:t>Engagement with stockholders</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Following the 2021 annual meeting, management undertook a robust stockholder outreach campaign to understand stockholder votes on the 2021 proposal and their views with respect to potential responses. Specifically, the company sought to understand whether stockholder support for the 2021 proposal represented a desire for the right to act by written consent, or if stockholders instead intended their votes to convey other preferences (for example, a desire for the right to act between annual meetings, such as a stockholder right to call a special meeting). With respect to the possibility of amending the company’s by-laws to allow stockholders to call a special meeting, management also sought feedback to understand stockholder preferences with respect to the ownership threshold at which such a right would apply.</w:t>
      </w:r>
    </w:p>
    <w:p>
      <w:pPr>
        <w:spacing w:after="0" w:line="20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company reached out to owners of approximately two-thirds of the company’s outstanding common stock requesting feedback on how the company should respond to the 2021 proposal. Of these stockholders, approximately 35% shared substantive feedback, including 15 of the company’s 25 largest stockholders. During the course of this engagement, stockholders of approximately 25% of the outstanding common stock stated they would prefer that the company adopt a stockholder right to call a special meeting instead of adopting a right for stockholders to act by written consent, while </w:t>
      </w:r>
      <w:r>
        <w:rPr>
          <w:rFonts w:ascii="Arial" w:cs="Arial" w:eastAsia="Arial" w:hAnsi="Arial"/>
          <w:sz w:val="18"/>
          <w:szCs w:val="18"/>
          <w:b w:val="1"/>
          <w:bCs w:val="1"/>
          <w:color w:val="auto"/>
        </w:rPr>
        <w:t>none</w:t>
      </w:r>
      <w:r>
        <w:rPr>
          <w:rFonts w:ascii="Arial" w:cs="Arial" w:eastAsia="Arial" w:hAnsi="Arial"/>
          <w:sz w:val="18"/>
          <w:szCs w:val="18"/>
          <w:color w:val="auto"/>
        </w:rPr>
        <w:t xml:space="preserve"> that we engaged with indicated a preference for adoption of the right to act by written consent. Stockholders expressing this preference indicated a special meeting right was more desirable because it allows stockholders to act in between annual meetings, but unlike written consent, it better facilitates participation of all stockholders to discuss the topic under consideration through an orderly and transparent process. These stockholders further noted that they find the special meeting process better understood and simpler than the written consent process.</w:t>
      </w:r>
    </w:p>
    <w:p>
      <w:pPr>
        <w:spacing w:after="0" w:line="212" w:lineRule="exact"/>
        <w:rPr>
          <w:sz w:val="20"/>
          <w:szCs w:val="20"/>
          <w:color w:val="auto"/>
        </w:rPr>
      </w:pPr>
    </w:p>
    <w:p>
      <w:pPr>
        <w:ind w:right="800"/>
        <w:spacing w:after="0" w:line="291" w:lineRule="auto"/>
        <w:rPr>
          <w:sz w:val="20"/>
          <w:szCs w:val="20"/>
          <w:color w:val="auto"/>
        </w:rPr>
      </w:pPr>
      <w:r>
        <w:rPr>
          <w:rFonts w:ascii="Arial" w:cs="Arial" w:eastAsia="Arial" w:hAnsi="Arial"/>
          <w:sz w:val="17"/>
          <w:szCs w:val="17"/>
          <w:color w:val="auto"/>
        </w:rPr>
        <w:t>Importantly, during these interactions, approximately 90% of stockholders who provided feedback indicated they would consider an amendment to the company’s by-laws to provide stockholders the right to call a special meeting responsive to the 2021 proposal.</w:t>
      </w:r>
    </w:p>
    <w:p>
      <w:pPr>
        <w:spacing w:after="0" w:line="1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the stockholder feedback described above, the company believes that the right for stockholders to call a special meeting is a better alternative to the right for shareholders to act by written consent because it provides for a more balanced and orderly process, including a more transparent discussion of the topic under consideration. It is also more common, as according to data collected by FactSet, approximately 30% of S&amp;P 500 companies either provide stockholders the right to act by written consent or allow action by non-unanimous written consent. In contrast, approximately 70% of S&amp;P 500 companies afford stockholders the right to call a special meeting, typically subject to an ownership threshold (with approximately 55% of S&amp;P 500 companies with a special meeting right having an ownership threshold of 25% or greater).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Adoption of stockholder right to call special meeting</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the extensive analyses and stockholder feedback described above, our board concluded that the adoption of a shareholder right to act by written consent would not be in the best interests of the company and its stockholders. Our board, however, is mindful of being responsive to stockholders’ expressed wishes regarding the ability to act outside of the regular annual meeting cycle. Therefore, the board amended the company’s by-laws to provide a stockholder right to call special meetings.</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special meeting right adopted by the board is consistent with prevailing corporate governance practices and the adopted 25% ownership threshold is supported by a significant number of the company’s stockholders. Indeed, most stockholders that engaged with us supported the 25% ownership threshold to call special meetings. No other ownership threshold received a comparable level of support from stockholders who engaged with us. Moreover, an analysis of market data showed that 25% is the most prevalent threshold among S&amp;P 500 companies.</w:t>
      </w:r>
    </w:p>
    <w:p>
      <w:pPr>
        <w:spacing w:after="0" w:line="19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all of the reasons described above, the company determined that it would be consistent with the wishes of the majority of our stockholders, and responsive to the vote on the 2021 proposal, to amend the company’s by-laws to provide the right for a combined 25% of stockholders to call a special meeting. The board adopted this amendment on January 20, 2022, and the by-law amendment was publicly disclosed pursuant to a Form 8-K filed on January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2022 PROXY STATEMENT • PAGE 12</w:t>
      </w:r>
    </w:p>
    <w:p>
      <w:pPr>
        <w:sectPr>
          <w:pgSz w:w="11900" w:h="16838" w:orient="portrait"/>
          <w:cols w:equalWidth="0" w:num="1">
            <w:col w:w="11200"/>
          </w:cols>
          <w:pgMar w:left="320" w:top="784" w:right="37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Annual meeting attendance</w:t>
      </w:r>
    </w:p>
    <w:p>
      <w:pPr>
        <w:spacing w:after="0" w:line="24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It is a policy of the board to encourage directors to attend the annual meeting of stockholders. Attendance allows for interaction between stockholders and board members. In 2021, all directors attended TI’s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24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board has determined that each of our directors is independent except for Messrs. Templeton and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204" w:lineRule="exact"/>
        <w:rPr>
          <w:sz w:val="20"/>
          <w:szCs w:val="20"/>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spacing w:after="0" w:line="63" w:lineRule="exact"/>
        <w:rPr>
          <w:rFonts w:ascii="Arial" w:cs="Arial" w:eastAsia="Arial" w:hAnsi="Arial"/>
          <w:sz w:val="18"/>
          <w:szCs w:val="18"/>
          <w:color w:val="auto"/>
        </w:rPr>
      </w:pPr>
    </w:p>
    <w:p>
      <w:pPr>
        <w:ind w:left="1460" w:hanging="480"/>
        <w:spacing w:after="0" w:line="261" w:lineRule="auto"/>
        <w:tabs>
          <w:tab w:leader="none" w:pos="14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35" w:lineRule="exact"/>
        <w:rPr>
          <w:rFonts w:ascii="Arial" w:cs="Arial" w:eastAsia="Arial" w:hAnsi="Arial"/>
          <w:sz w:val="18"/>
          <w:szCs w:val="18"/>
          <w:color w:val="auto"/>
        </w:rPr>
      </w:pPr>
    </w:p>
    <w:p>
      <w:pPr>
        <w:ind w:left="1460" w:right="100" w:hanging="480"/>
        <w:spacing w:after="0" w:line="250" w:lineRule="auto"/>
        <w:tabs>
          <w:tab w:leader="none" w:pos="14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w:t>
      </w:r>
    </w:p>
    <w:p>
      <w:pPr>
        <w:spacing w:after="0" w:line="1" w:lineRule="exact"/>
        <w:rPr>
          <w:rFonts w:ascii="Arial" w:cs="Arial" w:eastAsia="Arial" w:hAnsi="Arial"/>
          <w:sz w:val="18"/>
          <w:szCs w:val="18"/>
          <w:color w:val="auto"/>
        </w:rPr>
      </w:pPr>
    </w:p>
    <w:p>
      <w:pPr>
        <w:ind w:left="1460" w:firstLine="6"/>
        <w:spacing w:after="0" w:line="253" w:lineRule="auto"/>
        <w:tabs>
          <w:tab w:leader="none" w:pos="173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(c)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43" w:lineRule="exact"/>
        <w:rPr>
          <w:rFonts w:ascii="Arial" w:cs="Arial" w:eastAsia="Arial" w:hAnsi="Arial"/>
          <w:sz w:val="18"/>
          <w:szCs w:val="18"/>
          <w:color w:val="auto"/>
        </w:rPr>
      </w:pPr>
    </w:p>
    <w:p>
      <w:pPr>
        <w:ind w:left="1460" w:right="60" w:hanging="480"/>
        <w:spacing w:after="0" w:line="250" w:lineRule="auto"/>
        <w:tabs>
          <w:tab w:leader="none" w:pos="14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w:t>
      </w:r>
    </w:p>
    <w:p>
      <w:pPr>
        <w:spacing w:after="0" w:line="1" w:lineRule="exact"/>
        <w:rPr>
          <w:rFonts w:ascii="Arial" w:cs="Arial" w:eastAsia="Arial" w:hAnsi="Arial"/>
          <w:sz w:val="18"/>
          <w:szCs w:val="18"/>
          <w:color w:val="auto"/>
        </w:rPr>
      </w:pPr>
    </w:p>
    <w:p>
      <w:pPr>
        <w:ind w:left="1460" w:right="40" w:firstLine="6"/>
        <w:spacing w:after="0" w:line="253" w:lineRule="auto"/>
        <w:tabs>
          <w:tab w:leader="none" w:pos="173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(c)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97"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63" w:lineRule="exact"/>
        <w:rPr>
          <w:rFonts w:ascii="Arial" w:cs="Arial" w:eastAsia="Arial" w:hAnsi="Arial"/>
          <w:sz w:val="18"/>
          <w:szCs w:val="18"/>
          <w:color w:val="auto"/>
        </w:rPr>
      </w:pPr>
    </w:p>
    <w:p>
      <w:pPr>
        <w:ind w:left="1460" w:hanging="480"/>
        <w:spacing w:after="0" w:line="261" w:lineRule="auto"/>
        <w:tabs>
          <w:tab w:leader="none" w:pos="14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35" w:lineRule="exact"/>
        <w:rPr>
          <w:rFonts w:ascii="Arial" w:cs="Arial" w:eastAsia="Arial" w:hAnsi="Arial"/>
          <w:sz w:val="18"/>
          <w:szCs w:val="18"/>
          <w:color w:val="auto"/>
        </w:rPr>
      </w:pPr>
    </w:p>
    <w:p>
      <w:pPr>
        <w:ind w:left="1460" w:hanging="480"/>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spacing w:after="0" w:line="9" w:lineRule="exact"/>
        <w:rPr>
          <w:rFonts w:ascii="Arial" w:cs="Arial" w:eastAsia="Arial" w:hAnsi="Arial"/>
          <w:sz w:val="18"/>
          <w:szCs w:val="18"/>
          <w:color w:val="auto"/>
        </w:rPr>
      </w:pPr>
    </w:p>
    <w:p>
      <w:pPr>
        <w:ind w:left="1460" w:right="120" w:firstLine="6"/>
        <w:spacing w:after="0" w:line="256" w:lineRule="auto"/>
        <w:tabs>
          <w:tab w:leader="none" w:pos="173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39" w:lineRule="exact"/>
        <w:rPr>
          <w:rFonts w:ascii="Arial" w:cs="Arial" w:eastAsia="Arial" w:hAnsi="Arial"/>
          <w:sz w:val="18"/>
          <w:szCs w:val="18"/>
          <w:color w:val="auto"/>
        </w:rPr>
      </w:pPr>
    </w:p>
    <w:p>
      <w:pPr>
        <w:ind w:left="1460" w:hanging="480"/>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63" w:lineRule="exact"/>
        <w:rPr>
          <w:rFonts w:ascii="Arial" w:cs="Arial" w:eastAsia="Arial" w:hAnsi="Arial"/>
          <w:sz w:val="18"/>
          <w:szCs w:val="18"/>
          <w:color w:val="auto"/>
        </w:rPr>
      </w:pPr>
    </w:p>
    <w:p>
      <w:pPr>
        <w:ind w:left="1460" w:right="240" w:hanging="480"/>
        <w:spacing w:after="0" w:line="261" w:lineRule="auto"/>
        <w:tabs>
          <w:tab w:leader="none" w:pos="14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35" w:lineRule="exact"/>
        <w:rPr>
          <w:rFonts w:ascii="Arial" w:cs="Arial" w:eastAsia="Arial" w:hAnsi="Arial"/>
          <w:sz w:val="18"/>
          <w:szCs w:val="18"/>
          <w:color w:val="auto"/>
        </w:rPr>
      </w:pPr>
    </w:p>
    <w:p>
      <w:pPr>
        <w:ind w:left="1460" w:right="740" w:hanging="480"/>
        <w:spacing w:after="0" w:line="261" w:lineRule="auto"/>
        <w:tabs>
          <w:tab w:leader="none" w:pos="14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35" w:lineRule="exact"/>
        <w:rPr>
          <w:rFonts w:ascii="Arial" w:cs="Arial" w:eastAsia="Arial" w:hAnsi="Arial"/>
          <w:sz w:val="18"/>
          <w:szCs w:val="18"/>
          <w:color w:val="auto"/>
        </w:rPr>
      </w:pPr>
    </w:p>
    <w:p>
      <w:pPr>
        <w:ind w:left="1460" w:right="200" w:hanging="480"/>
        <w:spacing w:after="0" w:line="261" w:lineRule="auto"/>
        <w:tabs>
          <w:tab w:leader="none" w:pos="14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13</w:t>
      </w:r>
    </w:p>
    <w:p>
      <w:pPr>
        <w:sectPr>
          <w:pgSz w:w="11900" w:h="16838" w:orient="portrait"/>
          <w:cols w:equalWidth="0" w:num="1">
            <w:col w:w="11220"/>
          </w:cols>
          <w:pgMar w:left="320" w:top="976" w:right="359" w:bottom="1440" w:gutter="0" w:footer="0" w:header="0"/>
        </w:sectPr>
      </w:pPr>
    </w:p>
    <w:bookmarkStart w:id="14" w:name="page15"/>
    <w:bookmarkEnd w:id="14"/>
    <w:p>
      <w:pPr>
        <w:ind w:left="1460" w:right="240" w:hanging="480"/>
        <w:spacing w:after="0" w:line="261" w:lineRule="auto"/>
        <w:tabs>
          <w:tab w:leader="none" w:pos="14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35" w:lineRule="exact"/>
        <w:rPr>
          <w:rFonts w:ascii="Arial" w:cs="Arial" w:eastAsia="Arial" w:hAnsi="Arial"/>
          <w:sz w:val="18"/>
          <w:szCs w:val="18"/>
          <w:color w:val="auto"/>
        </w:rPr>
      </w:pPr>
    </w:p>
    <w:p>
      <w:pPr>
        <w:ind w:left="1460" w:right="80" w:hanging="480"/>
        <w:spacing w:after="0" w:line="261" w:lineRule="auto"/>
        <w:tabs>
          <w:tab w:leader="none" w:pos="14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89" w:lineRule="exact"/>
        <w:rPr>
          <w:rFonts w:ascii="Arial" w:cs="Arial" w:eastAsia="Arial" w:hAnsi="Arial"/>
          <w:sz w:val="18"/>
          <w:szCs w:val="18"/>
          <w:color w:val="auto"/>
        </w:rPr>
      </w:pPr>
    </w:p>
    <w:p>
      <w:pPr>
        <w:ind w:left="980" w:right="20" w:hanging="486"/>
        <w:spacing w:after="0" w:line="253" w:lineRule="auto"/>
        <w:tabs>
          <w:tab w:leader="none" w:pos="9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97" w:lineRule="exact"/>
        <w:rPr>
          <w:rFonts w:ascii="Arial" w:cs="Arial" w:eastAsia="Arial" w:hAnsi="Arial"/>
          <w:sz w:val="18"/>
          <w:szCs w:val="18"/>
          <w:color w:val="auto"/>
        </w:rPr>
      </w:pPr>
    </w:p>
    <w:p>
      <w:pPr>
        <w:ind w:left="980" w:hanging="486"/>
        <w:spacing w:after="0" w:line="256" w:lineRule="auto"/>
        <w:tabs>
          <w:tab w:leader="none" w:pos="9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39" w:lineRule="exact"/>
        <w:rPr>
          <w:rFonts w:ascii="Arial" w:cs="Arial" w:eastAsia="Arial" w:hAnsi="Arial"/>
          <w:sz w:val="18"/>
          <w:szCs w:val="18"/>
          <w:color w:val="auto"/>
        </w:rPr>
      </w:pPr>
    </w:p>
    <w:p>
      <w:pPr>
        <w:ind w:left="1460" w:right="180" w:hanging="480"/>
        <w:spacing w:after="0" w:line="261" w:lineRule="auto"/>
        <w:tabs>
          <w:tab w:leader="none" w:pos="14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35" w:lineRule="exact"/>
        <w:rPr>
          <w:rFonts w:ascii="Arial" w:cs="Arial" w:eastAsia="Arial" w:hAnsi="Arial"/>
          <w:sz w:val="18"/>
          <w:szCs w:val="18"/>
          <w:color w:val="auto"/>
        </w:rPr>
      </w:pPr>
    </w:p>
    <w:p>
      <w:pPr>
        <w:ind w:left="1460" w:right="680" w:hanging="480"/>
        <w:spacing w:after="0" w:line="261" w:lineRule="auto"/>
        <w:tabs>
          <w:tab w:leader="none" w:pos="14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89" w:lineRule="exact"/>
        <w:rPr>
          <w:rFonts w:ascii="Arial" w:cs="Arial" w:eastAsia="Arial" w:hAnsi="Arial"/>
          <w:sz w:val="18"/>
          <w:szCs w:val="18"/>
          <w:color w:val="auto"/>
        </w:rPr>
      </w:pPr>
    </w:p>
    <w:p>
      <w:pPr>
        <w:jc w:val="both"/>
        <w:ind w:left="980" w:right="60" w:hanging="486"/>
        <w:spacing w:after="0" w:line="256" w:lineRule="auto"/>
        <w:tabs>
          <w:tab w:leader="none" w:pos="9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organization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and committee meetings</w:t>
      </w:r>
    </w:p>
    <w:p>
      <w:pPr>
        <w:spacing w:after="0" w:line="24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2021, the board held eight meetings. The board has three standing committees described below. The standing committees of the board collectively held 18 meetings in 2021. Each director attended at least 90% of the board and relevant committee meetings combined. Overall attendance at board and committee meetings was approximately 99%.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960" w:type="dxa"/>
            <w:vAlign w:val="bottom"/>
          </w:tcPr>
          <w:p>
            <w:pPr>
              <w:jc w:val="center"/>
              <w:ind w:left="477"/>
              <w:spacing w:after="0"/>
              <w:rPr>
                <w:sz w:val="20"/>
                <w:szCs w:val="20"/>
                <w:color w:val="auto"/>
              </w:rPr>
            </w:pPr>
            <w:r>
              <w:rPr>
                <w:rFonts w:ascii="Arial" w:cs="Arial" w:eastAsia="Arial" w:hAnsi="Arial"/>
                <w:sz w:val="14"/>
                <w:szCs w:val="14"/>
                <w:b w:val="1"/>
                <w:bCs w:val="1"/>
                <w:color w:val="auto"/>
              </w:rPr>
              <w:t>Audit</w:t>
            </w:r>
          </w:p>
        </w:tc>
        <w:tc>
          <w:tcPr>
            <w:tcW w:w="2360" w:type="dxa"/>
            <w:vAlign w:val="bottom"/>
          </w:tcPr>
          <w:p>
            <w:pPr>
              <w:jc w:val="center"/>
              <w:ind w:left="236"/>
              <w:spacing w:after="0"/>
              <w:rPr>
                <w:sz w:val="20"/>
                <w:szCs w:val="20"/>
                <w:color w:val="auto"/>
              </w:rPr>
            </w:pPr>
            <w:r>
              <w:rPr>
                <w:rFonts w:ascii="Arial" w:cs="Arial" w:eastAsia="Arial" w:hAnsi="Arial"/>
                <w:sz w:val="14"/>
                <w:szCs w:val="14"/>
                <w:b w:val="1"/>
                <w:bCs w:val="1"/>
                <w:color w:val="auto"/>
              </w:rPr>
              <w:t>Compensation</w:t>
            </w:r>
          </w:p>
        </w:tc>
        <w:tc>
          <w:tcPr>
            <w:tcW w:w="2780" w:type="dxa"/>
            <w:vAlign w:val="bottom"/>
          </w:tcPr>
          <w:p>
            <w:pPr>
              <w:jc w:val="center"/>
              <w:ind w:left="177"/>
              <w:spacing w:after="0"/>
              <w:rPr>
                <w:sz w:val="20"/>
                <w:szCs w:val="20"/>
                <w:color w:val="auto"/>
              </w:rPr>
            </w:pPr>
            <w:r>
              <w:rPr>
                <w:rFonts w:ascii="Arial" w:cs="Arial" w:eastAsia="Arial" w:hAnsi="Arial"/>
                <w:sz w:val="14"/>
                <w:szCs w:val="14"/>
                <w:b w:val="1"/>
                <w:bCs w:val="1"/>
                <w:color w:val="auto"/>
              </w:rPr>
              <w:t>Governance and Stockholder</w:t>
            </w:r>
          </w:p>
        </w:tc>
      </w:tr>
      <w:tr>
        <w:trPr>
          <w:trHeight w:val="19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2960" w:type="dxa"/>
            <w:vAlign w:val="bottom"/>
            <w:tcBorders>
              <w:bottom w:val="single" w:sz="8" w:color="auto"/>
            </w:tcBorders>
          </w:tcPr>
          <w:p>
            <w:pPr>
              <w:jc w:val="center"/>
              <w:ind w:left="477"/>
              <w:spacing w:after="0"/>
              <w:rPr>
                <w:sz w:val="20"/>
                <w:szCs w:val="20"/>
                <w:color w:val="auto"/>
              </w:rPr>
            </w:pPr>
            <w:r>
              <w:rPr>
                <w:rFonts w:ascii="Arial" w:cs="Arial" w:eastAsia="Arial" w:hAnsi="Arial"/>
                <w:sz w:val="14"/>
                <w:szCs w:val="14"/>
                <w:b w:val="1"/>
                <w:bCs w:val="1"/>
                <w:color w:val="auto"/>
              </w:rPr>
              <w:t>Committee</w:t>
            </w:r>
          </w:p>
        </w:tc>
        <w:tc>
          <w:tcPr>
            <w:tcW w:w="23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rPr>
              <w:t>Committee</w:t>
            </w:r>
          </w:p>
        </w:tc>
        <w:tc>
          <w:tcPr>
            <w:tcW w:w="278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rPr>
              <w:t>Relations Committee</w:t>
            </w: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 *</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jc w:val="center"/>
              <w:ind w:left="157"/>
              <w:spacing w:after="0"/>
              <w:rPr>
                <w:sz w:val="20"/>
                <w:szCs w:val="20"/>
                <w:color w:val="auto"/>
              </w:rPr>
            </w:pPr>
            <w:r>
              <w:rPr>
                <w:rFonts w:ascii="Arial" w:cs="Arial" w:eastAsia="Arial" w:hAnsi="Arial"/>
                <w:sz w:val="18"/>
                <w:szCs w:val="18"/>
                <w:color w:val="auto"/>
                <w:w w:val="94"/>
              </w:rPr>
              <w:t>•</w:t>
            </w:r>
          </w:p>
        </w:tc>
      </w:tr>
      <w:tr>
        <w:trPr>
          <w:trHeight w:val="27"/>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 **</w:t>
            </w:r>
          </w:p>
        </w:tc>
        <w:tc>
          <w:tcPr>
            <w:tcW w:w="2960" w:type="dxa"/>
            <w:vAlign w:val="bottom"/>
            <w:tcBorders>
              <w:bottom w:val="single" w:sz="8" w:color="DBDBDB"/>
            </w:tcBorders>
            <w:shd w:val="clear" w:color="auto" w:fill="DBDBDB"/>
          </w:tcPr>
          <w:p>
            <w:pPr>
              <w:jc w:val="center"/>
              <w:ind w:left="477"/>
              <w:spacing w:after="0"/>
              <w:rPr>
                <w:sz w:val="20"/>
                <w:szCs w:val="20"/>
                <w:color w:val="auto"/>
              </w:rPr>
            </w:pPr>
            <w:r>
              <w:rPr>
                <w:rFonts w:ascii="Arial" w:cs="Arial" w:eastAsia="Arial" w:hAnsi="Arial"/>
                <w:sz w:val="18"/>
                <w:szCs w:val="18"/>
                <w:color w:val="auto"/>
              </w:rPr>
              <w:t>Chair</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296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jc w:val="center"/>
              <w:ind w:left="236"/>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DBDBDB"/>
            </w:tcBorders>
            <w:shd w:val="clear" w:color="auto" w:fill="DBDBDB"/>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2960" w:type="dxa"/>
            <w:vAlign w:val="bottom"/>
          </w:tcPr>
          <w:p>
            <w:pPr>
              <w:jc w:val="center"/>
              <w:ind w:left="497"/>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2960" w:type="dxa"/>
            <w:vAlign w:val="bottom"/>
            <w:tcBorders>
              <w:bottom w:val="single" w:sz="8" w:color="DBDBDB"/>
            </w:tcBorders>
            <w:shd w:val="clear" w:color="auto" w:fill="DBDBDB"/>
          </w:tcPr>
          <w:p>
            <w:pPr>
              <w:jc w:val="center"/>
              <w:ind w:left="497"/>
              <w:spacing w:after="0"/>
              <w:rPr>
                <w:sz w:val="20"/>
                <w:szCs w:val="20"/>
                <w:color w:val="auto"/>
              </w:rPr>
            </w:pPr>
            <w:r>
              <w:rPr>
                <w:rFonts w:ascii="Arial" w:cs="Arial" w:eastAsia="Arial" w:hAnsi="Arial"/>
                <w:sz w:val="18"/>
                <w:szCs w:val="18"/>
                <w:color w:val="auto"/>
                <w:w w:val="94"/>
              </w:rPr>
              <w:t>•</w:t>
            </w: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jc w:val="center"/>
              <w:ind w:left="177"/>
              <w:spacing w:after="0"/>
              <w:rPr>
                <w:sz w:val="20"/>
                <w:szCs w:val="20"/>
                <w:color w:val="auto"/>
              </w:rPr>
            </w:pPr>
            <w:r>
              <w:rPr>
                <w:rFonts w:ascii="Arial" w:cs="Arial" w:eastAsia="Arial" w:hAnsi="Arial"/>
                <w:sz w:val="18"/>
                <w:szCs w:val="18"/>
                <w:color w:val="auto"/>
              </w:rPr>
              <w:t>Chair</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2960" w:type="dxa"/>
            <w:vAlign w:val="bottom"/>
          </w:tcPr>
          <w:p>
            <w:pPr>
              <w:spacing w:after="0"/>
              <w:rPr>
                <w:sz w:val="21"/>
                <w:szCs w:val="21"/>
                <w:color w:val="auto"/>
              </w:rPr>
            </w:pPr>
          </w:p>
        </w:tc>
        <w:tc>
          <w:tcPr>
            <w:tcW w:w="2360" w:type="dxa"/>
            <w:vAlign w:val="bottom"/>
          </w:tcPr>
          <w:p>
            <w:pPr>
              <w:jc w:val="center"/>
              <w:ind w:left="236"/>
              <w:spacing w:after="0"/>
              <w:rPr>
                <w:sz w:val="20"/>
                <w:szCs w:val="20"/>
                <w:color w:val="auto"/>
              </w:rPr>
            </w:pPr>
            <w:r>
              <w:rPr>
                <w:rFonts w:ascii="Arial" w:cs="Arial" w:eastAsia="Arial" w:hAnsi="Arial"/>
                <w:sz w:val="18"/>
                <w:szCs w:val="18"/>
                <w:color w:val="auto"/>
              </w:rPr>
              <w:t>Chair</w:t>
            </w:r>
          </w:p>
        </w:tc>
        <w:tc>
          <w:tcPr>
            <w:tcW w:w="278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2960" w:type="dxa"/>
            <w:vAlign w:val="bottom"/>
            <w:tcBorders>
              <w:bottom w:val="single" w:sz="8" w:color="DBDBDB"/>
            </w:tcBorders>
            <w:shd w:val="clear" w:color="auto" w:fill="DBDBDB"/>
          </w:tcPr>
          <w:p>
            <w:pPr>
              <w:spacing w:after="0"/>
              <w:rPr>
                <w:sz w:val="21"/>
                <w:szCs w:val="21"/>
                <w:color w:val="auto"/>
              </w:rPr>
            </w:pPr>
          </w:p>
        </w:tc>
        <w:tc>
          <w:tcPr>
            <w:tcW w:w="2360" w:type="dxa"/>
            <w:vAlign w:val="bottom"/>
            <w:tcBorders>
              <w:bottom w:val="single" w:sz="8" w:color="DBDBDB"/>
            </w:tcBorders>
            <w:shd w:val="clear" w:color="auto" w:fill="DBDBDB"/>
          </w:tcPr>
          <w:p>
            <w:pPr>
              <w:spacing w:after="0"/>
              <w:rPr>
                <w:sz w:val="21"/>
                <w:szCs w:val="21"/>
                <w:color w:val="auto"/>
              </w:rPr>
            </w:pPr>
          </w:p>
        </w:tc>
        <w:tc>
          <w:tcPr>
            <w:tcW w:w="2780" w:type="dxa"/>
            <w:vAlign w:val="bottom"/>
            <w:tcBorders>
              <w:bottom w:val="single" w:sz="8" w:color="DBDBDB"/>
            </w:tcBorders>
            <w:shd w:val="clear" w:color="auto" w:fill="DBDBDB"/>
          </w:tcPr>
          <w:p>
            <w:pPr>
              <w:jc w:val="center"/>
              <w:ind w:left="157"/>
              <w:spacing w:after="0"/>
              <w:rPr>
                <w:sz w:val="20"/>
                <w:szCs w:val="20"/>
                <w:color w:val="auto"/>
              </w:rPr>
            </w:pPr>
            <w:r>
              <w:rPr>
                <w:rFonts w:ascii="Arial" w:cs="Arial" w:eastAsia="Arial" w:hAnsi="Arial"/>
                <w:sz w:val="18"/>
                <w:szCs w:val="18"/>
                <w:color w:val="auto"/>
                <w:w w:val="94"/>
              </w:rPr>
              <w:t>•</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2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780" w:type="dxa"/>
            <w:vAlign w:val="bottom"/>
          </w:tcPr>
          <w:p>
            <w:pPr>
              <w:spacing w:after="0"/>
              <w:rPr>
                <w:sz w:val="21"/>
                <w:szCs w:val="21"/>
                <w:color w:val="auto"/>
              </w:rPr>
            </w:pPr>
          </w:p>
        </w:tc>
      </w:tr>
    </w:tbl>
    <w:p>
      <w:pPr>
        <w:spacing w:after="0" w:line="229" w:lineRule="exact"/>
        <w:rPr>
          <w:sz w:val="20"/>
          <w:szCs w:val="20"/>
          <w:color w:val="auto"/>
        </w:rPr>
      </w:pPr>
    </w:p>
    <w:p>
      <w:pPr>
        <w:ind w:right="4400" w:firstLine="8"/>
        <w:spacing w:after="0" w:line="387"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Moved from Audit Committee to Compensation Committee effective April 22, 2021 ** Lead director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14</w:t>
      </w:r>
    </w:p>
    <w:p>
      <w:pPr>
        <w:sectPr>
          <w:pgSz w:w="11900" w:h="16838" w:orient="portrait"/>
          <w:cols w:equalWidth="0" w:num="1">
            <w:col w:w="11220"/>
          </w:cols>
          <w:pgMar w:left="320" w:top="841"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Committees of the board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Audit Committee</w:t>
      </w:r>
    </w:p>
    <w:p>
      <w:pPr>
        <w:spacing w:after="0" w:line="218"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Since April 22, 2021, the committee members have been Ms. Clark (chair), Ms. Hobby and Mr. Hsu.</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generally responsible for:</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annual report of TI’s independent registered public accounting firm related to quality control.</w:t>
      </w:r>
    </w:p>
    <w:p>
      <w:pPr>
        <w:spacing w:after="0" w:line="63" w:lineRule="exact"/>
        <w:rPr>
          <w:rFonts w:ascii="Arial" w:cs="Arial" w:eastAsia="Arial" w:hAnsi="Arial"/>
          <w:sz w:val="18"/>
          <w:szCs w:val="18"/>
          <w:color w:val="auto"/>
        </w:rPr>
      </w:pPr>
    </w:p>
    <w:p>
      <w:pPr>
        <w:ind w:left="980" w:hanging="324"/>
        <w:spacing w:after="0" w:line="261"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TI’s audit plans.</w:t>
      </w:r>
    </w:p>
    <w:p>
      <w:pPr>
        <w:spacing w:after="0" w:line="63" w:lineRule="exact"/>
        <w:rPr>
          <w:rFonts w:ascii="Arial" w:cs="Arial" w:eastAsia="Arial" w:hAnsi="Arial"/>
          <w:sz w:val="18"/>
          <w:szCs w:val="18"/>
          <w:color w:val="auto"/>
        </w:rPr>
      </w:pPr>
    </w:p>
    <w:p>
      <w:pPr>
        <w:ind w:left="980" w:right="140" w:hanging="324"/>
        <w:spacing w:after="0" w:line="261"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Relationships between the independent registered public accounting firm and TI.</w:t>
      </w:r>
    </w:p>
    <w:p>
      <w:pPr>
        <w:spacing w:after="0" w:line="63" w:lineRule="exact"/>
        <w:rPr>
          <w:rFonts w:ascii="Arial" w:cs="Arial" w:eastAsia="Arial" w:hAnsi="Arial"/>
          <w:sz w:val="18"/>
          <w:szCs w:val="18"/>
          <w:color w:val="auto"/>
        </w:rPr>
      </w:pPr>
    </w:p>
    <w:p>
      <w:pPr>
        <w:ind w:left="980" w:right="80" w:hanging="324"/>
        <w:spacing w:after="0" w:line="261"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TI’s risk assessment and risk management practices, including cybersecurity and environmental-related risks.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TI’s compliance and ethics program.</w:t>
      </w:r>
    </w:p>
    <w:p>
      <w:pPr>
        <w:spacing w:after="0" w:line="63" w:lineRule="exact"/>
        <w:rPr>
          <w:rFonts w:ascii="Arial" w:cs="Arial" w:eastAsia="Arial" w:hAnsi="Arial"/>
          <w:sz w:val="18"/>
          <w:szCs w:val="18"/>
          <w:color w:val="auto"/>
        </w:rPr>
      </w:pPr>
    </w:p>
    <w:p>
      <w:pPr>
        <w:ind w:left="980" w:right="520" w:hanging="324"/>
        <w:spacing w:after="0" w:line="261"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TI’s non-employee-related insurance programs.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Changes, if any, in major accounting policies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Trends in accounting policy changes that are relevant to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company’s policy regarding investments and financial derivative products.</w:t>
      </w:r>
    </w:p>
    <w:p>
      <w:pPr>
        <w:spacing w:after="0" w:line="63"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Ms. Clark as the audit committee financial expert as defined in the Securities Exchange Act of 1934, as amended.</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Audit Committee met six times in 2021.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the Compensation Committee are independent. Since April 22, 2021, the committee members have been Ms. Patsley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Blinn, Ms. Cox and Mr. Craighead. The committee is responsible for:</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ectPr>
          <w:pgSz w:w="11900" w:h="16838" w:orient="portrait"/>
          <w:cols w:equalWidth="0" w:num="1">
            <w:col w:w="11220"/>
          </w:cols>
          <w:pgMar w:left="320" w:top="9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15</w:t>
      </w:r>
    </w:p>
    <w:p>
      <w:pPr>
        <w:sectPr>
          <w:pgSz w:w="11900" w:h="16838" w:orient="portrait"/>
          <w:cols w:equalWidth="0" w:num="1">
            <w:col w:w="11220"/>
          </w:cols>
          <w:pgMar w:left="320" w:top="976" w:right="359" w:bottom="1440" w:gutter="0" w:footer="0" w:header="0"/>
          <w:type w:val="continuous"/>
        </w:sectPr>
      </w:pPr>
    </w:p>
    <w:bookmarkStart w:id="16" w:name="page17"/>
    <w:bookmarkEnd w:id="16"/>
    <w:p>
      <w:pPr>
        <w:ind w:left="980" w:right="180" w:hanging="324"/>
        <w:spacing w:after="0" w:line="256" w:lineRule="auto"/>
        <w:tabs>
          <w:tab w:leader="none" w:pos="9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39" w:lineRule="exact"/>
        <w:rPr>
          <w:rFonts w:ascii="Arial" w:cs="Arial" w:eastAsia="Arial" w:hAnsi="Arial"/>
          <w:sz w:val="18"/>
          <w:szCs w:val="18"/>
          <w:color w:val="auto"/>
        </w:rPr>
      </w:pPr>
    </w:p>
    <w:p>
      <w:pPr>
        <w:ind w:left="980" w:right="760" w:hanging="324"/>
        <w:spacing w:after="0" w:line="261" w:lineRule="auto"/>
        <w:tabs>
          <w:tab w:leader="none" w:pos="9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35"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35"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9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Compensation Committee met five times in 2021. The Compensation Committee holds regularly scheduled meetings, reports its activities to the board, and consults with the board before setting annual executive compensation.</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2021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engagements with the company or its management. In support of this belief, the committee has a policy on compensation consultants, a copy of which may be found on www.ti.com/corporategovernance. During 2021, the committee determined that its compensation consultant was independent of the company and had no conflict of interest.</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The special committee has no authority to grant, amend or terminate any form of compensation for TI’s executive officers. The Compensation Committee reviews all activity of the special committee.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16</w:t>
      </w:r>
    </w:p>
    <w:p>
      <w:pPr>
        <w:sectPr>
          <w:pgSz w:w="11900" w:h="16838" w:orient="portrait"/>
          <w:cols w:equalWidth="0" w:num="1">
            <w:col w:w="11240"/>
          </w:cols>
          <w:pgMar w:left="320" w:top="841"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auto"/>
        </w:rPr>
        <w:t>Governance and Stockholder Relations Committee</w:t>
      </w:r>
    </w:p>
    <w:p>
      <w:pPr>
        <w:spacing w:after="0" w:line="21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All members of the GSR Committee are independent. Since April 23, 2020, the committee members have been Mr. Kirk (chair), Mr. Bluedorn and Mr. Sanchez. The GSR Committee is generally responsible for:</w:t>
      </w:r>
    </w:p>
    <w:p>
      <w:pPr>
        <w:spacing w:after="0" w:line="19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development and revision of our corporate governance principles.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TI’s conflict of interest policy.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Election of executive officers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Topics affecting the relationship between the company and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Public issues likely to affect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Contribution policies of the company and the TI Foundation.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Scope of activities of the company’s political action committee.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Revisions to TI’s code of conduct.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25"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The GSR Committee met seven times in 2021. The GSR Committee holds regularly scheduled meetings and reports its activities to the board.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evaluation process</w:t>
      </w:r>
    </w:p>
    <w:p>
      <w:pPr>
        <w:spacing w:after="0" w:line="2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2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of the independent directors at each board meeting), allows it to maintain the active engagement of independent directors and appropriate oversight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17</w:t>
      </w:r>
    </w:p>
    <w:p>
      <w:pPr>
        <w:sectPr>
          <w:pgSz w:w="11900" w:h="16838" w:orient="portrait"/>
          <w:cols w:equalWidth="0" w:num="1">
            <w:col w:w="11240"/>
          </w:cols>
          <w:pgMar w:left="320" w:top="1000" w:right="339" w:bottom="1440" w:gutter="0" w:footer="0" w:header="0"/>
        </w:sectPr>
      </w:pPr>
    </w:p>
    <w:bookmarkStart w:id="18" w:name="page19"/>
    <w:bookmarkEnd w:id="18"/>
    <w:p>
      <w:pPr>
        <w:ind w:right="660"/>
        <w:spacing w:after="0" w:line="261"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Ms. Clark to serve as lead director. The duties of the lead director are to:</w:t>
      </w:r>
    </w:p>
    <w:p>
      <w:pPr>
        <w:spacing w:after="0" w:line="19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 by the board</w:t>
      </w:r>
    </w:p>
    <w:p>
      <w:pPr>
        <w:spacing w:after="0" w:line="2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19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Audit Committee oversees the company’s approach to risk management as a whole, including cybersecurity and environmental-related risks. The company’s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2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18</w:t>
      </w:r>
    </w:p>
    <w:p>
      <w:pPr>
        <w:sectPr>
          <w:pgSz w:w="11900" w:h="16838" w:orient="portrait"/>
          <w:cols w:equalWidth="0" w:num="1">
            <w:col w:w="11240"/>
          </w:cols>
          <w:pgMar w:left="320" w:top="787" w:right="339" w:bottom="1440" w:gutter="0" w:footer="0" w:header="0"/>
        </w:sectPr>
      </w:pPr>
    </w:p>
    <w:bookmarkStart w:id="19" w:name="page20"/>
    <w:bookmarkEnd w:id="19"/>
    <w:p>
      <w:pPr>
        <w:ind w:right="40"/>
        <w:spacing w:after="0" w:line="254" w:lineRule="auto"/>
        <w:rPr>
          <w:sz w:val="20"/>
          <w:szCs w:val="20"/>
          <w:color w:val="auto"/>
        </w:rPr>
      </w:pPr>
      <w:r>
        <w:rPr>
          <w:rFonts w:ascii="Arial" w:cs="Arial" w:eastAsia="Arial" w:hAnsi="Arial"/>
          <w:sz w:val="18"/>
          <w:szCs w:val="18"/>
          <w:color w:val="auto"/>
        </w:rPr>
        <w:t>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 of environmental, social and governance (ESG) matters</w:t>
      </w:r>
    </w:p>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implements ESG-related policies and practices under the board’s oversight, including by (1) establishing broad policies for guidance of the organization, such as those contained in the document “Living our Values: TI’s ambitions, values and code of conduct,” which was approved by the board; (2) implementing those policies by delegation of authority and assigning responsibility to board committees, the chief executive officer, and other officers or employees as appropriate; and (3) monitoring and evaluating performance to assure that the stated policies are being followed.</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Where ESG-related issues may have significance for TI, these matters are reviewed in the relevant committee. We believe this approach ensures that ESG issues are overseen by the Committee with the appropriate focus. For example, climate-related issues are reviewed with the Audit Committee by the vice president of worldwide environmental, safety and health. The GSR Committee also oversees ESG matters in connection with its responsibility to review public issues of interest to company stakeholders. Management also provides updates to the GSR Committee at least annually on shareholder policies and proposals regarding ESG matters that are relevant to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3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arrangements in 2021 for the non-employee directors were:</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retainer of $110,000 for board and committee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annual retainer of $35,000 for service as the lead director.</w:t>
      </w:r>
    </w:p>
    <w:p>
      <w:pPr>
        <w:spacing w:after="0" w:line="6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$20,000 for service as chair of the GSR Committee.</w:t>
      </w:r>
    </w:p>
    <w:p>
      <w:pPr>
        <w:spacing w:after="0" w:line="35" w:lineRule="exact"/>
        <w:rPr>
          <w:rFonts w:ascii="Arial" w:cs="Arial" w:eastAsia="Arial" w:hAnsi="Arial"/>
          <w:sz w:val="18"/>
          <w:szCs w:val="18"/>
          <w:color w:val="auto"/>
        </w:rPr>
      </w:pPr>
    </w:p>
    <w:p>
      <w:pPr>
        <w:ind w:left="660" w:right="540" w:hanging="328"/>
        <w:spacing w:after="0" w:line="265"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2018 Director Compensation Plan (Director Plan), which was approved by stockholders in April 2018. The grant date value is approximately $100,000, determined using a Black-Scholes option-pricing model (subject to the board’s ability to adjust the grant downward).</w:t>
      </w:r>
    </w:p>
    <w:p>
      <w:pPr>
        <w:ind w:left="660" w:right="80"/>
        <w:spacing w:after="0" w:line="252" w:lineRule="auto"/>
        <w:rPr>
          <w:rFonts w:ascii="Arial" w:cs="Arial" w:eastAsia="Arial" w:hAnsi="Arial"/>
          <w:sz w:val="17"/>
          <w:szCs w:val="17"/>
          <w:color w:val="auto"/>
        </w:rPr>
      </w:pPr>
      <w:r>
        <w:rPr>
          <w:rFonts w:ascii="Arial" w:cs="Arial" w:eastAsia="Arial" w:hAnsi="Arial"/>
          <w:sz w:val="18"/>
          <w:szCs w:val="18"/>
          <w:color w:val="auto"/>
        </w:rPr>
        <w:t>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44" w:lineRule="exact"/>
        <w:rPr>
          <w:rFonts w:ascii="Arial" w:cs="Arial" w:eastAsia="Arial" w:hAnsi="Arial"/>
          <w:sz w:val="17"/>
          <w:szCs w:val="17"/>
          <w:color w:val="auto"/>
        </w:rPr>
      </w:pPr>
    </w:p>
    <w:p>
      <w:pPr>
        <w:ind w:left="660" w:hanging="328"/>
        <w:spacing w:after="0" w:line="25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19</w:t>
      </w:r>
    </w:p>
    <w:p>
      <w:pPr>
        <w:sectPr>
          <w:pgSz w:w="11900" w:h="16838" w:orient="portrait"/>
          <w:cols w:equalWidth="0" w:num="1">
            <w:col w:w="11240"/>
          </w:cols>
          <w:pgMar w:left="320" w:top="787"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restricted stock unit. Dividend equivalents are paid on the restricted stock units at the same rate as dividends on TI common stock.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 may defer receipt of dividend equivalents.</w:t>
      </w:r>
    </w:p>
    <w:p>
      <w:pPr>
        <w:spacing w:after="0" w:line="6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spacing w:after="0" w:line="6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one-time grant of restricted stock units with a grant-date value of approximately $200,000 upon a director’s initial election to the board.</w:t>
      </w:r>
    </w:p>
    <w:p>
      <w:pPr>
        <w:spacing w:after="0" w:line="19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20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20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2021, that rate was 2.32%.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director compensation</w:t>
      </w:r>
    </w:p>
    <w:p>
      <w:pPr>
        <w:spacing w:after="0" w:line="24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2021 for services in all capacities to TI in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Fees Earned or</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14"/>
                <w:szCs w:val="14"/>
                <w:color w:val="auto"/>
              </w:rPr>
            </w:pPr>
          </w:p>
        </w:tc>
        <w:tc>
          <w:tcPr>
            <w:tcW w:w="1000" w:type="dxa"/>
            <w:vAlign w:val="bottom"/>
          </w:tcPr>
          <w:p>
            <w:pPr>
              <w:jc w:val="center"/>
              <w:ind w:right="193"/>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4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Paid in Cash</w:t>
            </w:r>
          </w:p>
        </w:tc>
        <w:tc>
          <w:tcPr>
            <w:tcW w:w="12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(2)</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(4)</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 (5)</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 ($)</w:t>
            </w:r>
          </w:p>
        </w:tc>
      </w:tr>
      <w:tr>
        <w:trPr>
          <w:trHeight w:val="249"/>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120,000</w:t>
            </w:r>
          </w:p>
        </w:tc>
        <w:tc>
          <w:tcPr>
            <w:tcW w:w="340" w:type="dxa"/>
            <w:vAlign w:val="bottom"/>
            <w:tcBorders>
              <w:bottom w:val="single" w:sz="8" w:color="DBDBDB"/>
            </w:tcBorders>
            <w:shd w:val="clear" w:color="auto" w:fill="DBDBDB"/>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DBDBDB"/>
            </w:tcBorders>
            <w:shd w:val="clear" w:color="auto" w:fill="DBDBDB"/>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ind w:right="73"/>
              <w:spacing w:after="0"/>
              <w:rPr>
                <w:sz w:val="20"/>
                <w:szCs w:val="20"/>
                <w:color w:val="auto"/>
              </w:rPr>
            </w:pPr>
            <w:r>
              <w:rPr>
                <w:rFonts w:ascii="Arial" w:cs="Arial" w:eastAsia="Arial" w:hAnsi="Arial"/>
                <w:sz w:val="18"/>
                <w:szCs w:val="18"/>
                <w:color w:val="auto"/>
              </w:rPr>
              <w:t>7,540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327,385</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309,885</w:t>
            </w:r>
          </w:p>
        </w:tc>
      </w:tr>
      <w:tr>
        <w:trPr>
          <w:trHeight w:val="27"/>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153,333</w:t>
            </w:r>
          </w:p>
        </w:tc>
        <w:tc>
          <w:tcPr>
            <w:tcW w:w="340" w:type="dxa"/>
            <w:vAlign w:val="bottom"/>
            <w:tcBorders>
              <w:bottom w:val="single" w:sz="8" w:color="DBDBDB"/>
            </w:tcBorders>
            <w:shd w:val="clear" w:color="auto" w:fill="DBDBDB"/>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DBDBDB"/>
            </w:tcBorders>
            <w:shd w:val="clear" w:color="auto" w:fill="DBDBDB"/>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ind w:right="73"/>
              <w:spacing w:after="0"/>
              <w:rPr>
                <w:sz w:val="20"/>
                <w:szCs w:val="20"/>
                <w:color w:val="auto"/>
              </w:rPr>
            </w:pPr>
            <w:r>
              <w:rPr>
                <w:rFonts w:ascii="Arial" w:cs="Arial" w:eastAsia="Arial" w:hAnsi="Arial"/>
                <w:sz w:val="18"/>
                <w:szCs w:val="18"/>
                <w:color w:val="auto"/>
              </w:rPr>
              <w:t>30,040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383,218</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7"/>
              <w:spacing w:after="0"/>
              <w:rPr>
                <w:sz w:val="20"/>
                <w:szCs w:val="20"/>
                <w:color w:val="auto"/>
              </w:rPr>
            </w:pPr>
            <w:r>
              <w:rPr>
                <w:rFonts w:ascii="Arial" w:cs="Arial" w:eastAsia="Arial" w:hAnsi="Arial"/>
                <w:sz w:val="18"/>
                <w:szCs w:val="18"/>
                <w:color w:val="auto"/>
              </w:rPr>
              <w:t>$  8,697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30,040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348,582</w:t>
            </w:r>
          </w:p>
        </w:tc>
      </w:tr>
      <w:tr>
        <w:trPr>
          <w:trHeight w:val="27"/>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110,000</w:t>
            </w:r>
          </w:p>
        </w:tc>
        <w:tc>
          <w:tcPr>
            <w:tcW w:w="340" w:type="dxa"/>
            <w:vAlign w:val="bottom"/>
            <w:tcBorders>
              <w:bottom w:val="single" w:sz="8" w:color="DBDBDB"/>
            </w:tcBorders>
            <w:shd w:val="clear" w:color="auto" w:fill="DBDBDB"/>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DBDBDB"/>
            </w:tcBorders>
            <w:shd w:val="clear" w:color="auto" w:fill="DBDBDB"/>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ind w:right="73"/>
              <w:spacing w:after="0"/>
              <w:rPr>
                <w:sz w:val="20"/>
                <w:szCs w:val="20"/>
                <w:color w:val="auto"/>
              </w:rPr>
            </w:pPr>
            <w:r>
              <w:rPr>
                <w:rFonts w:ascii="Arial" w:cs="Arial" w:eastAsia="Arial" w:hAnsi="Arial"/>
                <w:sz w:val="18"/>
                <w:szCs w:val="18"/>
                <w:color w:val="auto"/>
              </w:rPr>
              <w:t>25,040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334,885</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309,885</w:t>
            </w:r>
          </w:p>
        </w:tc>
      </w:tr>
      <w:tr>
        <w:trPr>
          <w:trHeight w:val="27"/>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110,000</w:t>
            </w:r>
          </w:p>
        </w:tc>
        <w:tc>
          <w:tcPr>
            <w:tcW w:w="340" w:type="dxa"/>
            <w:vAlign w:val="bottom"/>
            <w:tcBorders>
              <w:bottom w:val="single" w:sz="8" w:color="DBDBDB"/>
            </w:tcBorders>
            <w:shd w:val="clear" w:color="auto" w:fill="DBDBDB"/>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DBDBDB"/>
            </w:tcBorders>
            <w:shd w:val="clear" w:color="auto" w:fill="DBDBDB"/>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ind w:right="73"/>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309,885</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141,667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22,290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363,802</w:t>
            </w:r>
          </w:p>
        </w:tc>
      </w:tr>
      <w:tr>
        <w:trPr>
          <w:trHeight w:val="27"/>
        </w:trPr>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5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8"/>
                <w:szCs w:val="18"/>
                <w:color w:val="auto"/>
              </w:rPr>
              <w:t>130,000</w:t>
            </w:r>
          </w:p>
        </w:tc>
        <w:tc>
          <w:tcPr>
            <w:tcW w:w="340" w:type="dxa"/>
            <w:vAlign w:val="bottom"/>
            <w:tcBorders>
              <w:bottom w:val="single" w:sz="8" w:color="DBDBDB"/>
            </w:tcBorders>
            <w:shd w:val="clear" w:color="auto" w:fill="DBDBDB"/>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DBDBDB"/>
            </w:tcBorders>
            <w:shd w:val="clear" w:color="auto" w:fill="DBDBDB"/>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BDBDB"/>
            </w:tcBorders>
            <w:shd w:val="clear" w:color="auto" w:fill="DBDBDB"/>
          </w:tcPr>
          <w:p>
            <w:pPr>
              <w:jc w:val="right"/>
              <w:ind w:right="73"/>
              <w:spacing w:after="0"/>
              <w:rPr>
                <w:sz w:val="20"/>
                <w:szCs w:val="20"/>
                <w:color w:val="auto"/>
              </w:rPr>
            </w:pPr>
            <w:r>
              <w:rPr>
                <w:rFonts w:ascii="Arial" w:cs="Arial" w:eastAsia="Arial" w:hAnsi="Arial"/>
                <w:sz w:val="18"/>
                <w:szCs w:val="18"/>
                <w:color w:val="auto"/>
              </w:rPr>
              <w:t>30,040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359,885</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110,000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99,846</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99,999</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30,040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339,885</w:t>
            </w:r>
          </w:p>
        </w:tc>
      </w:tr>
    </w:tbl>
    <w:p>
      <w:pPr>
        <w:spacing w:after="0" w:line="337"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ectPr>
          <w:pgSz w:w="11900" w:h="16838" w:orient="portrait"/>
          <w:cols w:equalWidth="0" w:num="1">
            <w:col w:w="11220"/>
          </w:cols>
          <w:pgMar w:left="320" w:top="8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20</w:t>
      </w:r>
    </w:p>
    <w:p>
      <w:pPr>
        <w:sectPr>
          <w:pgSz w:w="11900" w:h="16838" w:orient="portrait"/>
          <w:cols w:equalWidth="0" w:num="1">
            <w:col w:w="11220"/>
          </w:cols>
          <w:pgMar w:left="320" w:top="841" w:right="359" w:bottom="1440" w:gutter="0" w:footer="0" w:header="0"/>
          <w:type w:val="continuous"/>
        </w:sectPr>
      </w:pPr>
    </w:p>
    <w:bookmarkStart w:id="21" w:name="page22"/>
    <w:bookmarkEnd w:id="21"/>
    <w:p>
      <w:pPr>
        <w:ind w:left="492" w:right="100" w:hanging="492"/>
        <w:spacing w:after="0" w:line="252" w:lineRule="auto"/>
        <w:tabs>
          <w:tab w:leader="none" w:pos="4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2021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(“Note 3 to the 2021 financial statements”) in TI’s annual report on Form 10-K for the year ended December 31, 2021.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pages 40-41.</w:t>
      </w:r>
    </w:p>
    <w:p>
      <w:pPr>
        <w:spacing w:after="0" w:line="97" w:lineRule="exact"/>
        <w:rPr>
          <w:rFonts w:ascii="Arial" w:cs="Arial" w:eastAsia="Arial" w:hAnsi="Arial"/>
          <w:sz w:val="18"/>
          <w:szCs w:val="18"/>
          <w:color w:val="auto"/>
        </w:rPr>
      </w:pPr>
    </w:p>
    <w:p>
      <w:pPr>
        <w:ind w:left="492" w:right="60"/>
        <w:spacing w:after="0" w:line="261" w:lineRule="auto"/>
        <w:rPr>
          <w:rFonts w:ascii="Arial" w:cs="Arial" w:eastAsia="Arial" w:hAnsi="Arial"/>
          <w:sz w:val="18"/>
          <w:szCs w:val="18"/>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2021.</w:t>
      </w:r>
    </w:p>
    <w:p>
      <w:pPr>
        <w:spacing w:after="0" w:line="239" w:lineRule="exact"/>
        <w:rPr>
          <w:sz w:val="20"/>
          <w:szCs w:val="20"/>
          <w:color w:val="auto"/>
        </w:rPr>
      </w:pPr>
    </w:p>
    <w:tbl>
      <w:tblPr>
        <w:tblLayout w:type="fixed"/>
        <w:tblInd w:w="492"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4840" w:type="dxa"/>
            <w:vAlign w:val="bottom"/>
          </w:tcPr>
          <w:p>
            <w:pPr>
              <w:jc w:val="right"/>
              <w:ind w:right="193"/>
              <w:spacing w:after="0"/>
              <w:rPr>
                <w:sz w:val="20"/>
                <w:szCs w:val="20"/>
                <w:color w:val="auto"/>
              </w:rPr>
            </w:pPr>
            <w:r>
              <w:rPr>
                <w:rFonts w:ascii="Arial" w:cs="Arial" w:eastAsia="Arial" w:hAnsi="Arial"/>
                <w:sz w:val="14"/>
                <w:szCs w:val="14"/>
                <w:b w:val="1"/>
                <w:bCs w:val="1"/>
                <w:color w:val="auto"/>
              </w:rPr>
              <w:t>Restricted Stock Units</w:t>
            </w:r>
          </w:p>
        </w:tc>
      </w:tr>
      <w:tr>
        <w:trPr>
          <w:trHeight w:val="19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8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(in Shares)</w:t>
            </w: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12,491</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3,220</w:t>
            </w:r>
          </w:p>
        </w:tc>
      </w:tr>
      <w:tr>
        <w:trPr>
          <w:trHeight w:val="27"/>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8,370</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31,516</w:t>
            </w:r>
          </w:p>
        </w:tc>
      </w:tr>
      <w:tr>
        <w:trPr>
          <w:trHeight w:val="27"/>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4,313</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3,220</w:t>
            </w:r>
          </w:p>
        </w:tc>
      </w:tr>
      <w:tr>
        <w:trPr>
          <w:trHeight w:val="27"/>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2,654</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3,220</w:t>
            </w:r>
          </w:p>
        </w:tc>
      </w:tr>
      <w:tr>
        <w:trPr>
          <w:trHeight w:val="27"/>
        </w:trPr>
        <w:tc>
          <w:tcPr>
            <w:tcW w:w="464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4840" w:type="dxa"/>
            <w:vAlign w:val="bottom"/>
            <w:tcBorders>
              <w:bottom w:val="single" w:sz="8" w:color="DBDBDB"/>
            </w:tcBorders>
            <w:shd w:val="clear" w:color="auto" w:fill="DBDBDB"/>
          </w:tcPr>
          <w:p>
            <w:pPr>
              <w:jc w:val="right"/>
              <w:ind w:right="493"/>
              <w:spacing w:after="0"/>
              <w:rPr>
                <w:sz w:val="20"/>
                <w:szCs w:val="20"/>
                <w:color w:val="auto"/>
              </w:rPr>
            </w:pPr>
            <w:r>
              <w:rPr>
                <w:rFonts w:ascii="Arial" w:cs="Arial" w:eastAsia="Arial" w:hAnsi="Arial"/>
                <w:sz w:val="18"/>
                <w:szCs w:val="18"/>
                <w:color w:val="auto"/>
              </w:rPr>
              <w:t>5,220</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4840" w:type="dxa"/>
            <w:vAlign w:val="bottom"/>
          </w:tcPr>
          <w:p>
            <w:pPr>
              <w:jc w:val="right"/>
              <w:ind w:right="493"/>
              <w:spacing w:after="0"/>
              <w:rPr>
                <w:sz w:val="20"/>
                <w:szCs w:val="20"/>
                <w:color w:val="auto"/>
              </w:rPr>
            </w:pPr>
            <w:r>
              <w:rPr>
                <w:rFonts w:ascii="Arial" w:cs="Arial" w:eastAsia="Arial" w:hAnsi="Arial"/>
                <w:sz w:val="18"/>
                <w:szCs w:val="18"/>
                <w:color w:val="auto"/>
              </w:rPr>
              <w:t>8,223</w:t>
            </w:r>
          </w:p>
        </w:tc>
      </w:tr>
    </w:tbl>
    <w:p>
      <w:pPr>
        <w:spacing w:after="0" w:line="337" w:lineRule="exact"/>
        <w:rPr>
          <w:sz w:val="20"/>
          <w:szCs w:val="20"/>
          <w:color w:val="auto"/>
        </w:rPr>
      </w:pPr>
    </w:p>
    <w:p>
      <w:pPr>
        <w:ind w:left="492" w:hanging="492"/>
        <w:spacing w:after="0" w:line="254" w:lineRule="auto"/>
        <w:tabs>
          <w:tab w:leader="none" w:pos="4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2021 calculated in accordance with ASC 718. The discussion of the assumptions used for purposes of calculating the grant date fair value appears in Note 3 to the 2021 financial statements. The terms of these options are as set forth on page 40. The table below shows the aggregate number of shares underlying outstanding stock options held by the named individuals as of December 31, 2021.</w:t>
      </w:r>
    </w:p>
    <w:p>
      <w:pPr>
        <w:spacing w:after="0" w:line="245" w:lineRule="exact"/>
        <w:rPr>
          <w:sz w:val="20"/>
          <w:szCs w:val="20"/>
          <w:color w:val="auto"/>
        </w:rPr>
      </w:pPr>
    </w:p>
    <w:tbl>
      <w:tblPr>
        <w:tblLayout w:type="fixed"/>
        <w:tblInd w:w="492" w:type="dxa"/>
        <w:tblCellMar>
          <w:top w:w="0" w:type="dxa"/>
          <w:left w:w="0" w:type="dxa"/>
          <w:bottom w:w="0" w:type="dxa"/>
          <w:right w:w="0" w:type="dxa"/>
        </w:tblCellMar>
      </w:tblP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Options (in Shares)</w:t>
            </w:r>
          </w:p>
        </w:tc>
      </w:tr>
      <w:tr>
        <w:trPr>
          <w:trHeight w:val="249"/>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478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8,734</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4780" w:type="dxa"/>
            <w:vAlign w:val="bottom"/>
          </w:tcPr>
          <w:p>
            <w:pPr>
              <w:jc w:val="right"/>
              <w:ind w:right="492"/>
              <w:spacing w:after="0"/>
              <w:rPr>
                <w:sz w:val="20"/>
                <w:szCs w:val="20"/>
                <w:color w:val="auto"/>
              </w:rPr>
            </w:pPr>
            <w:r>
              <w:rPr>
                <w:rFonts w:ascii="Arial" w:cs="Arial" w:eastAsia="Arial" w:hAnsi="Arial"/>
                <w:sz w:val="18"/>
                <w:szCs w:val="18"/>
                <w:color w:val="auto"/>
              </w:rPr>
              <w:t>15,206</w:t>
            </w:r>
          </w:p>
        </w:tc>
      </w:tr>
      <w:tr>
        <w:trPr>
          <w:trHeight w:val="27"/>
        </w:trPr>
        <w:tc>
          <w:tcPr>
            <w:tcW w:w="47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478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31,261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4780" w:type="dxa"/>
            <w:vAlign w:val="bottom"/>
          </w:tcPr>
          <w:p>
            <w:pPr>
              <w:jc w:val="right"/>
              <w:ind w:right="492"/>
              <w:spacing w:after="0"/>
              <w:rPr>
                <w:sz w:val="20"/>
                <w:szCs w:val="20"/>
                <w:color w:val="auto"/>
              </w:rPr>
            </w:pPr>
            <w:r>
              <w:rPr>
                <w:rFonts w:ascii="Arial" w:cs="Arial" w:eastAsia="Arial" w:hAnsi="Arial"/>
                <w:sz w:val="18"/>
                <w:szCs w:val="18"/>
                <w:color w:val="auto"/>
              </w:rPr>
              <w:t>31,261</w:t>
            </w:r>
          </w:p>
        </w:tc>
      </w:tr>
      <w:tr>
        <w:trPr>
          <w:trHeight w:val="27"/>
        </w:trPr>
        <w:tc>
          <w:tcPr>
            <w:tcW w:w="47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478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10,900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4780" w:type="dxa"/>
            <w:vAlign w:val="bottom"/>
          </w:tcPr>
          <w:p>
            <w:pPr>
              <w:jc w:val="right"/>
              <w:ind w:right="492"/>
              <w:spacing w:after="0"/>
              <w:rPr>
                <w:sz w:val="20"/>
                <w:szCs w:val="20"/>
                <w:color w:val="auto"/>
              </w:rPr>
            </w:pPr>
            <w:r>
              <w:rPr>
                <w:rFonts w:ascii="Arial" w:cs="Arial" w:eastAsia="Arial" w:hAnsi="Arial"/>
                <w:sz w:val="18"/>
                <w:szCs w:val="18"/>
                <w:color w:val="auto"/>
              </w:rPr>
              <w:t>21,271</w:t>
            </w:r>
          </w:p>
        </w:tc>
      </w:tr>
      <w:tr>
        <w:trPr>
          <w:trHeight w:val="27"/>
        </w:trPr>
        <w:tc>
          <w:tcPr>
            <w:tcW w:w="47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478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2,457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4780" w:type="dxa"/>
            <w:vAlign w:val="bottom"/>
          </w:tcPr>
          <w:p>
            <w:pPr>
              <w:jc w:val="right"/>
              <w:ind w:right="492"/>
              <w:spacing w:after="0"/>
              <w:rPr>
                <w:sz w:val="20"/>
                <w:szCs w:val="20"/>
                <w:color w:val="auto"/>
              </w:rPr>
            </w:pPr>
            <w:r>
              <w:rPr>
                <w:rFonts w:ascii="Arial" w:cs="Arial" w:eastAsia="Arial" w:hAnsi="Arial"/>
                <w:sz w:val="18"/>
                <w:szCs w:val="18"/>
                <w:color w:val="auto"/>
              </w:rPr>
              <w:t>54,099</w:t>
            </w:r>
          </w:p>
        </w:tc>
      </w:tr>
      <w:tr>
        <w:trPr>
          <w:trHeight w:val="27"/>
        </w:trPr>
        <w:tc>
          <w:tcPr>
            <w:tcW w:w="47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4780" w:type="dxa"/>
            <w:vAlign w:val="bottom"/>
            <w:tcBorders>
              <w:bottom w:val="single" w:sz="8" w:color="DBDBDB"/>
            </w:tcBorders>
            <w:shd w:val="clear" w:color="auto" w:fill="DBDBDB"/>
          </w:tcPr>
          <w:p>
            <w:pPr>
              <w:jc w:val="right"/>
              <w:ind w:right="492"/>
              <w:spacing w:after="0"/>
              <w:rPr>
                <w:sz w:val="20"/>
                <w:szCs w:val="20"/>
                <w:color w:val="auto"/>
              </w:rPr>
            </w:pPr>
            <w:r>
              <w:rPr>
                <w:rFonts w:ascii="Arial" w:cs="Arial" w:eastAsia="Arial" w:hAnsi="Arial"/>
                <w:sz w:val="18"/>
                <w:szCs w:val="18"/>
                <w:color w:val="auto"/>
              </w:rPr>
              <w:t>54,099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4780" w:type="dxa"/>
            <w:vAlign w:val="bottom"/>
          </w:tcPr>
          <w:p>
            <w:pPr>
              <w:jc w:val="right"/>
              <w:ind w:right="492"/>
              <w:spacing w:after="0"/>
              <w:rPr>
                <w:sz w:val="20"/>
                <w:szCs w:val="20"/>
                <w:color w:val="auto"/>
              </w:rPr>
            </w:pPr>
            <w:r>
              <w:rPr>
                <w:rFonts w:ascii="Arial" w:cs="Arial" w:eastAsia="Arial" w:hAnsi="Arial"/>
                <w:sz w:val="18"/>
                <w:szCs w:val="18"/>
                <w:color w:val="auto"/>
              </w:rPr>
              <w:t>54,099</w:t>
            </w:r>
          </w:p>
        </w:tc>
      </w:tr>
    </w:tbl>
    <w:p>
      <w:pPr>
        <w:spacing w:after="0" w:line="323" w:lineRule="exact"/>
        <w:rPr>
          <w:sz w:val="20"/>
          <w:szCs w:val="20"/>
          <w:color w:val="auto"/>
        </w:rPr>
      </w:pPr>
    </w:p>
    <w:p>
      <w:pPr>
        <w:ind w:left="492" w:hanging="492"/>
        <w:spacing w:after="0" w:line="253" w:lineRule="auto"/>
        <w:tabs>
          <w:tab w:leader="none" w:pos="4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of the applicable federal long-term interest rate with compounding. Under the terms of the Director Plan, deferred compensation cash amounts earn interest at a rate based on Moody’s Seasoned Aaa Corporate Bonds. For 2021, this interest rate exceeded the Federal Rate by 1.12 percentage points. Shown is the amount of interest earned on the directors’ deferred compensation accounts that was in excess of the Federal Rate.</w:t>
      </w:r>
    </w:p>
    <w:p>
      <w:pPr>
        <w:spacing w:after="0" w:line="97" w:lineRule="exact"/>
        <w:rPr>
          <w:rFonts w:ascii="Arial" w:cs="Arial" w:eastAsia="Arial" w:hAnsi="Arial"/>
          <w:sz w:val="18"/>
          <w:szCs w:val="18"/>
          <w:color w:val="auto"/>
        </w:rPr>
      </w:pPr>
    </w:p>
    <w:p>
      <w:pPr>
        <w:ind w:left="492" w:right="20" w:hanging="492"/>
        <w:spacing w:after="0" w:line="256" w:lineRule="auto"/>
        <w:tabs>
          <w:tab w:leader="none" w:pos="4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and (b) contributions under the TI Foundation matching gift program of $7,500 for Mr. Blinn, $30,000 for Ms. Clark, $30,000 for Ms. Cox, $25,000 for Mr. Craighead, $22,250 for Mr. Kirk, $30,000 for Ms. Patsley, and $30,000 for Mr. Sanchez.</w:t>
      </w:r>
    </w:p>
    <w:p>
      <w:pPr>
        <w:sectPr>
          <w:pgSz w:w="11900" w:h="16838" w:orient="portrait"/>
          <w:cols w:equalWidth="0" w:num="1">
            <w:col w:w="11192"/>
          </w:cols>
          <w:pgMar w:left="328" w:top="7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2022 PROXY STATEMENT • PAGE 21</w:t>
      </w:r>
    </w:p>
    <w:p>
      <w:pPr>
        <w:sectPr>
          <w:pgSz w:w="11900" w:h="16838" w:orient="portrait"/>
          <w:cols w:equalWidth="0" w:num="1">
            <w:col w:w="11192"/>
          </w:cols>
          <w:pgMar w:left="328" w:top="787" w:right="3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Executive compensation</w:t>
      </w:r>
    </w:p>
    <w:p>
      <w:pPr>
        <w:spacing w:after="0" w:line="2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4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“named executive officers” are the chief executive officer, the chief financial officer and the three other most highly compensated executive officers, as named in the compensation tables on pages 36-50.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ask shareholders to approve the following resolution:</w:t>
      </w:r>
    </w:p>
    <w:p>
      <w:pPr>
        <w:spacing w:after="0" w:line="225"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22-50 of this proxy statement, is hereby approved.</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2021. We believe that the policies and programs serve the interests of our shareholders and that the compensation received by the named executive officers is commensurate with the performance and strategic position of the company.</w:t>
      </w:r>
    </w:p>
    <w:p>
      <w:pPr>
        <w:spacing w:after="0" w:line="20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7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2021, as disclosed in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elements of the 2021 compensation program, why we selected them and how they relate to one another;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2021.</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and compliance. Details of compensation for our CEO, our CFO and the three other highest paid individuals who were executive officers in 2021 (collectively called the “named executive officers”) can be found in the tables following the Compensation Committee report.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Executive summary</w:t>
      </w:r>
    </w:p>
    <w:p>
      <w:pPr>
        <w:spacing w:after="0" w:line="196" w:lineRule="exact"/>
        <w:rPr>
          <w:sz w:val="20"/>
          <w:szCs w:val="20"/>
          <w:color w:val="auto"/>
        </w:rPr>
      </w:pPr>
    </w:p>
    <w:p>
      <w:pPr>
        <w:ind w:left="660" w:right="160" w:hanging="328"/>
        <w:spacing w:after="0" w:line="259" w:lineRule="auto"/>
        <w:tabs>
          <w:tab w:leader="none" w:pos="65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17" w:lineRule="exact"/>
        <w:rPr>
          <w:rFonts w:ascii="Arial" w:cs="Arial" w:eastAsia="Arial" w:hAnsi="Arial"/>
          <w:sz w:val="18"/>
          <w:szCs w:val="18"/>
          <w:b w:val="1"/>
          <w:bCs w:val="1"/>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2021 compensation decisions for the CEO:</w:t>
      </w:r>
    </w:p>
    <w:p>
      <w:pPr>
        <w:spacing w:after="0" w:line="85" w:lineRule="exact"/>
        <w:rPr>
          <w:rFonts w:ascii="Arial" w:cs="Arial" w:eastAsia="Arial" w:hAnsi="Arial"/>
          <w:sz w:val="18"/>
          <w:szCs w:val="18"/>
          <w:b w:val="1"/>
          <w:bCs w:val="1"/>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Base salary was increased by 3.0% over 2020.</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grant date fair value of equity compensation awarded in 2021 was unchanged from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2022 PROXY STATEMENT • PAGE 22</w:t>
      </w:r>
    </w:p>
    <w:p>
      <w:pPr>
        <w:sectPr>
          <w:pgSz w:w="11900" w:h="16838" w:orient="portrait"/>
          <w:cols w:equalWidth="0" w:num="1">
            <w:col w:w="11180"/>
          </w:cols>
          <w:pgMar w:left="320" w:top="1201" w:right="399" w:bottom="1440" w:gutter="0" w:footer="0" w:header="0"/>
        </w:sectPr>
      </w:pPr>
    </w:p>
    <w:bookmarkStart w:id="23" w:name="page24"/>
    <w:bookmarkEnd w:id="23"/>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bonus decision was based primarily on the following performance results in 2021:</w:t>
      </w:r>
    </w:p>
    <w:p>
      <w:pPr>
        <w:spacing w:after="0" w:line="233"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1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1980" w:type="dxa"/>
            <w:vAlign w:val="bottom"/>
            <w:tcBorders>
              <w:top w:val="single" w:sz="8" w:color="auto"/>
              <w:bottom w:val="single" w:sz="8" w:color="auto"/>
            </w:tcBorders>
            <w:gridSpan w:val="2"/>
            <w:shd w:val="clear" w:color="auto" w:fill="E5E5E5"/>
          </w:tcPr>
          <w:p>
            <w:pPr>
              <w:jc w:val="center"/>
              <w:spacing w:after="0"/>
              <w:rPr>
                <w:sz w:val="20"/>
                <w:szCs w:val="20"/>
                <w:color w:val="auto"/>
              </w:rPr>
            </w:pPr>
            <w:r>
              <w:rPr>
                <w:rFonts w:ascii="Arial" w:cs="Arial" w:eastAsia="Arial" w:hAnsi="Arial"/>
                <w:sz w:val="14"/>
                <w:szCs w:val="14"/>
                <w:b w:val="1"/>
                <w:bCs w:val="1"/>
                <w:color w:val="auto"/>
              </w:rPr>
              <w:t>2021 Absolute Performance</w:t>
            </w:r>
          </w:p>
        </w:tc>
        <w:tc>
          <w:tcPr>
            <w:tcW w:w="420" w:type="dxa"/>
            <w:vAlign w:val="bottom"/>
            <w:tcBorders>
              <w:top w:val="single" w:sz="8" w:color="auto"/>
              <w:bottom w:val="single" w:sz="8" w:color="auto"/>
              <w:right w:val="single" w:sz="8" w:color="auto"/>
            </w:tcBorders>
            <w:shd w:val="clear" w:color="auto" w:fill="E5E5E5"/>
          </w:tcPr>
          <w:p>
            <w:pPr>
              <w:spacing w:after="0"/>
              <w:rPr>
                <w:sz w:val="19"/>
                <w:szCs w:val="19"/>
                <w:color w:val="auto"/>
              </w:rPr>
            </w:pPr>
          </w:p>
        </w:tc>
        <w:tc>
          <w:tcPr>
            <w:tcW w:w="2380" w:type="dxa"/>
            <w:vAlign w:val="bottom"/>
            <w:tcBorders>
              <w:top w:val="single" w:sz="8" w:color="auto"/>
              <w:bottom w:val="single" w:sz="8" w:color="auto"/>
              <w:right w:val="single" w:sz="8" w:color="auto"/>
            </w:tcBorders>
            <w:gridSpan w:val="2"/>
            <w:shd w:val="clear" w:color="auto" w:fill="E5E5E5"/>
          </w:tcPr>
          <w:p>
            <w:pPr>
              <w:jc w:val="center"/>
              <w:ind w:right="340"/>
              <w:spacing w:after="0"/>
              <w:rPr>
                <w:sz w:val="20"/>
                <w:szCs w:val="20"/>
                <w:color w:val="auto"/>
              </w:rPr>
            </w:pPr>
            <w:r>
              <w:rPr>
                <w:rFonts w:ascii="Arial" w:cs="Arial" w:eastAsia="Arial" w:hAnsi="Arial"/>
                <w:sz w:val="14"/>
                <w:szCs w:val="14"/>
                <w:b w:val="1"/>
                <w:bCs w:val="1"/>
                <w:color w:val="auto"/>
              </w:rPr>
              <w:t>2021 Relative Performance *</w:t>
            </w:r>
          </w:p>
        </w:tc>
      </w:tr>
      <w:tr>
        <w:trPr>
          <w:trHeight w:val="243"/>
        </w:trPr>
        <w:tc>
          <w:tcPr>
            <w:tcW w:w="180" w:type="dxa"/>
            <w:vAlign w:val="bottom"/>
          </w:tcPr>
          <w:p>
            <w:pPr>
              <w:spacing w:after="0"/>
              <w:rPr>
                <w:sz w:val="21"/>
                <w:szCs w:val="21"/>
                <w:color w:val="auto"/>
              </w:rPr>
            </w:pPr>
          </w:p>
        </w:tc>
        <w:tc>
          <w:tcPr>
            <w:tcW w:w="4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Revenue growth: Total TI</w:t>
            </w: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7"/>
              </w:rPr>
              <w:t>26.9%</w:t>
            </w:r>
          </w:p>
        </w:tc>
        <w:tc>
          <w:tcPr>
            <w:tcW w:w="42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Below median</w:t>
            </w:r>
          </w:p>
        </w:tc>
      </w:tr>
      <w:tr>
        <w:trPr>
          <w:trHeight w:val="27"/>
        </w:trPr>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Profit from Operations as a % of Revenue (PFO%)</w:t>
            </w: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7"/>
              </w:rPr>
              <w:t>48.8%</w:t>
            </w:r>
          </w:p>
        </w:tc>
        <w:tc>
          <w:tcPr>
            <w:tcW w:w="4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rPr>
              <w:t>Above median</w:t>
            </w:r>
          </w:p>
        </w:tc>
      </w:tr>
      <w:tr>
        <w:trPr>
          <w:trHeight w:val="27"/>
        </w:trPr>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Total Shareholder Return (TSR)</w:t>
            </w: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7"/>
              </w:rPr>
              <w:t>17.5%</w:t>
            </w:r>
          </w:p>
        </w:tc>
        <w:tc>
          <w:tcPr>
            <w:tcW w:w="4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Below median</w:t>
            </w:r>
          </w:p>
        </w:tc>
      </w:tr>
      <w:tr>
        <w:trPr>
          <w:trHeight w:val="27"/>
        </w:trPr>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331"/>
        </w:trPr>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70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1480" w:type="dxa"/>
            <w:vAlign w:val="bottom"/>
          </w:tcPr>
          <w:p>
            <w:pPr>
              <w:spacing w:after="0"/>
              <w:rPr>
                <w:sz w:val="24"/>
                <w:szCs w:val="24"/>
                <w:color w:val="auto"/>
              </w:rPr>
            </w:pPr>
          </w:p>
        </w:tc>
      </w:tr>
      <w:tr>
        <w:trPr>
          <w:trHeight w:val="236"/>
        </w:trPr>
        <w:tc>
          <w:tcPr>
            <w:tcW w:w="18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gridSpan w:val="2"/>
            <w:shd w:val="clear" w:color="auto" w:fill="E5E5E5"/>
          </w:tcPr>
          <w:p>
            <w:pPr>
              <w:jc w:val="center"/>
              <w:ind w:left="770"/>
              <w:spacing w:after="0"/>
              <w:rPr>
                <w:sz w:val="20"/>
                <w:szCs w:val="20"/>
                <w:color w:val="auto"/>
              </w:rPr>
            </w:pPr>
            <w:r>
              <w:rPr>
                <w:rFonts w:ascii="Arial" w:cs="Arial" w:eastAsia="Arial" w:hAnsi="Arial"/>
                <w:sz w:val="18"/>
                <w:szCs w:val="18"/>
                <w:color w:val="auto"/>
                <w:w w:val="98"/>
              </w:rPr>
              <w:t>Year-on-Year Change in CEO Bonus</w:t>
            </w:r>
          </w:p>
        </w:tc>
        <w:tc>
          <w:tcPr>
            <w:tcW w:w="720" w:type="dxa"/>
            <w:vAlign w:val="bottom"/>
          </w:tcPr>
          <w:p>
            <w:pPr>
              <w:spacing w:after="0"/>
              <w:rPr>
                <w:sz w:val="20"/>
                <w:szCs w:val="20"/>
                <w:color w:val="auto"/>
              </w:rPr>
            </w:pPr>
          </w:p>
        </w:tc>
        <w:tc>
          <w:tcPr>
            <w:tcW w:w="1320" w:type="dxa"/>
            <w:vAlign w:val="bottom"/>
            <w:tcBorders>
              <w:right w:val="single" w:sz="8" w:color="auto"/>
            </w:tcBorders>
            <w:gridSpan w:val="2"/>
          </w:tcPr>
          <w:p>
            <w:pPr>
              <w:jc w:val="right"/>
              <w:ind w:right="115"/>
              <w:spacing w:after="0"/>
              <w:rPr>
                <w:sz w:val="20"/>
                <w:szCs w:val="20"/>
                <w:color w:val="auto"/>
              </w:rPr>
            </w:pPr>
            <w:r>
              <w:rPr>
                <w:rFonts w:ascii="Arial" w:cs="Arial" w:eastAsia="Arial" w:hAnsi="Arial"/>
                <w:sz w:val="18"/>
                <w:szCs w:val="18"/>
                <w:color w:val="auto"/>
              </w:rPr>
              <w:t>10%</w:t>
            </w:r>
          </w:p>
        </w:tc>
        <w:tc>
          <w:tcPr>
            <w:tcW w:w="1480" w:type="dxa"/>
            <w:vAlign w:val="bottom"/>
          </w:tcPr>
          <w:p>
            <w:pPr>
              <w:spacing w:after="0"/>
              <w:rPr>
                <w:sz w:val="20"/>
                <w:szCs w:val="20"/>
                <w:color w:val="auto"/>
              </w:rPr>
            </w:pPr>
          </w:p>
        </w:tc>
      </w:tr>
      <w:tr>
        <w:trPr>
          <w:trHeight w:val="224"/>
        </w:trPr>
        <w:tc>
          <w:tcPr>
            <w:tcW w:w="18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4700" w:type="dxa"/>
            <w:vAlign w:val="bottom"/>
            <w:tcBorders>
              <w:bottom w:val="single" w:sz="8" w:color="E5E5E5"/>
              <w:right w:val="single" w:sz="8" w:color="auto"/>
            </w:tcBorders>
            <w:gridSpan w:val="2"/>
            <w:shd w:val="clear" w:color="auto" w:fill="E5E5E5"/>
          </w:tcPr>
          <w:p>
            <w:pPr>
              <w:jc w:val="center"/>
              <w:ind w:left="770"/>
              <w:spacing w:after="0"/>
              <w:rPr>
                <w:sz w:val="20"/>
                <w:szCs w:val="20"/>
                <w:color w:val="auto"/>
              </w:rPr>
            </w:pPr>
            <w:r>
              <w:rPr>
                <w:rFonts w:ascii="Arial" w:cs="Arial" w:eastAsia="Arial" w:hAnsi="Arial"/>
                <w:sz w:val="18"/>
                <w:szCs w:val="18"/>
                <w:color w:val="auto"/>
                <w:w w:val="99"/>
              </w:rPr>
              <w:t>(2021 bonus compared with 2020)</w:t>
            </w:r>
          </w:p>
        </w:tc>
        <w:tc>
          <w:tcPr>
            <w:tcW w:w="7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655"/>
              <w:spacing w:after="0"/>
              <w:rPr>
                <w:sz w:val="20"/>
                <w:szCs w:val="20"/>
                <w:color w:val="auto"/>
              </w:rPr>
            </w:pPr>
            <w:r>
              <w:rPr>
                <w:rFonts w:ascii="Arial" w:cs="Arial" w:eastAsia="Arial" w:hAnsi="Arial"/>
                <w:sz w:val="18"/>
                <w:szCs w:val="18"/>
                <w:color w:val="auto"/>
                <w:w w:val="94"/>
              </w:rPr>
              <w:t>change</w:t>
            </w:r>
          </w:p>
        </w:tc>
        <w:tc>
          <w:tcPr>
            <w:tcW w:w="14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34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-1088390</wp:posOffset>
            </wp:positionV>
            <wp:extent cx="30175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17520" cy="548640"/>
                    </a:xfrm>
                    <a:prstGeom prst="rect">
                      <a:avLst/>
                    </a:prstGeom>
                    <a:noFill/>
                  </pic:spPr>
                </pic:pic>
              </a:graphicData>
            </a:graphic>
          </wp:anchor>
        </w:drawing>
      </w:r>
    </w:p>
    <w:p>
      <w:pPr>
        <w:spacing w:after="0" w:line="276" w:lineRule="exact"/>
        <w:rPr>
          <w:sz w:val="20"/>
          <w:szCs w:val="20"/>
          <w:color w:val="auto"/>
        </w:rPr>
      </w:pPr>
    </w:p>
    <w:p>
      <w:pPr>
        <w:ind w:left="980" w:right="60" w:hanging="324"/>
        <w:spacing w:after="0" w:line="254" w:lineRule="auto"/>
        <w:tabs>
          <w:tab w:leader="none" w:pos="969"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under “Comparator group;” includes estimates and projections of certain competitors’ financial results. See “Analysis of compensation determinations – Bonus – Assessment of 2021 performance” for details of the Compensation Committee’s assessment of TI’s performance. (It is important to note that the median growth rate of competitor companies includes the benefit of acquisitions, whereas TI’s growth rate is entirely organic.)</w:t>
      </w:r>
    </w:p>
    <w:p>
      <w:pPr>
        <w:spacing w:after="0" w:line="20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spacing w:after="0" w:line="39" w:lineRule="exact"/>
        <w:rPr>
          <w:rFonts w:ascii="Arial" w:cs="Arial" w:eastAsia="Arial" w:hAnsi="Arial"/>
          <w:sz w:val="18"/>
          <w:szCs w:val="18"/>
          <w:color w:val="auto"/>
        </w:rPr>
      </w:pPr>
    </w:p>
    <w:p>
      <w:pPr>
        <w:ind w:left="980" w:right="380" w:hanging="324"/>
        <w:spacing w:after="0" w:line="261" w:lineRule="auto"/>
        <w:rPr>
          <w:rFonts w:ascii="Arial" w:cs="Arial" w:eastAsia="Arial" w:hAnsi="Arial"/>
          <w:sz w:val="18"/>
          <w:szCs w:val="18"/>
          <w:color w:val="auto"/>
        </w:rPr>
      </w:pPr>
      <w:r>
        <w:rPr>
          <w:rFonts w:ascii="Arial" w:cs="Arial" w:eastAsia="Arial" w:hAnsi="Arial"/>
          <w:sz w:val="18"/>
          <w:szCs w:val="18"/>
          <w:color w:val="auto"/>
        </w:rPr>
        <w:t>◦ Executive officers do not have employment contracts and are not guaranteed salary increases, bonus amounts or awards of equity compensation.</w:t>
      </w:r>
    </w:p>
    <w:p>
      <w:pPr>
        <w:spacing w:after="0" w:line="35" w:lineRule="exact"/>
        <w:rPr>
          <w:rFonts w:ascii="Arial" w:cs="Arial" w:eastAsia="Arial" w:hAnsi="Arial"/>
          <w:sz w:val="18"/>
          <w:szCs w:val="18"/>
          <w:color w:val="auto"/>
        </w:rPr>
      </w:pPr>
    </w:p>
    <w:p>
      <w:pPr>
        <w:ind w:left="980" w:right="380" w:hanging="324"/>
        <w:spacing w:after="0" w:line="256" w:lineRule="auto"/>
        <w:rPr>
          <w:rFonts w:ascii="Arial" w:cs="Arial" w:eastAsia="Arial" w:hAnsi="Arial"/>
          <w:sz w:val="18"/>
          <w:szCs w:val="18"/>
          <w:color w:val="auto"/>
        </w:rPr>
      </w:pPr>
      <w:r>
        <w:rPr>
          <w:rFonts w:ascii="Arial" w:cs="Arial" w:eastAsia="Arial" w:hAnsi="Arial"/>
          <w:sz w:val="18"/>
          <w:szCs w:val="18"/>
          <w:color w:val="auto"/>
        </w:rPr>
        <w:t>◦ 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39" w:lineRule="exact"/>
        <w:rPr>
          <w:rFonts w:ascii="Arial" w:cs="Arial" w:eastAsia="Arial" w:hAnsi="Arial"/>
          <w:sz w:val="18"/>
          <w:szCs w:val="18"/>
          <w:color w:val="auto"/>
        </w:rPr>
      </w:pPr>
    </w:p>
    <w:p>
      <w:pPr>
        <w:ind w:left="660" w:right="1220"/>
        <w:spacing w:after="0" w:line="313" w:lineRule="auto"/>
        <w:rPr>
          <w:rFonts w:ascii="Arial" w:cs="Arial" w:eastAsia="Arial" w:hAnsi="Arial"/>
          <w:sz w:val="18"/>
          <w:szCs w:val="18"/>
          <w:color w:val="auto"/>
        </w:rPr>
      </w:pPr>
      <w:r>
        <w:rPr>
          <w:rFonts w:ascii="Arial" w:cs="Arial" w:eastAsia="Arial" w:hAnsi="Arial"/>
          <w:sz w:val="18"/>
          <w:szCs w:val="18"/>
          <w:color w:val="auto"/>
        </w:rPr>
        <w:t>◦ Bonus and equity compensation awards are subject to claw back as described under “Recoupment policy” below. ◦ We do not provide excessive perquisites. We provide no tax gross-ups for perquisites.</w:t>
      </w:r>
    </w:p>
    <w:p>
      <w:pPr>
        <w:ind w:left="660"/>
        <w:spacing w:after="0"/>
        <w:rPr>
          <w:rFonts w:ascii="Arial" w:cs="Arial" w:eastAsia="Arial" w:hAnsi="Arial"/>
          <w:sz w:val="18"/>
          <w:szCs w:val="18"/>
          <w:color w:val="auto"/>
        </w:rPr>
      </w:pPr>
      <w:r>
        <w:rPr>
          <w:rFonts w:ascii="Arial" w:cs="Arial" w:eastAsia="Arial" w:hAnsi="Arial"/>
          <w:sz w:val="18"/>
          <w:szCs w:val="18"/>
          <w:color w:val="auto"/>
        </w:rPr>
        <w:t>◦   We do not guarantee a return or provide above-market returns on compensation that has been deferred.</w:t>
      </w:r>
    </w:p>
    <w:p>
      <w:pPr>
        <w:spacing w:after="0" w:line="63" w:lineRule="exact"/>
        <w:rPr>
          <w:rFonts w:ascii="Arial" w:cs="Arial" w:eastAsia="Arial" w:hAnsi="Arial"/>
          <w:sz w:val="18"/>
          <w:szCs w:val="18"/>
          <w:color w:val="auto"/>
        </w:rPr>
      </w:pPr>
    </w:p>
    <w:p>
      <w:pPr>
        <w:ind w:left="980" w:right="180" w:hanging="324"/>
        <w:spacing w:after="0" w:line="261" w:lineRule="auto"/>
        <w:rPr>
          <w:rFonts w:ascii="Arial" w:cs="Arial" w:eastAsia="Arial" w:hAnsi="Arial"/>
          <w:sz w:val="18"/>
          <w:szCs w:val="18"/>
          <w:color w:val="auto"/>
        </w:rPr>
      </w:pPr>
      <w:r>
        <w:rPr>
          <w:rFonts w:ascii="Arial" w:cs="Arial" w:eastAsia="Arial" w:hAnsi="Arial"/>
          <w:sz w:val="18"/>
          <w:szCs w:val="18"/>
          <w:color w:val="auto"/>
        </w:rPr>
        <w:t>◦ Pension benefits are calculated on salary and bonus only; the proceeds earned on equity or other performance awards are not part of the pension calculation.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Detailed discussion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philosophy and elements</w:t>
      </w:r>
    </w:p>
    <w:p>
      <w:pPr>
        <w:spacing w:after="0" w:line="2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years, we have run our business and invested in our people and communities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20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2022 PROXY STATEMENT • PAGE 23</w:t>
      </w:r>
    </w:p>
    <w:p>
      <w:pPr>
        <w:sectPr>
          <w:pgSz w:w="11900" w:h="16838" w:orient="portrait"/>
          <w:cols w:equalWidth="0" w:num="1">
            <w:col w:w="11200"/>
          </w:cols>
          <w:pgMar w:left="320" w:top="841" w:right="379" w:bottom="1440" w:gutter="0" w:footer="0" w:header="0"/>
        </w:sectPr>
      </w:pPr>
    </w:p>
    <w:bookmarkStart w:id="24" w:name="page25"/>
    <w:bookmarkEnd w:id="24"/>
    <w:p>
      <w:pPr>
        <w:ind w:right="120"/>
        <w:spacing w:after="0" w:line="252" w:lineRule="auto"/>
        <w:rPr>
          <w:sz w:val="20"/>
          <w:szCs w:val="20"/>
          <w:color w:val="auto"/>
        </w:rPr>
      </w:pPr>
      <w:r>
        <w:rPr>
          <w:rFonts w:ascii="Arial" w:cs="Arial" w:eastAsia="Arial" w:hAnsi="Arial"/>
          <w:sz w:val="18"/>
          <w:szCs w:val="18"/>
          <w:color w:val="auto"/>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20" w:type="dxa"/>
            <w:vAlign w:val="bottom"/>
          </w:tcPr>
          <w:p>
            <w:pPr>
              <w:ind w:left="20"/>
              <w:spacing w:after="0"/>
              <w:rPr>
                <w:sz w:val="20"/>
                <w:szCs w:val="20"/>
                <w:color w:val="auto"/>
              </w:rPr>
            </w:pPr>
            <w:r>
              <w:rPr>
                <w:rFonts w:ascii="Arial" w:cs="Arial" w:eastAsia="Arial" w:hAnsi="Arial"/>
                <w:sz w:val="18"/>
                <w:szCs w:val="18"/>
                <w:color w:val="auto"/>
              </w:rPr>
              <w:t>Purpose</w:t>
            </w:r>
          </w:p>
        </w:tc>
        <w:tc>
          <w:tcPr>
            <w:tcW w:w="10100" w:type="dxa"/>
            <w:vAlign w:val="bottom"/>
          </w:tcPr>
          <w:p>
            <w:pPr>
              <w:ind w:left="14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431"/>
        </w:trPr>
        <w:tc>
          <w:tcPr>
            <w:tcW w:w="112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100" w:type="dxa"/>
            <w:vAlign w:val="bottom"/>
          </w:tcPr>
          <w:p>
            <w:pPr>
              <w:ind w:left="14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17"/>
        </w:trPr>
        <w:tc>
          <w:tcPr>
            <w:tcW w:w="1120" w:type="dxa"/>
            <w:vAlign w:val="bottom"/>
          </w:tcPr>
          <w:p>
            <w:pPr>
              <w:spacing w:after="0"/>
              <w:rPr>
                <w:sz w:val="18"/>
                <w:szCs w:val="18"/>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qualified executives.</w:t>
            </w:r>
          </w:p>
        </w:tc>
      </w:tr>
      <w:tr>
        <w:trPr>
          <w:trHeight w:val="432"/>
        </w:trPr>
        <w:tc>
          <w:tcPr>
            <w:tcW w:w="1120" w:type="dxa"/>
            <w:vAlign w:val="bottom"/>
          </w:tcPr>
          <w:p>
            <w:pPr>
              <w:ind w:left="20"/>
              <w:spacing w:after="0"/>
              <w:rPr>
                <w:sz w:val="20"/>
                <w:szCs w:val="20"/>
                <w:color w:val="auto"/>
              </w:rPr>
            </w:pPr>
            <w:r>
              <w:rPr>
                <w:rFonts w:ascii="Arial" w:cs="Arial" w:eastAsia="Arial" w:hAnsi="Arial"/>
                <w:sz w:val="18"/>
                <w:szCs w:val="18"/>
                <w:color w:val="auto"/>
              </w:rPr>
              <w:t>Terms</w:t>
            </w:r>
          </w:p>
        </w:tc>
        <w:tc>
          <w:tcPr>
            <w:tcW w:w="10100" w:type="dxa"/>
            <w:vAlign w:val="bottom"/>
          </w:tcPr>
          <w:p>
            <w:pPr>
              <w:ind w:left="140"/>
              <w:spacing w:after="0"/>
              <w:rPr>
                <w:sz w:val="20"/>
                <w:szCs w:val="20"/>
                <w:color w:val="auto"/>
              </w:rPr>
            </w:pPr>
            <w:r>
              <w:rPr>
                <w:rFonts w:ascii="Arial" w:cs="Arial" w:eastAsia="Arial" w:hAnsi="Arial"/>
                <w:sz w:val="18"/>
                <w:szCs w:val="18"/>
                <w:color w:val="auto"/>
              </w:rPr>
              <w:t>Paid twice monthly.</w:t>
            </w:r>
          </w:p>
        </w:tc>
      </w:tr>
      <w:tr>
        <w:trPr>
          <w:trHeight w:val="669"/>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Profit Sharing</w:t>
            </w:r>
          </w:p>
        </w:tc>
        <w:tc>
          <w:tcPr>
            <w:tcW w:w="10100" w:type="dxa"/>
            <w:vAlign w:val="bottom"/>
            <w:tcBorders>
              <w:bottom w:val="single" w:sz="8" w:color="auto"/>
            </w:tcBorders>
          </w:tcPr>
          <w:p>
            <w:pPr>
              <w:spacing w:after="0"/>
              <w:rPr>
                <w:sz w:val="24"/>
                <w:szCs w:val="24"/>
                <w:color w:val="auto"/>
              </w:rPr>
            </w:pPr>
          </w:p>
        </w:tc>
      </w:tr>
      <w:tr>
        <w:trPr>
          <w:trHeight w:val="242"/>
        </w:trPr>
        <w:tc>
          <w:tcPr>
            <w:tcW w:w="1120" w:type="dxa"/>
            <w:vAlign w:val="bottom"/>
          </w:tcPr>
          <w:p>
            <w:pPr>
              <w:ind w:left="20"/>
              <w:spacing w:after="0"/>
              <w:rPr>
                <w:sz w:val="20"/>
                <w:szCs w:val="20"/>
                <w:color w:val="auto"/>
              </w:rPr>
            </w:pPr>
            <w:r>
              <w:rPr>
                <w:rFonts w:ascii="Arial" w:cs="Arial" w:eastAsia="Arial" w:hAnsi="Arial"/>
                <w:sz w:val="18"/>
                <w:szCs w:val="18"/>
                <w:color w:val="auto"/>
              </w:rPr>
              <w:t>Purpose</w:t>
            </w:r>
          </w:p>
        </w:tc>
        <w:tc>
          <w:tcPr>
            <w:tcW w:w="10100" w:type="dxa"/>
            <w:vAlign w:val="bottom"/>
          </w:tcPr>
          <w:p>
            <w:pPr>
              <w:ind w:left="140"/>
              <w:spacing w:after="0"/>
              <w:rPr>
                <w:sz w:val="20"/>
                <w:szCs w:val="20"/>
                <w:color w:val="auto"/>
              </w:rPr>
            </w:pPr>
            <w:r>
              <w:rPr>
                <w:rFonts w:ascii="Arial" w:cs="Arial" w:eastAsia="Arial" w:hAnsi="Arial"/>
                <w:sz w:val="18"/>
                <w:szCs w:val="18"/>
                <w:color w:val="auto"/>
              </w:rPr>
              <w:t>Broad-based program designed to emphasize that each employee contributes to the company’s profitability and can share in</w:t>
            </w:r>
          </w:p>
        </w:tc>
      </w:tr>
      <w:tr>
        <w:trPr>
          <w:trHeight w:val="217"/>
        </w:trPr>
        <w:tc>
          <w:tcPr>
            <w:tcW w:w="1120" w:type="dxa"/>
            <w:vAlign w:val="bottom"/>
          </w:tcPr>
          <w:p>
            <w:pPr>
              <w:spacing w:after="0"/>
              <w:rPr>
                <w:sz w:val="18"/>
                <w:szCs w:val="18"/>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it.</w:t>
            </w:r>
          </w:p>
        </w:tc>
      </w:tr>
      <w:tr>
        <w:trPr>
          <w:trHeight w:val="323"/>
        </w:trPr>
        <w:tc>
          <w:tcPr>
            <w:tcW w:w="1120" w:type="dxa"/>
            <w:vAlign w:val="bottom"/>
          </w:tcPr>
          <w:p>
            <w:pPr>
              <w:ind w:left="20"/>
              <w:spacing w:after="0"/>
              <w:rPr>
                <w:sz w:val="20"/>
                <w:szCs w:val="20"/>
                <w:color w:val="auto"/>
              </w:rPr>
            </w:pPr>
            <w:r>
              <w:rPr>
                <w:rFonts w:ascii="Arial" w:cs="Arial" w:eastAsia="Arial" w:hAnsi="Arial"/>
                <w:sz w:val="18"/>
                <w:szCs w:val="18"/>
                <w:color w:val="auto"/>
              </w:rPr>
              <w:t>Strategy</w:t>
            </w:r>
          </w:p>
        </w:tc>
        <w:tc>
          <w:tcPr>
            <w:tcW w:w="10100" w:type="dxa"/>
            <w:vAlign w:val="bottom"/>
          </w:tcPr>
          <w:p>
            <w:pPr>
              <w:ind w:left="140"/>
              <w:spacing w:after="0"/>
              <w:rPr>
                <w:sz w:val="20"/>
                <w:szCs w:val="20"/>
                <w:color w:val="auto"/>
              </w:rPr>
            </w:pPr>
            <w:r>
              <w:rPr>
                <w:rFonts w:ascii="Arial" w:cs="Arial" w:eastAsia="Arial" w:hAnsi="Arial"/>
                <w:sz w:val="18"/>
                <w:szCs w:val="18"/>
                <w:color w:val="auto"/>
              </w:rPr>
              <w:t>Pay according to a formula that is the same for all employees to focus them on a company goal, and set pay-out potential at</w:t>
            </w:r>
          </w:p>
        </w:tc>
      </w:tr>
      <w:tr>
        <w:trPr>
          <w:trHeight w:val="217"/>
        </w:trPr>
        <w:tc>
          <w:tcPr>
            <w:tcW w:w="1120" w:type="dxa"/>
            <w:vAlign w:val="bottom"/>
          </w:tcPr>
          <w:p>
            <w:pPr>
              <w:spacing w:after="0"/>
              <w:rPr>
                <w:sz w:val="18"/>
                <w:szCs w:val="18"/>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a level that will affect behavior. Profit sharing is paid in addition to any performance bonus awarded for the year.</w:t>
            </w:r>
          </w:p>
        </w:tc>
      </w:tr>
      <w:tr>
        <w:trPr>
          <w:trHeight w:val="323"/>
        </w:trPr>
        <w:tc>
          <w:tcPr>
            <w:tcW w:w="1120" w:type="dxa"/>
            <w:vAlign w:val="bottom"/>
          </w:tcPr>
          <w:p>
            <w:pPr>
              <w:spacing w:after="0"/>
              <w:rPr>
                <w:sz w:val="24"/>
                <w:szCs w:val="24"/>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For the last 17 years, the formula has been based on company-level annual operating profit margin. The formula was set by</w:t>
            </w:r>
          </w:p>
        </w:tc>
      </w:tr>
      <w:tr>
        <w:trPr>
          <w:trHeight w:val="217"/>
        </w:trPr>
        <w:tc>
          <w:tcPr>
            <w:tcW w:w="1120" w:type="dxa"/>
            <w:vAlign w:val="bottom"/>
          </w:tcPr>
          <w:p>
            <w:pPr>
              <w:spacing w:after="0"/>
              <w:rPr>
                <w:sz w:val="18"/>
                <w:szCs w:val="18"/>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the TI board. The committee’s practice has been not to adjust amounts earned under the formula.</w:t>
            </w:r>
          </w:p>
        </w:tc>
      </w:tr>
      <w:tr>
        <w:trPr>
          <w:trHeight w:val="432"/>
        </w:trPr>
        <w:tc>
          <w:tcPr>
            <w:tcW w:w="1120" w:type="dxa"/>
            <w:vAlign w:val="bottom"/>
          </w:tcPr>
          <w:p>
            <w:pPr>
              <w:ind w:left="20"/>
              <w:spacing w:after="0"/>
              <w:rPr>
                <w:sz w:val="20"/>
                <w:szCs w:val="20"/>
                <w:color w:val="auto"/>
              </w:rPr>
            </w:pPr>
            <w:r>
              <w:rPr>
                <w:rFonts w:ascii="Arial" w:cs="Arial" w:eastAsia="Arial" w:hAnsi="Arial"/>
                <w:sz w:val="18"/>
                <w:szCs w:val="18"/>
                <w:color w:val="auto"/>
              </w:rPr>
              <w:t>Terms</w:t>
            </w:r>
          </w:p>
        </w:tc>
        <w:tc>
          <w:tcPr>
            <w:tcW w:w="10100" w:type="dxa"/>
            <w:vAlign w:val="bottom"/>
          </w:tcPr>
          <w:p>
            <w:pPr>
              <w:ind w:left="14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324"/>
        </w:trPr>
        <w:tc>
          <w:tcPr>
            <w:tcW w:w="1120" w:type="dxa"/>
            <w:vAlign w:val="bottom"/>
          </w:tcPr>
          <w:p>
            <w:pPr>
              <w:spacing w:after="0"/>
              <w:rPr>
                <w:sz w:val="24"/>
                <w:szCs w:val="24"/>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As in recent years, the formula for 2021 was:</w:t>
            </w:r>
          </w:p>
        </w:tc>
      </w:tr>
    </w:tbl>
    <w:p>
      <w:pPr>
        <w:spacing w:after="0" w:line="107" w:lineRule="exact"/>
        <w:rPr>
          <w:sz w:val="20"/>
          <w:szCs w:val="20"/>
          <w:color w:val="auto"/>
        </w:rPr>
      </w:pPr>
    </w:p>
    <w:p>
      <w:pPr>
        <w:ind w:left="1920" w:hanging="328"/>
        <w:spacing w:after="0"/>
        <w:tabs>
          <w:tab w:leader="none" w:pos="1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(“Margin”): no profit sharing</w:t>
      </w:r>
    </w:p>
    <w:p>
      <w:pPr>
        <w:spacing w:after="0" w:line="63" w:lineRule="exact"/>
        <w:rPr>
          <w:rFonts w:ascii="Arial" w:cs="Arial" w:eastAsia="Arial" w:hAnsi="Arial"/>
          <w:sz w:val="18"/>
          <w:szCs w:val="18"/>
          <w:color w:val="auto"/>
        </w:rPr>
      </w:pPr>
    </w:p>
    <w:p>
      <w:pPr>
        <w:ind w:left="1920" w:hanging="328"/>
        <w:spacing w:after="0"/>
        <w:tabs>
          <w:tab w:leader="none" w:pos="1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spacing w:after="0" w:line="63" w:lineRule="exact"/>
        <w:rPr>
          <w:rFonts w:ascii="Arial" w:cs="Arial" w:eastAsia="Arial" w:hAnsi="Arial"/>
          <w:sz w:val="18"/>
          <w:szCs w:val="18"/>
          <w:color w:val="auto"/>
        </w:rPr>
      </w:pPr>
    </w:p>
    <w:p>
      <w:pPr>
        <w:jc w:val="both"/>
        <w:ind w:left="1920" w:right="140" w:hanging="328"/>
        <w:spacing w:after="0" w:line="256" w:lineRule="auto"/>
        <w:tabs>
          <w:tab w:leader="none" w:pos="19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94" w:lineRule="exact"/>
        <w:rPr>
          <w:sz w:val="20"/>
          <w:szCs w:val="20"/>
          <w:color w:val="auto"/>
        </w:rPr>
      </w:pPr>
    </w:p>
    <w:p>
      <w:pPr>
        <w:ind w:left="1260" w:right="80"/>
        <w:spacing w:after="0" w:line="261" w:lineRule="auto"/>
        <w:rPr>
          <w:sz w:val="20"/>
          <w:szCs w:val="20"/>
          <w:color w:val="auto"/>
        </w:rPr>
      </w:pPr>
      <w:r>
        <w:rPr>
          <w:rFonts w:ascii="Arial" w:cs="Arial" w:eastAsia="Arial" w:hAnsi="Arial"/>
          <w:sz w:val="18"/>
          <w:szCs w:val="18"/>
          <w:color w:val="auto"/>
        </w:rPr>
        <w:t>In 2021, TI delivered Margin of 48.8%. As a result, all eligible employees, including executive officers, received profit sharing of 20% of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24</w:t>
      </w:r>
    </w:p>
    <w:p>
      <w:pPr>
        <w:sectPr>
          <w:pgSz w:w="11900" w:h="16838" w:orient="portrait"/>
          <w:cols w:equalWidth="0" w:num="1">
            <w:col w:w="11220"/>
          </w:cols>
          <w:pgMar w:left="320" w:top="787" w:right="35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color w:val="auto"/>
        </w:rPr>
        <w:t>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Purpose</w:t>
            </w:r>
          </w:p>
        </w:tc>
        <w:tc>
          <w:tcPr>
            <w:tcW w:w="10100" w:type="dxa"/>
            <w:vAlign w:val="bottom"/>
          </w:tcPr>
          <w:p>
            <w:pPr>
              <w:ind w:left="280"/>
              <w:spacing w:after="0"/>
              <w:rPr>
                <w:sz w:val="20"/>
                <w:szCs w:val="20"/>
                <w:color w:val="auto"/>
              </w:rPr>
            </w:pPr>
            <w:r>
              <w:rPr>
                <w:rFonts w:ascii="Arial" w:cs="Arial" w:eastAsia="Arial" w:hAnsi="Arial"/>
                <w:sz w:val="18"/>
                <w:szCs w:val="18"/>
                <w:color w:val="auto"/>
                <w:w w:val="99"/>
              </w:rPr>
              <w:t>To motivate executives and reward them according to the company’s relative and absolute performance and the executive’s</w:t>
            </w:r>
          </w:p>
        </w:tc>
      </w:tr>
      <w:tr>
        <w:trPr>
          <w:trHeight w:val="217"/>
        </w:trPr>
        <w:tc>
          <w:tcPr>
            <w:tcW w:w="960" w:type="dxa"/>
            <w:vAlign w:val="bottom"/>
          </w:tcPr>
          <w:p>
            <w:pPr>
              <w:spacing w:after="0"/>
              <w:rPr>
                <w:sz w:val="18"/>
                <w:szCs w:val="18"/>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individual performance.</w:t>
            </w:r>
          </w:p>
        </w:tc>
      </w:tr>
      <w:tr>
        <w:trPr>
          <w:trHeight w:val="472"/>
        </w:trPr>
        <w:tc>
          <w:tcPr>
            <w:tcW w:w="960" w:type="dxa"/>
            <w:vAlign w:val="bottom"/>
          </w:tcPr>
          <w:p>
            <w:pPr>
              <w:spacing w:after="0"/>
              <w:rPr>
                <w:sz w:val="20"/>
                <w:szCs w:val="20"/>
                <w:color w:val="auto"/>
              </w:rPr>
            </w:pPr>
            <w:r>
              <w:rPr>
                <w:rFonts w:ascii="Arial" w:cs="Arial" w:eastAsia="Arial" w:hAnsi="Arial"/>
                <w:sz w:val="18"/>
                <w:szCs w:val="18"/>
                <w:color w:val="auto"/>
              </w:rPr>
              <w:t>Strategy</w:t>
            </w:r>
          </w:p>
        </w:tc>
        <w:tc>
          <w:tcPr>
            <w:tcW w:w="10100" w:type="dxa"/>
            <w:vAlign w:val="bottom"/>
          </w:tcPr>
          <w:p>
            <w:pPr>
              <w:ind w:left="2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16"/>
        </w:trPr>
        <w:tc>
          <w:tcPr>
            <w:tcW w:w="960" w:type="dxa"/>
            <w:vAlign w:val="bottom"/>
          </w:tcPr>
          <w:p>
            <w:pPr>
              <w:spacing w:after="0"/>
              <w:rPr>
                <w:sz w:val="18"/>
                <w:szCs w:val="18"/>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percent, operating margin and total shareholder return</w:t>
            </w:r>
            <w:r>
              <w:rPr>
                <w:rFonts w:ascii="Arial" w:cs="Arial" w:eastAsia="Arial" w:hAnsi="Arial"/>
                <w:sz w:val="10"/>
                <w:szCs w:val="10"/>
                <w:color w:val="auto"/>
              </w:rPr>
              <w:t>1</w:t>
            </w:r>
            <w:r>
              <w:rPr>
                <w:rFonts w:ascii="Arial" w:cs="Arial" w:eastAsia="Arial" w:hAnsi="Arial"/>
                <w:sz w:val="18"/>
                <w:szCs w:val="18"/>
                <w:color w:val="auto"/>
              </w:rPr>
              <w:t>) as compared with competitors and on our strategic progress in key</w:t>
            </w:r>
          </w:p>
        </w:tc>
      </w:tr>
      <w:tr>
        <w:trPr>
          <w:trHeight w:val="216"/>
        </w:trPr>
        <w:tc>
          <w:tcPr>
            <w:tcW w:w="960" w:type="dxa"/>
            <w:vAlign w:val="bottom"/>
          </w:tcPr>
          <w:p>
            <w:pPr>
              <w:spacing w:after="0"/>
              <w:rPr>
                <w:sz w:val="18"/>
                <w:szCs w:val="18"/>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markets and with customers. These factors have been chosen to reflect our near-term financial performance as well as our</w:t>
            </w:r>
          </w:p>
        </w:tc>
      </w:tr>
      <w:tr>
        <w:trPr>
          <w:trHeight w:val="217"/>
        </w:trPr>
        <w:tc>
          <w:tcPr>
            <w:tcW w:w="960" w:type="dxa"/>
            <w:vAlign w:val="bottom"/>
          </w:tcPr>
          <w:p>
            <w:pPr>
              <w:spacing w:after="0"/>
              <w:rPr>
                <w:sz w:val="18"/>
                <w:szCs w:val="18"/>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progress in building long-term shareholder value.</w:t>
            </w:r>
          </w:p>
        </w:tc>
      </w:tr>
      <w:tr>
        <w:trPr>
          <w:trHeight w:val="323"/>
        </w:trPr>
        <w:tc>
          <w:tcPr>
            <w:tcW w:w="960" w:type="dxa"/>
            <w:vAlign w:val="bottom"/>
          </w:tcPr>
          <w:p>
            <w:pPr>
              <w:spacing w:after="0"/>
              <w:rPr>
                <w:sz w:val="24"/>
                <w:szCs w:val="24"/>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 if</w:t>
            </w:r>
          </w:p>
        </w:tc>
      </w:tr>
      <w:tr>
        <w:trPr>
          <w:trHeight w:val="216"/>
        </w:trPr>
        <w:tc>
          <w:tcPr>
            <w:tcW w:w="960" w:type="dxa"/>
            <w:vAlign w:val="bottom"/>
          </w:tcPr>
          <w:p>
            <w:pPr>
              <w:spacing w:after="0"/>
              <w:rPr>
                <w:sz w:val="18"/>
                <w:szCs w:val="18"/>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company performance is above that of competitors, and pay total cash compensation appropriately below the median if</w:t>
            </w:r>
          </w:p>
        </w:tc>
      </w:tr>
      <w:tr>
        <w:trPr>
          <w:trHeight w:val="217"/>
        </w:trPr>
        <w:tc>
          <w:tcPr>
            <w:tcW w:w="960" w:type="dxa"/>
            <w:vAlign w:val="bottom"/>
          </w:tcPr>
          <w:p>
            <w:pPr>
              <w:spacing w:after="0"/>
              <w:rPr>
                <w:sz w:val="18"/>
                <w:szCs w:val="18"/>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company performance is below competitors.</w:t>
            </w:r>
          </w:p>
        </w:tc>
      </w:tr>
      <w:tr>
        <w:trPr>
          <w:trHeight w:val="313"/>
        </w:trPr>
        <w:tc>
          <w:tcPr>
            <w:tcW w:w="960" w:type="dxa"/>
            <w:vAlign w:val="bottom"/>
          </w:tcPr>
          <w:p>
            <w:pPr>
              <w:spacing w:after="0"/>
              <w:rPr>
                <w:sz w:val="24"/>
                <w:szCs w:val="24"/>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 judgment based on its</w:t>
            </w:r>
          </w:p>
        </w:tc>
      </w:tr>
      <w:tr>
        <w:trPr>
          <w:trHeight w:val="299"/>
        </w:trPr>
        <w:tc>
          <w:tcPr>
            <w:tcW w:w="960" w:type="dxa"/>
            <w:vAlign w:val="bottom"/>
          </w:tcPr>
          <w:p>
            <w:pPr>
              <w:spacing w:after="0"/>
              <w:rPr>
                <w:sz w:val="24"/>
                <w:szCs w:val="24"/>
                <w:color w:val="auto"/>
              </w:rPr>
            </w:pPr>
          </w:p>
        </w:tc>
        <w:tc>
          <w:tcPr>
            <w:tcW w:w="10100" w:type="dxa"/>
            <w:vAlign w:val="bottom"/>
          </w:tcPr>
          <w:p>
            <w:pPr>
              <w:ind w:left="280"/>
              <w:spacing w:after="0"/>
              <w:rPr>
                <w:sz w:val="20"/>
                <w:szCs w:val="20"/>
                <w:color w:val="auto"/>
              </w:rPr>
            </w:pPr>
            <w:r>
              <w:rPr>
                <w:rFonts w:ascii="Arial" w:cs="Arial" w:eastAsia="Arial" w:hAnsi="Arial"/>
                <w:sz w:val="18"/>
                <w:szCs w:val="18"/>
                <w:color w:val="auto"/>
              </w:rPr>
              <w:t>assessment of the factors described above.</w:t>
            </w:r>
            <w:r>
              <w:rPr>
                <w:rFonts w:ascii="Arial" w:cs="Arial" w:eastAsia="Arial" w:hAnsi="Arial"/>
                <w:sz w:val="18"/>
                <w:szCs w:val="18"/>
                <w:color w:val="FFFFFF"/>
              </w:rPr>
              <w:t>.</w:t>
            </w:r>
            <w:r>
              <w:rPr>
                <w:rFonts w:ascii="Arial" w:cs="Arial" w:eastAsia="Arial" w:hAnsi="Arial"/>
                <w:sz w:val="23"/>
                <w:szCs w:val="23"/>
                <w:color w:val="FFFFFF"/>
                <w:vertAlign w:val="superscript"/>
              </w:rPr>
              <w:t>1</w:t>
            </w:r>
          </w:p>
        </w:tc>
      </w:tr>
      <w:tr>
        <w:trPr>
          <w:trHeight w:val="361"/>
        </w:trPr>
        <w:tc>
          <w:tcPr>
            <w:tcW w:w="960" w:type="dxa"/>
            <w:vAlign w:val="bottom"/>
          </w:tcPr>
          <w:p>
            <w:pPr>
              <w:spacing w:after="0"/>
              <w:rPr>
                <w:sz w:val="20"/>
                <w:szCs w:val="20"/>
                <w:color w:val="auto"/>
              </w:rPr>
            </w:pPr>
            <w:r>
              <w:rPr>
                <w:rFonts w:ascii="Arial" w:cs="Arial" w:eastAsia="Arial" w:hAnsi="Arial"/>
                <w:sz w:val="18"/>
                <w:szCs w:val="18"/>
                <w:color w:val="auto"/>
              </w:rPr>
              <w:t>Terms</w:t>
            </w:r>
          </w:p>
        </w:tc>
        <w:tc>
          <w:tcPr>
            <w:tcW w:w="10100" w:type="dxa"/>
            <w:vAlign w:val="bottom"/>
          </w:tcPr>
          <w:p>
            <w:pPr>
              <w:ind w:left="2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828" w:right="35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Purpose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 performance.</w:t>
      </w:r>
    </w:p>
    <w:p>
      <w:pPr>
        <w:spacing w:after="0" w:line="198" w:lineRule="exact"/>
        <w:rPr>
          <w:sz w:val="20"/>
          <w:szCs w:val="20"/>
          <w:color w:val="auto"/>
        </w:rPr>
      </w:pPr>
    </w:p>
    <w:p>
      <w:pPr>
        <w:sectPr>
          <w:pgSz w:w="11900" w:h="16838" w:orient="portrait"/>
          <w:cols w:equalWidth="0" w:num="2">
            <w:col w:w="700" w:space="560"/>
            <w:col w:w="9960"/>
          </w:cols>
          <w:pgMar w:left="320" w:top="828"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br w:type="column"/>
      </w:r>
    </w:p>
    <w:p>
      <w:pPr>
        <w:ind w:right="220"/>
        <w:spacing w:after="0" w:line="256" w:lineRule="auto"/>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 equity compensation awarded to executives in similar positions within the Comparator Group. The committee does not rely on formulas or performance targets or thresholds.</w:t>
      </w:r>
    </w:p>
    <w:p>
      <w:pPr>
        <w:spacing w:after="0" w:line="200" w:lineRule="exact"/>
        <w:rPr>
          <w:sz w:val="20"/>
          <w:szCs w:val="20"/>
          <w:color w:val="auto"/>
        </w:rPr>
      </w:pPr>
    </w:p>
    <w:p>
      <w:pPr>
        <w:sectPr>
          <w:pgSz w:w="11900" w:h="16838" w:orient="portrait"/>
          <w:cols w:equalWidth="0" w:num="2">
            <w:col w:w="700" w:space="560"/>
            <w:col w:w="9960"/>
          </w:cols>
          <w:pgMar w:left="320" w:top="828" w:right="35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Terms</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 fiscal year-end 2021.” The committee’s grant procedures are described under “Process for equity grants.”</w:t>
      </w:r>
    </w:p>
    <w:p>
      <w:pPr>
        <w:spacing w:after="0" w:line="200" w:lineRule="exact"/>
        <w:rPr>
          <w:sz w:val="20"/>
          <w:szCs w:val="20"/>
          <w:color w:val="auto"/>
        </w:rPr>
      </w:pPr>
    </w:p>
    <w:p>
      <w:pPr>
        <w:sectPr>
          <w:pgSz w:w="11900" w:h="16838" w:orient="portrait"/>
          <w:cols w:equalWidth="0" w:num="2">
            <w:col w:w="540" w:space="720"/>
            <w:col w:w="9960"/>
          </w:cols>
          <w:pgMar w:left="320" w:top="828" w:right="35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Comparator group</w:t>
      </w:r>
    </w:p>
    <w:p>
      <w:pPr>
        <w:spacing w:after="0" w:line="2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spacing w:after="0" w:line="9" w:lineRule="exact"/>
        <w:rPr>
          <w:sz w:val="20"/>
          <w:szCs w:val="20"/>
          <w:color w:val="auto"/>
        </w:rPr>
      </w:pPr>
    </w:p>
    <w:p>
      <w:pPr>
        <w:ind w:firstLine="8"/>
        <w:spacing w:after="0" w:line="256"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0" w:lineRule="exact"/>
        <w:rPr>
          <w:sz w:val="20"/>
          <w:szCs w:val="20"/>
          <w:color w:val="auto"/>
        </w:rPr>
      </w:pPr>
    </w:p>
    <w:p>
      <w:pPr>
        <w:ind w:right="320" w:firstLine="8"/>
        <w:spacing w:after="0" w:line="229" w:lineRule="auto"/>
        <w:tabs>
          <w:tab w:leader="none" w:pos="115"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25</w:t>
      </w:r>
    </w:p>
    <w:p>
      <w:pPr>
        <w:sectPr>
          <w:pgSz w:w="11900" w:h="16838" w:orient="portrait"/>
          <w:cols w:equalWidth="0" w:num="1">
            <w:col w:w="11220"/>
          </w:cols>
          <w:pgMar w:left="320" w:top="828"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color w:val="auto"/>
        </w:rPr>
        <w:t>Shown in the table below is the Comparator Group used for the compensation decisions for 2021.</w:t>
      </w:r>
    </w:p>
    <w:p>
      <w:pPr>
        <w:sectPr>
          <w:pgSz w:w="11900" w:h="16838" w:orient="portrait"/>
          <w:cols w:equalWidth="0" w:num="1">
            <w:col w:w="11220"/>
          </w:cols>
          <w:pgMar w:left="320" w:top="787" w:right="359" w:bottom="1440" w:gutter="0" w:footer="0" w:header="0"/>
        </w:sect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3M Company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Honeywell International Inc.</w:t>
      </w:r>
    </w:p>
    <w:p>
      <w:pPr>
        <w:spacing w:after="0" w:line="74"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Accenture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Intel Corporation</w:t>
      </w:r>
    </w:p>
    <w:p>
      <w:pPr>
        <w:spacing w:after="0" w:line="74"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Medtronic Public Limited Company</w:t>
      </w:r>
    </w:p>
    <w:p>
      <w:pPr>
        <w:spacing w:after="0" w:line="75"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Motorola Solutions, Inc.</w:t>
      </w:r>
    </w:p>
    <w:p>
      <w:pPr>
        <w:spacing w:after="0" w:line="74"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NVIDIA Corporation</w:t>
      </w:r>
    </w:p>
    <w:p>
      <w:pPr>
        <w:spacing w:after="0" w:line="75"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Corning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 Connectivity Ltd.</w:t>
      </w:r>
    </w:p>
    <w:p>
      <w:pPr>
        <w:spacing w:after="0" w:line="74"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jc w:val="center"/>
        <w:ind w:left="680"/>
        <w:spacing w:after="0"/>
        <w:rPr>
          <w:sz w:val="20"/>
          <w:szCs w:val="20"/>
          <w:color w:val="auto"/>
        </w:rPr>
      </w:pPr>
      <w:r>
        <w:rPr>
          <w:rFonts w:ascii="Arial" w:cs="Arial" w:eastAsia="Arial" w:hAnsi="Arial"/>
          <w:sz w:val="17"/>
          <w:szCs w:val="17"/>
          <w:color w:val="auto"/>
        </w:rPr>
        <w:t>DXC Technology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Thermo Fisher Scientific Inc.</w:t>
      </w:r>
    </w:p>
    <w:p>
      <w:pPr>
        <w:spacing w:after="0" w:line="75"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Western Digital Corporation</w:t>
      </w:r>
    </w:p>
    <w:p>
      <w:pPr>
        <w:spacing w:after="0" w:line="211" w:lineRule="exact"/>
        <w:rPr>
          <w:sz w:val="20"/>
          <w:szCs w:val="20"/>
          <w:color w:val="auto"/>
        </w:rPr>
      </w:pPr>
    </w:p>
    <w:p>
      <w:pPr>
        <w:sectPr>
          <w:pgSz w:w="11900" w:h="16838" w:orient="portrait"/>
          <w:cols w:equalWidth="0" w:num="2">
            <w:col w:w="4120" w:space="720"/>
            <w:col w:w="6380"/>
          </w:cols>
          <w:pgMar w:left="320" w:top="787" w:right="359" w:bottom="1440" w:gutter="0" w:footer="0" w:header="0"/>
          <w:type w:val="continuous"/>
        </w:sectPr>
      </w:pP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committee set the Comparator Group in July 2020 for the base salary and equity compensation decisions it made in 2021. For a discussion of the factors considered by the committee in setting the Comparator Group in July 2020, please see “Comparator group” on page 23 of the company’s 2021 proxy statement.</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July 2021, the committee conducted its regular review of the Comparator Group in terms of industry, revenue and market capitalization. With the advice of its compensation consultant and to maintain comparability of company size and degree of industry similarity to TI, the committee decided to remove DXC Technology Company and to add Micron Technology, Inc. to the group. The committee used the new Comparator Group for the bonus decisions in January 2022 relating to 2021 performance. The table below compares the Comparator Group to TI in terms of revenue and market capitalization.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w:t>
            </w:r>
          </w:p>
        </w:tc>
        <w:tc>
          <w:tcPr>
            <w:tcW w:w="39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Revenue ($ Billion) *</w:t>
            </w:r>
          </w:p>
        </w:tc>
        <w:tc>
          <w:tcPr>
            <w:tcW w:w="27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Market Cap ($ Billion) *</w:t>
            </w: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Intel Corporation</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78.5</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209.9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Accenture plc</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53.7</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272.6</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Cisco Systems, Inc.</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50.8</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268.3</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Thermo Fisher Scientific Inc.</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39.1</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262.2</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3M Company</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35.3</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102.4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Honeywell International Inc.</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34.6</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143.0</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QUALCOMM Incorporated</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33.6</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204.7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Medtronic Public Limited Company</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31.8</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140.5</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Micron Technology, Inc.</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29.6</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105.2</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Broadcom Inc.</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27.5</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274.6</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NVIDIA Corporation</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24.3</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739.7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23.1</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140.4</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Emerson Electric Co.</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18.2</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55.4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Western Digital Corporation</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18.1</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20.4</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TE Connectivity Ltd.</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14.9</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52.4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Corning Incorporated</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13.8</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31.8</w:t>
            </w:r>
          </w:p>
        </w:tc>
      </w:tr>
      <w:tr>
        <w:trPr>
          <w:trHeight w:val="27"/>
        </w:trPr>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Motorola Solutions, Inc.</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8.1</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45.9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Analog Devices, Inc.</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7.3</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93.8</w:t>
            </w:r>
          </w:p>
        </w:tc>
      </w:tr>
      <w:tr>
        <w:trPr>
          <w:trHeight w:val="27"/>
        </w:trPr>
        <w:tc>
          <w:tcPr>
            <w:tcW w:w="46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Median</w:t>
            </w:r>
          </w:p>
        </w:tc>
        <w:tc>
          <w:tcPr>
            <w:tcW w:w="3900" w:type="dxa"/>
            <w:vAlign w:val="bottom"/>
            <w:tcBorders>
              <w:bottom w:val="single" w:sz="8" w:color="DBDBDB"/>
            </w:tcBorders>
            <w:shd w:val="clear" w:color="auto" w:fill="DBDBDB"/>
          </w:tcPr>
          <w:p>
            <w:pPr>
              <w:jc w:val="right"/>
              <w:ind w:right="1011"/>
              <w:spacing w:after="0"/>
              <w:rPr>
                <w:sz w:val="20"/>
                <w:szCs w:val="20"/>
                <w:color w:val="auto"/>
              </w:rPr>
            </w:pPr>
            <w:r>
              <w:rPr>
                <w:rFonts w:ascii="Arial" w:cs="Arial" w:eastAsia="Arial" w:hAnsi="Arial"/>
                <w:sz w:val="18"/>
                <w:szCs w:val="18"/>
                <w:color w:val="auto"/>
              </w:rPr>
              <w:t>28.5</w:t>
            </w:r>
          </w:p>
        </w:tc>
        <w:tc>
          <w:tcPr>
            <w:tcW w:w="2700" w:type="dxa"/>
            <w:vAlign w:val="bottom"/>
            <w:tcBorders>
              <w:bottom w:val="single" w:sz="8" w:color="DBDBDB"/>
            </w:tcBorders>
            <w:shd w:val="clear" w:color="auto" w:fill="DBDBDB"/>
          </w:tcPr>
          <w:p>
            <w:pPr>
              <w:jc w:val="right"/>
              <w:ind w:right="951"/>
              <w:spacing w:after="0"/>
              <w:rPr>
                <w:sz w:val="20"/>
                <w:szCs w:val="20"/>
                <w:color w:val="auto"/>
              </w:rPr>
            </w:pPr>
            <w:r>
              <w:rPr>
                <w:rFonts w:ascii="Arial" w:cs="Arial" w:eastAsia="Arial" w:hAnsi="Arial"/>
                <w:sz w:val="18"/>
                <w:szCs w:val="18"/>
                <w:color w:val="auto"/>
              </w:rPr>
              <w:t>140.4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Texas Instruments Incorporated</w:t>
            </w:r>
          </w:p>
        </w:tc>
        <w:tc>
          <w:tcPr>
            <w:tcW w:w="3900" w:type="dxa"/>
            <w:vAlign w:val="bottom"/>
          </w:tcPr>
          <w:p>
            <w:pPr>
              <w:jc w:val="right"/>
              <w:ind w:right="1011"/>
              <w:spacing w:after="0"/>
              <w:rPr>
                <w:sz w:val="20"/>
                <w:szCs w:val="20"/>
                <w:color w:val="auto"/>
              </w:rPr>
            </w:pPr>
            <w:r>
              <w:rPr>
                <w:rFonts w:ascii="Arial" w:cs="Arial" w:eastAsia="Arial" w:hAnsi="Arial"/>
                <w:sz w:val="18"/>
                <w:szCs w:val="18"/>
                <w:color w:val="auto"/>
              </w:rPr>
              <w:t>17.6</w:t>
            </w:r>
          </w:p>
        </w:tc>
        <w:tc>
          <w:tcPr>
            <w:tcW w:w="2700" w:type="dxa"/>
            <w:vAlign w:val="bottom"/>
          </w:tcPr>
          <w:p>
            <w:pPr>
              <w:jc w:val="right"/>
              <w:ind w:right="951"/>
              <w:spacing w:after="0"/>
              <w:rPr>
                <w:sz w:val="20"/>
                <w:szCs w:val="20"/>
                <w:color w:val="auto"/>
              </w:rPr>
            </w:pPr>
            <w:r>
              <w:rPr>
                <w:rFonts w:ascii="Arial" w:cs="Arial" w:eastAsia="Arial" w:hAnsi="Arial"/>
                <w:sz w:val="18"/>
                <w:szCs w:val="18"/>
                <w:color w:val="auto"/>
              </w:rPr>
              <w:t>174.9</w:t>
            </w:r>
          </w:p>
        </w:tc>
      </w:tr>
    </w:tbl>
    <w:p>
      <w:pPr>
        <w:spacing w:after="0" w:line="229"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Trailing four-quarter revenue and market capitalization is as reported by Thomson Reuters on January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26</w:t>
      </w:r>
    </w:p>
    <w:p>
      <w:pPr>
        <w:sectPr>
          <w:pgSz w:w="11900" w:h="16838" w:orient="portrait"/>
          <w:cols w:equalWidth="0" w:num="1">
            <w:col w:w="11220"/>
          </w:cols>
          <w:pgMar w:left="320" w:top="787"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i w:val="1"/>
          <w:iCs w:val="1"/>
          <w:color w:val="auto"/>
        </w:rPr>
        <w:t>Analysis of compensation determinations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set the 2021 rate of base salary for the following named executive officers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4020" w:type="dxa"/>
            <w:vAlign w:val="bottom"/>
            <w:tcBorders>
              <w:bottom w:val="single" w:sz="8" w:color="auto"/>
            </w:tcBorders>
            <w:gridSpan w:val="2"/>
          </w:tcPr>
          <w:p>
            <w:pPr>
              <w:ind w:left="2300"/>
              <w:spacing w:after="0"/>
              <w:rPr>
                <w:sz w:val="20"/>
                <w:szCs w:val="20"/>
                <w:color w:val="auto"/>
              </w:rPr>
            </w:pPr>
            <w:r>
              <w:rPr>
                <w:rFonts w:ascii="Arial" w:cs="Arial" w:eastAsia="Arial" w:hAnsi="Arial"/>
                <w:sz w:val="14"/>
                <w:szCs w:val="14"/>
                <w:b w:val="1"/>
                <w:bCs w:val="1"/>
                <w:color w:val="auto"/>
              </w:rPr>
              <w:t>2021 Annual Rate</w:t>
            </w:r>
          </w:p>
        </w:tc>
        <w:tc>
          <w:tcPr>
            <w:tcW w:w="3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 from 2020 Annual Rate</w:t>
            </w:r>
          </w:p>
        </w:tc>
      </w:tr>
      <w:tr>
        <w:trPr>
          <w:trHeight w:val="249"/>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1,380,000</w:t>
            </w:r>
          </w:p>
        </w:tc>
        <w:tc>
          <w:tcPr>
            <w:tcW w:w="316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3.0 %</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740,000</w:t>
            </w:r>
          </w:p>
        </w:tc>
        <w:tc>
          <w:tcPr>
            <w:tcW w:w="3160" w:type="dxa"/>
            <w:vAlign w:val="bottom"/>
          </w:tcPr>
          <w:p>
            <w:pPr>
              <w:jc w:val="right"/>
              <w:ind w:right="953"/>
              <w:spacing w:after="0"/>
              <w:rPr>
                <w:sz w:val="20"/>
                <w:szCs w:val="20"/>
                <w:color w:val="auto"/>
              </w:rPr>
            </w:pPr>
            <w:r>
              <w:rPr>
                <w:rFonts w:ascii="Arial" w:cs="Arial" w:eastAsia="Arial" w:hAnsi="Arial"/>
                <w:sz w:val="18"/>
                <w:szCs w:val="18"/>
                <w:color w:val="auto"/>
              </w:rPr>
              <w:t>5.7 %</w:t>
            </w:r>
          </w:p>
        </w:tc>
      </w:tr>
      <w:tr>
        <w:trPr>
          <w:trHeight w:val="27"/>
        </w:trPr>
        <w:tc>
          <w:tcPr>
            <w:tcW w:w="4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500" w:type="dxa"/>
            <w:vAlign w:val="bottom"/>
            <w:tcBorders>
              <w:bottom w:val="single" w:sz="8" w:color="DBDBDB"/>
            </w:tcBorders>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880,000</w:t>
            </w:r>
          </w:p>
        </w:tc>
        <w:tc>
          <w:tcPr>
            <w:tcW w:w="3160" w:type="dxa"/>
            <w:vAlign w:val="bottom"/>
            <w:tcBorders>
              <w:bottom w:val="single" w:sz="8" w:color="DBDBDB"/>
            </w:tcBorders>
            <w:shd w:val="clear" w:color="auto" w:fill="DBDBDB"/>
          </w:tcPr>
          <w:p>
            <w:pPr>
              <w:jc w:val="right"/>
              <w:ind w:right="953"/>
              <w:spacing w:after="0"/>
              <w:rPr>
                <w:sz w:val="20"/>
                <w:szCs w:val="20"/>
                <w:color w:val="auto"/>
              </w:rPr>
            </w:pPr>
            <w:r>
              <w:rPr>
                <w:rFonts w:ascii="Arial" w:cs="Arial" w:eastAsia="Arial" w:hAnsi="Arial"/>
                <w:sz w:val="18"/>
                <w:szCs w:val="18"/>
                <w:color w:val="auto"/>
              </w:rPr>
              <w:t>3.5 %</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2500" w:type="dxa"/>
            <w:vAlign w:val="bottom"/>
          </w:tcPr>
          <w:p>
            <w:pPr>
              <w:ind w:left="2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680,000</w:t>
            </w:r>
          </w:p>
        </w:tc>
        <w:tc>
          <w:tcPr>
            <w:tcW w:w="3160" w:type="dxa"/>
            <w:vAlign w:val="bottom"/>
          </w:tcPr>
          <w:p>
            <w:pPr>
              <w:jc w:val="right"/>
              <w:ind w:right="953"/>
              <w:spacing w:after="0"/>
              <w:rPr>
                <w:sz w:val="20"/>
                <w:szCs w:val="20"/>
                <w:color w:val="auto"/>
              </w:rPr>
            </w:pPr>
            <w:r>
              <w:rPr>
                <w:rFonts w:ascii="Arial" w:cs="Arial" w:eastAsia="Arial" w:hAnsi="Arial"/>
                <w:sz w:val="18"/>
                <w:szCs w:val="18"/>
                <w:color w:val="auto"/>
              </w:rPr>
              <w:t>13.3 %</w:t>
            </w:r>
          </w:p>
        </w:tc>
      </w:tr>
      <w:tr>
        <w:trPr>
          <w:trHeight w:val="27"/>
        </w:trPr>
        <w:tc>
          <w:tcPr>
            <w:tcW w:w="4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4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2500" w:type="dxa"/>
            <w:vAlign w:val="bottom"/>
            <w:shd w:val="clear" w:color="auto" w:fill="DBDBDB"/>
          </w:tcPr>
          <w:p>
            <w:pPr>
              <w:ind w:left="2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rPr>
              <w:t>700,000</w:t>
            </w:r>
          </w:p>
        </w:tc>
        <w:tc>
          <w:tcPr>
            <w:tcW w:w="3160" w:type="dxa"/>
            <w:vAlign w:val="bottom"/>
            <w:shd w:val="clear" w:color="auto" w:fill="DBDBDB"/>
          </w:tcPr>
          <w:p>
            <w:pPr>
              <w:jc w:val="right"/>
              <w:ind w:right="953"/>
              <w:spacing w:after="0"/>
              <w:rPr>
                <w:sz w:val="20"/>
                <w:szCs w:val="20"/>
                <w:color w:val="auto"/>
              </w:rPr>
            </w:pPr>
            <w:r>
              <w:rPr>
                <w:rFonts w:ascii="Arial" w:cs="Arial" w:eastAsia="Arial" w:hAnsi="Arial"/>
                <w:sz w:val="18"/>
                <w:szCs w:val="18"/>
                <w:color w:val="auto"/>
              </w:rPr>
              <w:t>6.1 %</w:t>
            </w:r>
          </w:p>
        </w:tc>
      </w:tr>
      <w:tr>
        <w:trPr>
          <w:trHeight w:val="27"/>
        </w:trPr>
        <w:tc>
          <w:tcPr>
            <w:tcW w:w="4040" w:type="dxa"/>
            <w:vAlign w:val="bottom"/>
            <w:shd w:val="clear" w:color="auto" w:fill="DBDBDB"/>
          </w:tcPr>
          <w:p>
            <w:pPr>
              <w:spacing w:after="0"/>
              <w:rPr>
                <w:sz w:val="2"/>
                <w:szCs w:val="2"/>
                <w:color w:val="auto"/>
              </w:rPr>
            </w:pPr>
          </w:p>
        </w:tc>
        <w:tc>
          <w:tcPr>
            <w:tcW w:w="250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3160" w:type="dxa"/>
            <w:vAlign w:val="bottom"/>
            <w:shd w:val="clear" w:color="auto" w:fill="DBDBDB"/>
          </w:tcPr>
          <w:p>
            <w:pPr>
              <w:spacing w:after="0"/>
              <w:rPr>
                <w:sz w:val="2"/>
                <w:szCs w:val="2"/>
                <w:color w:val="auto"/>
              </w:rPr>
            </w:pPr>
          </w:p>
        </w:tc>
      </w:tr>
    </w:tbl>
    <w:p>
      <w:pPr>
        <w:spacing w:after="0" w:line="31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For each of these executive officers, the committee set the 2021 base-salary rate listed above in January 2021. In keeping with its strategy, the committee targeted the annual base-salary rates to be at the estimated median level of salaries expected to be paid to similarly situated executives (considering job scope and tenure) of companies within the Comparator Group in January 2021.</w:t>
      </w:r>
    </w:p>
    <w:p>
      <w:pPr>
        <w:spacing w:after="0" w:line="20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27</w:t>
      </w:r>
    </w:p>
    <w:p>
      <w:pPr>
        <w:sectPr>
          <w:pgSz w:w="11900" w:h="16838" w:orient="portrait"/>
          <w:cols w:equalWidth="0" w:num="1">
            <w:col w:w="11220"/>
          </w:cols>
          <w:pgMar w:left="320" w:top="98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2021, the committee awarded equity compensation to each of the named executive officers listed below. The grants are shown in the table under “Grants of plan-based awards in 2021.” The grant date fair value of the awards is reflected in that table and in the “Stock Awards” and “Option Awards” columns of the 2021 summary compensation table. The table below is provided to assist the reader in comparing the grant date fair values and number of shares for each of the years shown in the summary compensation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center"/>
              <w:ind w:left="73"/>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Grant Date</w:t>
            </w:r>
          </w:p>
        </w:tc>
        <w:tc>
          <w:tcPr>
            <w:tcW w:w="1720" w:type="dxa"/>
            <w:vAlign w:val="bottom"/>
          </w:tcPr>
          <w:p>
            <w:pPr>
              <w:jc w:val="right"/>
              <w:ind w:right="332"/>
              <w:spacing w:after="0"/>
              <w:rPr>
                <w:sz w:val="20"/>
                <w:szCs w:val="20"/>
                <w:color w:val="auto"/>
              </w:rPr>
            </w:pPr>
            <w:r>
              <w:rPr>
                <w:rFonts w:ascii="Arial" w:cs="Arial" w:eastAsia="Arial" w:hAnsi="Arial"/>
                <w:sz w:val="14"/>
                <w:szCs w:val="14"/>
                <w:b w:val="1"/>
                <w:bCs w:val="1"/>
                <w:color w:val="auto"/>
              </w:rPr>
              <w:t>Stock Options</w:t>
            </w: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auto"/>
              </w:rPr>
              <w:t>Stock Units</w:t>
            </w:r>
          </w:p>
        </w:tc>
      </w:tr>
      <w:tr>
        <w:trPr>
          <w:trHeight w:val="19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2500" w:type="dxa"/>
            <w:vAlign w:val="bottom"/>
            <w:tcBorders>
              <w:bottom w:val="single" w:sz="8" w:color="auto"/>
            </w:tcBorders>
          </w:tcPr>
          <w:p>
            <w:pPr>
              <w:jc w:val="center"/>
              <w:ind w:left="1071"/>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 *</w:t>
            </w:r>
          </w:p>
        </w:tc>
        <w:tc>
          <w:tcPr>
            <w:tcW w:w="17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(In Shares)</w:t>
            </w:r>
          </w:p>
        </w:tc>
        <w:tc>
          <w:tcPr>
            <w:tcW w:w="150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rPr>
              <w:t>(In Shares)</w:t>
            </w:r>
          </w:p>
        </w:tc>
      </w:tr>
      <w:tr>
        <w:trPr>
          <w:trHeight w:val="249"/>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13,000,129</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159,706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38,410</w:t>
            </w:r>
          </w:p>
        </w:tc>
      </w:tr>
      <w:tr>
        <w:trPr>
          <w:trHeight w:val="243"/>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13,000,042</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254,216</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49,801</w:t>
            </w:r>
          </w:p>
        </w:tc>
      </w:tr>
      <w:tr>
        <w:trPr>
          <w:trHeight w:val="27"/>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2019</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13,000,057</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294,627</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62,255</w:t>
            </w:r>
          </w:p>
        </w:tc>
      </w:tr>
      <w:tr>
        <w:trPr>
          <w:trHeight w:val="216"/>
        </w:trPr>
        <w:tc>
          <w:tcPr>
            <w:tcW w:w="3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3,300,173</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40,541</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9,751</w:t>
            </w:r>
          </w:p>
        </w:tc>
      </w:tr>
      <w:tr>
        <w:trPr>
          <w:trHeight w:val="243"/>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3,300,044</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64,532</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12,642</w:t>
            </w:r>
          </w:p>
        </w:tc>
      </w:tr>
      <w:tr>
        <w:trPr>
          <w:trHeight w:val="27"/>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2019</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3,000,064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67,991</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14,367</w:t>
            </w:r>
          </w:p>
        </w:tc>
      </w:tr>
      <w:tr>
        <w:trPr>
          <w:trHeight w:val="216"/>
        </w:trPr>
        <w:tc>
          <w:tcPr>
            <w:tcW w:w="3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7,000,036</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85,996</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20,682</w:t>
            </w:r>
          </w:p>
        </w:tc>
      </w:tr>
      <w:tr>
        <w:trPr>
          <w:trHeight w:val="243"/>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4,500,043</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87,998</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17,239</w:t>
            </w:r>
          </w:p>
        </w:tc>
      </w:tr>
      <w:tr>
        <w:trPr>
          <w:trHeight w:val="27"/>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36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2019</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3,800,062</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86,122</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18,198</w:t>
            </w:r>
          </w:p>
        </w:tc>
      </w:tr>
      <w:tr>
        <w:trPr>
          <w:trHeight w:val="216"/>
        </w:trPr>
        <w:tc>
          <w:tcPr>
            <w:tcW w:w="3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2500" w:type="dxa"/>
            <w:vAlign w:val="bottom"/>
            <w:tcBorders>
              <w:bottom w:val="single" w:sz="8" w:color="DBDBDB"/>
            </w:tcBorders>
            <w:shd w:val="clear" w:color="auto" w:fill="DBDBDB"/>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BDBDB"/>
            </w:tcBorders>
            <w:shd w:val="clear" w:color="auto" w:fill="DBDBDB"/>
          </w:tcPr>
          <w:p>
            <w:pPr>
              <w:jc w:val="right"/>
              <w:ind w:right="232"/>
              <w:spacing w:after="0"/>
              <w:rPr>
                <w:sz w:val="20"/>
                <w:szCs w:val="20"/>
                <w:color w:val="auto"/>
              </w:rPr>
            </w:pPr>
            <w:r>
              <w:rPr>
                <w:rFonts w:ascii="Arial" w:cs="Arial" w:eastAsia="Arial" w:hAnsi="Arial"/>
                <w:sz w:val="18"/>
                <w:szCs w:val="18"/>
                <w:color w:val="auto"/>
              </w:rPr>
              <w:t>3,800,144</w:t>
            </w:r>
          </w:p>
        </w:tc>
        <w:tc>
          <w:tcPr>
            <w:tcW w:w="1720" w:type="dxa"/>
            <w:vAlign w:val="bottom"/>
            <w:tcBorders>
              <w:bottom w:val="single" w:sz="8" w:color="DBDBDB"/>
            </w:tcBorders>
            <w:shd w:val="clear" w:color="auto" w:fill="DBDBDB"/>
          </w:tcPr>
          <w:p>
            <w:pPr>
              <w:jc w:val="right"/>
              <w:ind w:right="372"/>
              <w:spacing w:after="0"/>
              <w:rPr>
                <w:sz w:val="20"/>
                <w:szCs w:val="20"/>
                <w:color w:val="auto"/>
              </w:rPr>
            </w:pPr>
            <w:r>
              <w:rPr>
                <w:rFonts w:ascii="Arial" w:cs="Arial" w:eastAsia="Arial" w:hAnsi="Arial"/>
                <w:sz w:val="18"/>
                <w:szCs w:val="18"/>
                <w:color w:val="auto"/>
              </w:rPr>
              <w:t>46,684</w:t>
            </w:r>
          </w:p>
        </w:tc>
        <w:tc>
          <w:tcPr>
            <w:tcW w:w="1500" w:type="dxa"/>
            <w:vAlign w:val="bottom"/>
            <w:tcBorders>
              <w:bottom w:val="single" w:sz="8" w:color="DBDBDB"/>
            </w:tcBorders>
            <w:shd w:val="clear" w:color="auto" w:fill="DBDBDB"/>
          </w:tcPr>
          <w:p>
            <w:pPr>
              <w:jc w:val="right"/>
              <w:ind w:right="193"/>
              <w:spacing w:after="0"/>
              <w:rPr>
                <w:sz w:val="20"/>
                <w:szCs w:val="20"/>
                <w:color w:val="auto"/>
              </w:rPr>
            </w:pPr>
            <w:r>
              <w:rPr>
                <w:rFonts w:ascii="Arial" w:cs="Arial" w:eastAsia="Arial" w:hAnsi="Arial"/>
                <w:sz w:val="18"/>
                <w:szCs w:val="18"/>
                <w:color w:val="auto"/>
              </w:rPr>
              <w:t>11,228</w:t>
            </w:r>
          </w:p>
        </w:tc>
      </w:tr>
      <w:tr>
        <w:trPr>
          <w:trHeight w:val="243"/>
        </w:trPr>
        <w:tc>
          <w:tcPr>
            <w:tcW w:w="3360" w:type="dxa"/>
            <w:vAlign w:val="bottom"/>
          </w:tcPr>
          <w:p>
            <w:pPr>
              <w:spacing w:after="0"/>
              <w:rPr>
                <w:sz w:val="21"/>
                <w:szCs w:val="21"/>
                <w:color w:val="auto"/>
              </w:rPr>
            </w:pP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3,000,089</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58,666</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11,493</w:t>
            </w:r>
          </w:p>
        </w:tc>
      </w:tr>
      <w:tr>
        <w:trPr>
          <w:trHeight w:val="27"/>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3360" w:type="dxa"/>
            <w:vAlign w:val="bottom"/>
            <w:shd w:val="clear" w:color="auto" w:fill="DBDBDB"/>
          </w:tcPr>
          <w:p>
            <w:pPr>
              <w:spacing w:after="0"/>
              <w:rPr>
                <w:sz w:val="18"/>
                <w:szCs w:val="18"/>
                <w:color w:val="auto"/>
              </w:rPr>
            </w:pPr>
          </w:p>
        </w:tc>
        <w:tc>
          <w:tcPr>
            <w:tcW w:w="25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Kyle M. Flessner</w:t>
            </w:r>
          </w:p>
        </w:tc>
        <w:tc>
          <w:tcPr>
            <w:tcW w:w="2500" w:type="dxa"/>
            <w:vAlign w:val="bottom"/>
          </w:tcPr>
          <w:p>
            <w:pPr>
              <w:jc w:val="center"/>
              <w:ind w:left="1091"/>
              <w:spacing w:after="0"/>
              <w:rPr>
                <w:sz w:val="20"/>
                <w:szCs w:val="20"/>
                <w:color w:val="auto"/>
              </w:rPr>
            </w:pPr>
            <w:r>
              <w:rPr>
                <w:rFonts w:ascii="Arial" w:cs="Arial" w:eastAsia="Arial" w:hAnsi="Arial"/>
                <w:sz w:val="18"/>
                <w:szCs w:val="18"/>
                <w:color w:val="auto"/>
                <w:w w:val="99"/>
              </w:rPr>
              <w:t>2021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3,600,131</w:t>
            </w:r>
          </w:p>
        </w:tc>
        <w:tc>
          <w:tcPr>
            <w:tcW w:w="1720" w:type="dxa"/>
            <w:vAlign w:val="bottom"/>
          </w:tcPr>
          <w:p>
            <w:pPr>
              <w:jc w:val="right"/>
              <w:ind w:right="372"/>
              <w:spacing w:after="0"/>
              <w:rPr>
                <w:sz w:val="20"/>
                <w:szCs w:val="20"/>
                <w:color w:val="auto"/>
              </w:rPr>
            </w:pPr>
            <w:r>
              <w:rPr>
                <w:rFonts w:ascii="Arial" w:cs="Arial" w:eastAsia="Arial" w:hAnsi="Arial"/>
                <w:sz w:val="18"/>
                <w:szCs w:val="18"/>
                <w:color w:val="auto"/>
              </w:rPr>
              <w:t>44,227</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10,637</w:t>
            </w:r>
          </w:p>
        </w:tc>
      </w:tr>
      <w:tr>
        <w:trPr>
          <w:trHeight w:val="27"/>
        </w:trPr>
        <w:tc>
          <w:tcPr>
            <w:tcW w:w="3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360" w:type="dxa"/>
            <w:vAlign w:val="bottom"/>
            <w:shd w:val="clear" w:color="auto" w:fill="DBDBDB"/>
          </w:tcPr>
          <w:p>
            <w:pPr>
              <w:spacing w:after="0"/>
              <w:rPr>
                <w:sz w:val="21"/>
                <w:szCs w:val="21"/>
                <w:color w:val="auto"/>
              </w:rPr>
            </w:pPr>
          </w:p>
        </w:tc>
        <w:tc>
          <w:tcPr>
            <w:tcW w:w="2500" w:type="dxa"/>
            <w:vAlign w:val="bottom"/>
            <w:shd w:val="clear" w:color="auto" w:fill="DBDBDB"/>
          </w:tcPr>
          <w:p>
            <w:pPr>
              <w:jc w:val="center"/>
              <w:ind w:left="1091"/>
              <w:spacing w:after="0"/>
              <w:rPr>
                <w:sz w:val="20"/>
                <w:szCs w:val="20"/>
                <w:color w:val="auto"/>
              </w:rPr>
            </w:pPr>
            <w:r>
              <w:rPr>
                <w:rFonts w:ascii="Arial" w:cs="Arial" w:eastAsia="Arial" w:hAnsi="Arial"/>
                <w:sz w:val="18"/>
                <w:szCs w:val="18"/>
                <w:color w:val="auto"/>
                <w:w w:val="99"/>
              </w:rPr>
              <w:t>2020</w:t>
            </w:r>
          </w:p>
        </w:tc>
        <w:tc>
          <w:tcPr>
            <w:tcW w:w="68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DBDBDB"/>
          </w:tcPr>
          <w:p>
            <w:pPr>
              <w:jc w:val="right"/>
              <w:ind w:right="232"/>
              <w:spacing w:after="0"/>
              <w:rPr>
                <w:sz w:val="20"/>
                <w:szCs w:val="20"/>
                <w:color w:val="auto"/>
              </w:rPr>
            </w:pPr>
            <w:r>
              <w:rPr>
                <w:rFonts w:ascii="Arial" w:cs="Arial" w:eastAsia="Arial" w:hAnsi="Arial"/>
                <w:sz w:val="18"/>
                <w:szCs w:val="18"/>
                <w:color w:val="auto"/>
              </w:rPr>
              <w:t>3,600,024</w:t>
            </w:r>
          </w:p>
        </w:tc>
        <w:tc>
          <w:tcPr>
            <w:tcW w:w="1720" w:type="dxa"/>
            <w:vAlign w:val="bottom"/>
            <w:shd w:val="clear" w:color="auto" w:fill="DBDBDB"/>
          </w:tcPr>
          <w:p>
            <w:pPr>
              <w:jc w:val="right"/>
              <w:ind w:right="372"/>
              <w:spacing w:after="0"/>
              <w:rPr>
                <w:sz w:val="20"/>
                <w:szCs w:val="20"/>
                <w:color w:val="auto"/>
              </w:rPr>
            </w:pPr>
            <w:r>
              <w:rPr>
                <w:rFonts w:ascii="Arial" w:cs="Arial" w:eastAsia="Arial" w:hAnsi="Arial"/>
                <w:sz w:val="18"/>
                <w:szCs w:val="18"/>
                <w:color w:val="auto"/>
              </w:rPr>
              <w:t>70,399</w:t>
            </w:r>
          </w:p>
        </w:tc>
        <w:tc>
          <w:tcPr>
            <w:tcW w:w="1500" w:type="dxa"/>
            <w:vAlign w:val="bottom"/>
            <w:shd w:val="clear" w:color="auto" w:fill="DBDBDB"/>
          </w:tcPr>
          <w:p>
            <w:pPr>
              <w:jc w:val="right"/>
              <w:ind w:right="193"/>
              <w:spacing w:after="0"/>
              <w:rPr>
                <w:sz w:val="20"/>
                <w:szCs w:val="20"/>
                <w:color w:val="auto"/>
              </w:rPr>
            </w:pPr>
            <w:r>
              <w:rPr>
                <w:rFonts w:ascii="Arial" w:cs="Arial" w:eastAsia="Arial" w:hAnsi="Arial"/>
                <w:sz w:val="18"/>
                <w:szCs w:val="18"/>
                <w:color w:val="auto"/>
              </w:rPr>
              <w:t>13,791</w:t>
            </w:r>
          </w:p>
        </w:tc>
      </w:tr>
      <w:tr>
        <w:trPr>
          <w:trHeight w:val="27"/>
        </w:trPr>
        <w:tc>
          <w:tcPr>
            <w:tcW w:w="3360" w:type="dxa"/>
            <w:vAlign w:val="bottom"/>
            <w:shd w:val="clear" w:color="auto" w:fill="DBDBDB"/>
          </w:tcPr>
          <w:p>
            <w:pPr>
              <w:spacing w:after="0"/>
              <w:rPr>
                <w:sz w:val="2"/>
                <w:szCs w:val="2"/>
                <w:color w:val="auto"/>
              </w:rPr>
            </w:pPr>
          </w:p>
        </w:tc>
        <w:tc>
          <w:tcPr>
            <w:tcW w:w="250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46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r>
    </w:tbl>
    <w:p>
      <w:pPr>
        <w:spacing w:after="0" w:line="202"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 Notes 1 and 2 to the summary compensation table for information on how grant date fair value was calculated.</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January 2021,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202"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204"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interests with those of shareholders.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exercise price of the options was the closing price of TI stock on January 28, 2021, the second trading day after the company released its annual and fourth-quarter financial results for 2020. All grants were made under the Texas Instruments 2009 Long-Term Incentive Plan, which shareholders approved in April 2009 and amended in 2016.</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All grants have the terms described under “Outstanding equity awards at fiscal year-end 2021.”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28</w:t>
      </w:r>
    </w:p>
    <w:p>
      <w:pPr>
        <w:sectPr>
          <w:pgSz w:w="11900" w:h="16838" w:orient="portrait"/>
          <w:cols w:equalWidth="0" w:num="1">
            <w:col w:w="11240"/>
          </w:cols>
          <w:pgMar w:left="320" w:top="98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Bonus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January 2022, the committee set the 2021 bonus compensation for executive officers based on its assessment of 2021 performance. In setting the bonuses, the committee used the following performance measures to assess the company:</w:t>
      </w:r>
    </w:p>
    <w:p>
      <w:pPr>
        <w:spacing w:after="0" w:line="19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operating profit as a percentage of revenue,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total shareholder return,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22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addition, the committee considered strategic progress by reviewing company and strategic positioning (including ESG), operating performance, and revenue growth, including TI competitiveness in key markets with core products and technologies, and the strength of relationships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NXP Semiconductors N.V.</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7"/>
          <w:szCs w:val="17"/>
          <w:color w:val="auto"/>
        </w:rPr>
        <w:t>ON Semiconductor Corporation</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Broadcom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Qorvo, Inc.</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Renesas Electronics Corporation</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Marvell Technology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Skyworks Solutions, Inc.</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STMicroelectronics N.V.</w:t>
      </w:r>
    </w:p>
    <w:p>
      <w:pPr>
        <w:spacing w:after="0" w:line="75" w:lineRule="exact"/>
        <w:rPr>
          <w:sz w:val="20"/>
          <w:szCs w:val="20"/>
          <w:color w:val="auto"/>
        </w:rPr>
      </w:pPr>
    </w:p>
    <w:p>
      <w:pPr>
        <w:sectPr>
          <w:pgSz w:w="11900" w:h="16838" w:orient="portrait"/>
          <w:cols w:equalWidth="0" w:num="2">
            <w:col w:w="4940" w:space="720"/>
            <w:col w:w="5580"/>
          </w:cols>
          <w:pgMar w:left="320" w:top="985" w:right="3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NVIDIA Corporation</w:t>
      </w:r>
    </w:p>
    <w:p>
      <w:pPr>
        <w:sectPr>
          <w:pgSz w:w="11900" w:h="16838" w:orient="portrait"/>
          <w:cols w:equalWidth="0" w:num="1">
            <w:col w:w="11240"/>
          </w:cols>
          <w:pgMar w:left="320" w:top="985" w:right="339" w:bottom="1440" w:gutter="0" w:footer="0" w:header="0"/>
          <w:type w:val="continuous"/>
        </w:sectPr>
      </w:pPr>
    </w:p>
    <w:p>
      <w:pPr>
        <w:spacing w:after="0" w:line="3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2021.</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2021, Maxim Integrated Products, Inc. and Xilinx, Inc. were removed from the list because of acquisitions. Consequently, the committee added Qorvo, Inc. and Renesas Electronics Corporation.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Assessment of 2021 performance</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 spent extensive time in December and January assessing TI’s results and strategic progress for 2021.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On an absolute basis, revenue and operating profit margin were both positive, with operating profit being better than median relative to competitors while revenue remained below median. TSR was also positive on an absolute basis and below median relative to competitors. Free cash flow for the year was $6.3 billion and 34.3% of revenue. In aggregate, the committee determined that the company continued to strengthen its strategic position and operating performance, while also growing 2021 revenue. Therefore, the committee targeted a bonus increase of 10% for 2021. Details on the committee’s assessment are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progress</w:t>
      </w:r>
    </w:p>
    <w:p>
      <w:pPr>
        <w:spacing w:after="0" w:line="243" w:lineRule="exact"/>
        <w:rPr>
          <w:sz w:val="20"/>
          <w:szCs w:val="20"/>
          <w:color w:val="auto"/>
        </w:rPr>
      </w:pPr>
    </w:p>
    <w:p>
      <w:pPr>
        <w:ind w:left="660" w:right="66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29</w:t>
      </w:r>
    </w:p>
    <w:p>
      <w:pPr>
        <w:sectPr>
          <w:pgSz w:w="11900" w:h="16838" w:orient="portrait"/>
          <w:cols w:equalWidth="0" w:num="1">
            <w:col w:w="11240"/>
          </w:cols>
          <w:pgMar w:left="320" w:top="985" w:right="339" w:bottom="1440" w:gutter="0" w:footer="0" w:header="0"/>
          <w:type w:val="continuous"/>
        </w:sectPr>
      </w:pPr>
    </w:p>
    <w:bookmarkStart w:id="30" w:name="page31"/>
    <w:bookmarkEnd w:id="30"/>
    <w:p>
      <w:pPr>
        <w:ind w:left="660" w:right="80" w:hanging="328"/>
        <w:spacing w:after="0" w:line="25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2021, the company continued investing to strengthen and leverage these advantages for the long-term.</w:t>
      </w:r>
    </w:p>
    <w:p>
      <w:pPr>
        <w:spacing w:after="0" w:line="43" w:lineRule="exact"/>
        <w:rPr>
          <w:rFonts w:ascii="Arial" w:cs="Arial" w:eastAsia="Arial" w:hAnsi="Arial"/>
          <w:sz w:val="18"/>
          <w:szCs w:val="18"/>
          <w:color w:val="auto"/>
        </w:rPr>
      </w:pPr>
    </w:p>
    <w:p>
      <w:pPr>
        <w:ind w:left="660" w:right="300" w:hanging="328"/>
        <w:spacing w:after="0" w:line="278" w:lineRule="auto"/>
        <w:tabs>
          <w:tab w:leader="none" w:pos="6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company’s strategic focus is on analog and embedded processing products sold into six end markets: industrial, automotive, personal electronics, communications equipment, enterprise systems and other. In 2021, the company continued the disciplined allocation of R&amp;D spending to strengthen its product portfolio, building on the existing foundation for near- and long-term results.</w:t>
      </w:r>
    </w:p>
    <w:p>
      <w:pPr>
        <w:spacing w:after="0" w:line="22" w:lineRule="exact"/>
        <w:rPr>
          <w:rFonts w:ascii="Arial" w:cs="Arial" w:eastAsia="Arial" w:hAnsi="Arial"/>
          <w:sz w:val="17"/>
          <w:szCs w:val="17"/>
          <w:color w:val="auto"/>
        </w:rPr>
      </w:pPr>
    </w:p>
    <w:p>
      <w:pPr>
        <w:ind w:left="980" w:right="20" w:hanging="324"/>
        <w:spacing w:after="0" w:line="256" w:lineRule="auto"/>
        <w:tabs>
          <w:tab w:leader="none" w:pos="9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2021, greater than 90% of TI’s revenue came from analog and embedded processing semiconductors.</w:t>
      </w:r>
    </w:p>
    <w:p>
      <w:pPr>
        <w:spacing w:after="0" w:line="39" w:lineRule="exact"/>
        <w:rPr>
          <w:rFonts w:ascii="Arial" w:cs="Arial" w:eastAsia="Arial" w:hAnsi="Arial"/>
          <w:sz w:val="18"/>
          <w:szCs w:val="18"/>
          <w:color w:val="auto"/>
        </w:rPr>
      </w:pPr>
    </w:p>
    <w:p>
      <w:pPr>
        <w:ind w:left="980" w:right="20" w:hanging="324"/>
        <w:spacing w:after="0" w:line="256" w:lineRule="auto"/>
        <w:tabs>
          <w:tab w:leader="none" w:pos="9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places additional strategic emphasis on designing and selling products into the industrial and automotive markets, which it believes represent the best growth opportunity because of the increasing semiconductor content in these markets. In 2021, approximately 62% of TI’s revenue came from industrial and automotive markets.</w:t>
      </w:r>
    </w:p>
    <w:p>
      <w:pPr>
        <w:spacing w:after="0" w:line="39"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35"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TI’s in-house capability to manufacture semiconductors remains a competitive advantage by providing lower costs and greater control of the supply chain. In 2021, TI continued to invest to strengthen its competitive advantage in manufacturing and technology as part of the company's long-term capacity planning. For example, the company continued construction of its new 300-millimeter wafer fabrication facility in Richardson, Texas and purchased its fourth 300-millimeter wafer fabrication facility in Lehi, Utah. In addition, the company announced plans to begin construction in 2022 on its next two 300-millimeter wafer fabs in Sherman, Texas.</w:t>
      </w:r>
    </w:p>
    <w:p>
      <w:pPr>
        <w:spacing w:after="0" w:line="30" w:lineRule="exact"/>
        <w:rPr>
          <w:rFonts w:ascii="Arial" w:cs="Arial" w:eastAsia="Arial" w:hAnsi="Arial"/>
          <w:sz w:val="17"/>
          <w:szCs w:val="17"/>
          <w:color w:val="auto"/>
        </w:rPr>
      </w:pPr>
    </w:p>
    <w:p>
      <w:pPr>
        <w:ind w:left="660" w:right="40" w:hanging="328"/>
        <w:spacing w:after="0" w:line="25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2021, the company continued to make progress in building closer, direct relationships with its customers to further strengthen and extend its reach of market channels. The company continues to build on multi-year investments in its sales and applications team, TI.com, business processes and logistics to build closer direct relationships with its customers The company's percent of direct semiconductor revenue grew from 35% in 2019 to 64% in 2021. In addition, the company continued to invest in TI.com, delivering additional customer convenience for online sales. TI’s reach of market channels provides access to more customers and more of their design projects, leading to the opportunity to sell more TI products into each design, and also provides better insight and knowledge of customers’ needs and design trends.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margin</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81" w:lineRule="exact"/>
        <w:rPr>
          <w:rFonts w:ascii="Arial" w:cs="Arial" w:eastAsia="Arial" w:hAnsi="Arial"/>
          <w:sz w:val="18"/>
          <w:szCs w:val="18"/>
          <w:color w:val="auto"/>
        </w:rPr>
      </w:pPr>
    </w:p>
    <w:p>
      <w:pPr>
        <w:ind w:left="980" w:right="260" w:hanging="324"/>
        <w:spacing w:after="0" w:line="256" w:lineRule="auto"/>
        <w:tabs>
          <w:tab w:leader="none" w:pos="97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TI’s revenue was higher in 2021 than in the prior year, increasing by 26.9%, and was slightly below the median growth rate of competitor companies. It is important to note that the median growth rate of competitor companies includes the benefit of acquisitions, whereas TI’s growth rate is entirely organic.</w:t>
      </w:r>
    </w:p>
    <w:p>
      <w:pPr>
        <w:spacing w:after="0" w:line="39" w:lineRule="exact"/>
        <w:rPr>
          <w:rFonts w:ascii="Arial" w:cs="Arial" w:eastAsia="Arial" w:hAnsi="Arial"/>
          <w:sz w:val="18"/>
          <w:szCs w:val="18"/>
          <w:color w:val="auto"/>
        </w:rPr>
      </w:pPr>
    </w:p>
    <w:p>
      <w:pPr>
        <w:ind w:left="980" w:hanging="324"/>
        <w:spacing w:after="0"/>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Revenues for the company’s core businesses of analog and embedded processing increased 29.1% and 18.6%, respectively.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Operating profit margin was 48.8%, which was above both the prior year’s margin and the median comparison with competitors.</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81" w:lineRule="exact"/>
        <w:rPr>
          <w:rFonts w:ascii="Arial" w:cs="Arial" w:eastAsia="Arial" w:hAnsi="Arial"/>
          <w:sz w:val="18"/>
          <w:szCs w:val="18"/>
          <w:color w:val="auto"/>
        </w:rPr>
      </w:pPr>
    </w:p>
    <w:p>
      <w:pPr>
        <w:ind w:left="980" w:hanging="324"/>
        <w:spacing w:after="0" w:line="256" w:lineRule="auto"/>
        <w:tabs>
          <w:tab w:leader="none" w:pos="976"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Compound annual revenue growth for 2019-2021 was 5.1%, which was below the median competitor comparison. It is important to note that the median growth rate of competitor companies includes the benefit of acquisitions, whereas TI’s growth rate is entirely organic.</w:t>
      </w:r>
    </w:p>
    <w:p>
      <w:pPr>
        <w:spacing w:after="0" w:line="39" w:lineRule="exact"/>
        <w:rPr>
          <w:rFonts w:ascii="Arial" w:cs="Arial" w:eastAsia="Arial" w:hAnsi="Arial"/>
          <w:sz w:val="18"/>
          <w:szCs w:val="18"/>
          <w:color w:val="auto"/>
        </w:rPr>
      </w:pPr>
    </w:p>
    <w:p>
      <w:pPr>
        <w:ind w:left="980" w:hanging="324"/>
        <w:spacing w:after="0"/>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Average operating profit for 2019-2021 was 43.6%, which was above the median competitor comparison.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2022 PROXY STATEMENT • PAGE 30</w:t>
      </w:r>
    </w:p>
    <w:p>
      <w:pPr>
        <w:sectPr>
          <w:pgSz w:w="11900" w:h="16838" w:orient="portrait"/>
          <w:cols w:equalWidth="0" w:num="1">
            <w:col w:w="11180"/>
          </w:cols>
          <w:pgMar w:left="320" w:top="841"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Total shareholder return (TSR)</w:t>
      </w:r>
    </w:p>
    <w:p>
      <w:pPr>
        <w:spacing w:after="0" w:line="24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TSR was 17.5%, below the median TSR as compared with competitor companies.</w:t>
      </w:r>
    </w:p>
    <w:p>
      <w:pPr>
        <w:spacing w:after="0" w:line="52"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34.3% of revenue.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company returned $4.41 billion to shareholders in 2021 through share repurchases and dividends. The company used $527 million to repurchase 2.9 million shares of stock. Dividends represented 62% of free cash flow, and the quarterly dividend rate increased 12.7% (the 20th increase in the last 18 years). Share repurchases and dividend increases are important elements of TI’s capital management strategy.</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$9.7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29.3%, below the median competitor comparison.</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123" w:lineRule="exact"/>
        <w:rPr>
          <w:sz w:val="20"/>
          <w:szCs w:val="20"/>
          <w:color w:val="auto"/>
        </w:rPr>
      </w:pPr>
    </w:p>
    <w:p>
      <w:pPr>
        <w:ind w:left="5100"/>
        <w:spacing w:after="0"/>
        <w:tabs>
          <w:tab w:leader="none" w:pos="6520" w:val="left"/>
        </w:tabs>
        <w:rPr>
          <w:sz w:val="20"/>
          <w:szCs w:val="20"/>
          <w:color w:val="auto"/>
        </w:rPr>
      </w:pPr>
      <w:r>
        <w:rPr>
          <w:rFonts w:ascii="Arial" w:cs="Arial" w:eastAsia="Arial" w:hAnsi="Arial"/>
          <w:sz w:val="14"/>
          <w:szCs w:val="14"/>
          <w:b w:val="1"/>
          <w:bCs w:val="1"/>
          <w:color w:val="auto"/>
        </w:rPr>
        <w:t>1-Year</w:t>
      </w:r>
      <w:r>
        <w:rPr>
          <w:sz w:val="20"/>
          <w:szCs w:val="20"/>
          <w:color w:val="auto"/>
        </w:rPr>
        <w:tab/>
      </w:r>
      <w:r>
        <w:rPr>
          <w:rFonts w:ascii="Arial" w:cs="Arial" w:eastAsia="Arial" w:hAnsi="Arial"/>
          <w:sz w:val="13"/>
          <w:szCs w:val="13"/>
          <w:b w:val="1"/>
          <w:bCs w:val="1"/>
          <w:color w:val="auto"/>
        </w:rPr>
        <w:t>3-Year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26035</wp:posOffset>
            </wp:positionV>
            <wp:extent cx="408876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88765" cy="17970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p>
      <w:pPr>
        <w:spacing w:after="0" w:line="8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Revenue growth: total TI</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margin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Free cash flow as % of revenue</w:t>
      </w:r>
    </w:p>
    <w:p>
      <w:pPr>
        <w:spacing w:after="0" w:line="75" w:lineRule="exact"/>
        <w:rPr>
          <w:sz w:val="20"/>
          <w:szCs w:val="20"/>
          <w:color w:val="auto"/>
        </w:rPr>
      </w:pPr>
    </w:p>
    <w:p>
      <w:pPr>
        <w:ind w:left="1320" w:right="580" w:firstLine="2"/>
        <w:spacing w:after="0" w:line="261" w:lineRule="auto"/>
        <w:tabs>
          <w:tab w:leader="none" w:pos="1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free cash flow returned to shareholders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26.9%</w:t>
            </w:r>
          </w:p>
        </w:tc>
        <w:tc>
          <w:tcPr>
            <w:tcW w:w="1580" w:type="dxa"/>
            <w:vAlign w:val="bottom"/>
          </w:tcPr>
          <w:p>
            <w:pPr>
              <w:jc w:val="center"/>
              <w:ind w:left="250"/>
              <w:spacing w:after="0"/>
              <w:rPr>
                <w:sz w:val="20"/>
                <w:szCs w:val="20"/>
                <w:color w:val="auto"/>
              </w:rPr>
            </w:pPr>
            <w:r>
              <w:rPr>
                <w:rFonts w:ascii="Arial" w:cs="Arial" w:eastAsia="Arial" w:hAnsi="Arial"/>
                <w:sz w:val="18"/>
                <w:szCs w:val="18"/>
                <w:color w:val="auto"/>
                <w:w w:val="97"/>
              </w:rPr>
              <w:t>5.1% CAGR</w:t>
            </w:r>
          </w:p>
        </w:tc>
      </w:tr>
      <w:tr>
        <w:trPr>
          <w:trHeight w:val="27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48.8%</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43.6% average</w:t>
            </w:r>
          </w:p>
        </w:tc>
      </w:tr>
      <w:tr>
        <w:trPr>
          <w:trHeight w:val="270"/>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34.3%</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37.3% average</w:t>
            </w:r>
          </w:p>
        </w:tc>
      </w:tr>
      <w:tr>
        <w:trPr>
          <w:trHeight w:val="378"/>
        </w:trPr>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70.1%</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93.0% average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-393700</wp:posOffset>
            </wp:positionV>
            <wp:extent cx="408876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88765" cy="17145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4340" w:space="720"/>
            <w:col w:w="6160"/>
          </w:cols>
          <w:pgMar w:left="320" w:top="985" w:right="359" w:bottom="1440" w:gutter="0" w:footer="0" w:header="0"/>
          <w:type w:val="continuous"/>
        </w:sectPr>
      </w:pPr>
    </w:p>
    <w:tbl>
      <w:tblPr>
        <w:tblLayout w:type="fixed"/>
        <w:tblInd w:w="1300" w:type="dxa"/>
        <w:tblCellMar>
          <w:top w:w="0" w:type="dxa"/>
          <w:left w:w="0" w:type="dxa"/>
          <w:bottom w:w="0" w:type="dxa"/>
          <w:right w:w="0" w:type="dxa"/>
        </w:tblCellMar>
      </w:tblPr>
      <w:tr>
        <w:trPr>
          <w:trHeight w:val="250"/>
        </w:trPr>
        <w:tc>
          <w:tcPr>
            <w:tcW w:w="3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Increase in quarterly dividend rate</w:t>
            </w:r>
          </w:p>
        </w:tc>
        <w:tc>
          <w:tcPr>
            <w:tcW w:w="1360" w:type="dxa"/>
            <w:vAlign w:val="bottom"/>
            <w:tcBorders>
              <w:bottom w:val="single" w:sz="8" w:color="DBDBDB"/>
            </w:tcBorders>
            <w:shd w:val="clear" w:color="auto" w:fill="DBDBDB"/>
          </w:tcPr>
          <w:p>
            <w:pPr>
              <w:jc w:val="right"/>
              <w:ind w:right="250"/>
              <w:spacing w:after="0"/>
              <w:rPr>
                <w:sz w:val="20"/>
                <w:szCs w:val="20"/>
                <w:color w:val="auto"/>
              </w:rPr>
            </w:pPr>
            <w:r>
              <w:rPr>
                <w:rFonts w:ascii="Arial" w:cs="Arial" w:eastAsia="Arial" w:hAnsi="Arial"/>
                <w:sz w:val="18"/>
                <w:szCs w:val="18"/>
                <w:color w:val="auto"/>
              </w:rPr>
              <w:t>12.7%</w:t>
            </w:r>
          </w:p>
        </w:tc>
        <w:tc>
          <w:tcPr>
            <w:tcW w:w="1840" w:type="dxa"/>
            <w:vAlign w:val="bottom"/>
            <w:tcBorders>
              <w:bottom w:val="single" w:sz="8" w:color="DBDBDB"/>
            </w:tcBorders>
            <w:shd w:val="clear" w:color="auto" w:fill="DBDBDB"/>
          </w:tcPr>
          <w:p>
            <w:pPr>
              <w:jc w:val="right"/>
              <w:ind w:right="850"/>
              <w:spacing w:after="0"/>
              <w:rPr>
                <w:sz w:val="20"/>
                <w:szCs w:val="20"/>
                <w:color w:val="auto"/>
              </w:rPr>
            </w:pPr>
            <w:r>
              <w:rPr>
                <w:rFonts w:ascii="Arial" w:cs="Arial" w:eastAsia="Arial" w:hAnsi="Arial"/>
                <w:sz w:val="18"/>
                <w:szCs w:val="18"/>
                <w:color w:val="auto"/>
              </w:rPr>
              <w:t>49.4%</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Total shareholder return (TSR)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17.5%</w:t>
            </w:r>
          </w:p>
        </w:tc>
        <w:tc>
          <w:tcPr>
            <w:tcW w:w="1840" w:type="dxa"/>
            <w:vAlign w:val="bottom"/>
          </w:tcPr>
          <w:p>
            <w:pPr>
              <w:jc w:val="right"/>
              <w:ind w:right="850"/>
              <w:spacing w:after="0"/>
              <w:rPr>
                <w:sz w:val="20"/>
                <w:szCs w:val="20"/>
                <w:color w:val="auto"/>
              </w:rPr>
            </w:pPr>
            <w:r>
              <w:rPr>
                <w:rFonts w:ascii="Arial" w:cs="Arial" w:eastAsia="Arial" w:hAnsi="Arial"/>
                <w:sz w:val="18"/>
                <w:szCs w:val="18"/>
                <w:color w:val="auto"/>
              </w:rPr>
              <w:t>29.3 %</w:t>
            </w: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CAGR (compound annual growth rate) is calculated using the formula (Ending Value/Beginning Value)</w:t>
      </w:r>
      <w:r>
        <w:rPr>
          <w:rFonts w:ascii="Arial" w:cs="Arial" w:eastAsia="Arial" w:hAnsi="Arial"/>
          <w:sz w:val="20"/>
          <w:szCs w:val="20"/>
          <w:color w:val="auto"/>
          <w:vertAlign w:val="superscript"/>
        </w:rPr>
        <w:t>1/number of years</w:t>
      </w:r>
      <w:r>
        <w:rPr>
          <w:rFonts w:ascii="Arial" w:cs="Arial" w:eastAsia="Arial" w:hAnsi="Arial"/>
          <w:sz w:val="17"/>
          <w:szCs w:val="17"/>
          <w:color w:val="auto"/>
        </w:rPr>
        <w:t xml:space="preserve"> minus 1.</w:t>
      </w:r>
    </w:p>
    <w:p>
      <w:pPr>
        <w:spacing w:after="0" w:line="94" w:lineRule="exact"/>
        <w:rPr>
          <w:sz w:val="20"/>
          <w:szCs w:val="20"/>
          <w:color w:val="auto"/>
        </w:rPr>
      </w:pPr>
    </w:p>
    <w:p>
      <w:pPr>
        <w:ind w:left="1300" w:right="140"/>
        <w:spacing w:after="0" w:line="261" w:lineRule="auto"/>
        <w:rPr>
          <w:sz w:val="20"/>
          <w:szCs w:val="20"/>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Ilan is responsible for all business and sales operations, information technology, and global technology and manufacturing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noted the financial performance and strategic position of the product lines and activities for which he was responsible.</w:t>
      </w:r>
    </w:p>
    <w:p>
      <w:pPr>
        <w:spacing w:after="0" w:line="22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Mr. Kozanian is responsible for our analog signal chain product line within our analog business. The committee noted the financial performance and strategic position of this product line.</w:t>
      </w:r>
    </w:p>
    <w:p>
      <w:pPr>
        <w:spacing w:after="0" w:line="19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Flessner is responsible for our semiconductor technology and manufacturing operations. The committee noted the performance of those operations, including their cost-competitiveness and inventory management.</w:t>
      </w:r>
    </w:p>
    <w:p>
      <w:pPr>
        <w:spacing w:after="0" w:line="19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bonuses awarded for 2021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6" w:lineRule="exact"/>
        <w:rPr>
          <w:sz w:val="20"/>
          <w:szCs w:val="20"/>
          <w:color w:val="auto"/>
        </w:rPr>
      </w:pPr>
    </w:p>
    <w:p>
      <w:pPr>
        <w:ind w:right="500" w:firstLine="8"/>
        <w:spacing w:after="0" w:line="212" w:lineRule="auto"/>
        <w:tabs>
          <w:tab w:leader="none" w:pos="115" w:val="left"/>
        </w:tabs>
        <w:numPr>
          <w:ilvl w:val="0"/>
          <w:numId w:val="65"/>
        </w:numPr>
        <w:rPr>
          <w:rFonts w:ascii="Arial" w:cs="Arial" w:eastAsia="Arial" w:hAnsi="Arial"/>
          <w:sz w:val="23"/>
          <w:szCs w:val="23"/>
          <w:color w:val="auto"/>
          <w:vertAlign w:val="superscript"/>
        </w:rPr>
      </w:pPr>
      <w:r>
        <w:rPr>
          <w:rFonts w:ascii="Arial" w:cs="Arial" w:eastAsia="Arial" w:hAnsi="Arial"/>
          <w:sz w:val="16"/>
          <w:szCs w:val="16"/>
          <w:color w:val="auto"/>
        </w:rPr>
        <w:t>Free cash flow was calculated by subtracting Capital expenditures from the GAAP-based Cash flows from operating activities. For a reconciliation to GAAP, see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31</w:t>
      </w:r>
    </w:p>
    <w:p>
      <w:pPr>
        <w:sectPr>
          <w:pgSz w:w="11900" w:h="16838" w:orient="portrait"/>
          <w:cols w:equalWidth="0" w:num="1">
            <w:col w:w="11220"/>
          </w:cols>
          <w:pgMar w:left="320" w:top="985" w:right="359" w:bottom="1440" w:gutter="0" w:footer="0" w:header="0"/>
          <w:type w:val="continuous"/>
        </w:sectPr>
      </w:pPr>
    </w:p>
    <w:bookmarkStart w:id="32" w:name="page33"/>
    <w:bookmarkEnd w:id="32"/>
    <w:p>
      <w:pPr>
        <w:ind w:right="300"/>
        <w:spacing w:after="0" w:line="256" w:lineRule="auto"/>
        <w:rPr>
          <w:sz w:val="20"/>
          <w:szCs w:val="20"/>
          <w:color w:val="auto"/>
        </w:rPr>
      </w:pPr>
      <w:r>
        <w:rPr>
          <w:rFonts w:ascii="Arial" w:cs="Arial" w:eastAsia="Arial" w:hAnsi="Arial"/>
          <w:sz w:val="18"/>
          <w:szCs w:val="18"/>
          <w:color w:val="auto"/>
        </w:rPr>
        <w:t>In September 2021, the committee approved one-time, off-cycle cash bonuses in an amount equal to 10% of base salary for certain employees and executive officers, including Messrs. Kozanian and Flessner, in recognition of their extraordinary efforts to manage issues related to the semiconductor supply shortage.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432"/>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4"/>
                <w:szCs w:val="1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Profit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(Grant Date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22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b w:val="1"/>
                <w:bCs w:val="1"/>
                <w:color w:val="auto"/>
                <w:w w:val="98"/>
              </w:rPr>
              <w:t>Year</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(Annual Rate)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Sharing</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Bonus</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49"/>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275,333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4,125,000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13,000,129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18,780,462</w:t>
            </w:r>
          </w:p>
        </w:tc>
      </w:tr>
      <w:tr>
        <w:trPr>
          <w:trHeight w:val="243"/>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1,340,000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267,333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3,745,000</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13,000,042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18,352,375</w:t>
            </w:r>
          </w:p>
        </w:tc>
      </w:tr>
      <w:tr>
        <w:trPr>
          <w:trHeight w:val="27"/>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2019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1,300,000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259,167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3,550,000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13,000,057</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18,109,224</w:t>
            </w:r>
          </w:p>
        </w:tc>
      </w:tr>
      <w:tr>
        <w:trPr>
          <w:trHeight w:val="216"/>
        </w:trPr>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740,000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147,333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1,100,000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3,300,173</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5,287,506</w:t>
            </w:r>
          </w:p>
        </w:tc>
      </w:tr>
      <w:tr>
        <w:trPr>
          <w:trHeight w:val="243"/>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139,333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3,300,044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5,139,377</w:t>
            </w:r>
          </w:p>
        </w:tc>
      </w:tr>
      <w:tr>
        <w:trPr>
          <w:trHeight w:val="27"/>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2019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660,000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131,000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950,000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3,000,064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4,741,064</w:t>
            </w:r>
          </w:p>
        </w:tc>
      </w:tr>
      <w:tr>
        <w:trPr>
          <w:trHeight w:val="216"/>
        </w:trPr>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880,000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175,500</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1,875,000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7,000,036</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9,930,536</w:t>
            </w:r>
          </w:p>
        </w:tc>
      </w:tr>
      <w:tr>
        <w:trPr>
          <w:trHeight w:val="243"/>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155,833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1,700,000</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4,500,043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7,205,876</w:t>
            </w:r>
          </w:p>
        </w:tc>
      </w:tr>
      <w:tr>
        <w:trPr>
          <w:trHeight w:val="27"/>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3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2019</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715,000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142,333</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1,140,000</w:t>
            </w:r>
          </w:p>
        </w:tc>
        <w:tc>
          <w:tcPr>
            <w:tcW w:w="2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3,800,062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5,797,395</w:t>
            </w:r>
          </w:p>
        </w:tc>
      </w:tr>
      <w:tr>
        <w:trPr>
          <w:trHeight w:val="216"/>
        </w:trPr>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220" w:type="dxa"/>
            <w:vAlign w:val="bottom"/>
            <w:tcBorders>
              <w:bottom w:val="single" w:sz="8" w:color="DBDBDB"/>
            </w:tcBorders>
            <w:shd w:val="clear" w:color="auto" w:fill="DBDBDB"/>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680,000</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134,667</w:t>
            </w:r>
          </w:p>
        </w:tc>
        <w:tc>
          <w:tcPr>
            <w:tcW w:w="40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1,393,000</w:t>
            </w:r>
          </w:p>
        </w:tc>
        <w:tc>
          <w:tcPr>
            <w:tcW w:w="20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8"/>
                <w:szCs w:val="18"/>
                <w:color w:val="auto"/>
              </w:rPr>
              <w:t>3,800,144</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6,007,811</w:t>
            </w:r>
          </w:p>
        </w:tc>
      </w:tr>
      <w:tr>
        <w:trPr>
          <w:trHeight w:val="243"/>
        </w:trPr>
        <w:tc>
          <w:tcPr>
            <w:tcW w:w="2320" w:type="dxa"/>
            <w:vAlign w:val="bottom"/>
          </w:tcPr>
          <w:p>
            <w:pPr>
              <w:spacing w:after="0"/>
              <w:rPr>
                <w:sz w:val="21"/>
                <w:szCs w:val="21"/>
                <w:color w:val="auto"/>
              </w:rPr>
            </w:pP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118,750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3,000,089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4,918,839</w:t>
            </w:r>
          </w:p>
        </w:tc>
      </w:tr>
      <w:tr>
        <w:trPr>
          <w:trHeight w:val="27"/>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23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Kyle M. Flessner</w:t>
            </w:r>
          </w:p>
        </w:tc>
        <w:tc>
          <w:tcPr>
            <w:tcW w:w="1220" w:type="dxa"/>
            <w:vAlign w:val="bottom"/>
          </w:tcPr>
          <w:p>
            <w:pPr>
              <w:jc w:val="center"/>
              <w:ind w:left="291"/>
              <w:spacing w:after="0"/>
              <w:rPr>
                <w:sz w:val="20"/>
                <w:szCs w:val="20"/>
                <w:color w:val="auto"/>
              </w:rPr>
            </w:pPr>
            <w:r>
              <w:rPr>
                <w:rFonts w:ascii="Arial" w:cs="Arial" w:eastAsia="Arial" w:hAnsi="Arial"/>
                <w:sz w:val="18"/>
                <w:szCs w:val="18"/>
                <w:color w:val="auto"/>
                <w:w w:val="99"/>
              </w:rPr>
              <w:t>2021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139,333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3,600,131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5,834,464</w:t>
            </w:r>
          </w:p>
        </w:tc>
      </w:tr>
      <w:tr>
        <w:trPr>
          <w:trHeight w:val="27"/>
        </w:trPr>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320" w:type="dxa"/>
            <w:vAlign w:val="bottom"/>
            <w:shd w:val="clear" w:color="auto" w:fill="DBDBDB"/>
          </w:tcPr>
          <w:p>
            <w:pPr>
              <w:spacing w:after="0"/>
              <w:rPr>
                <w:sz w:val="21"/>
                <w:szCs w:val="21"/>
                <w:color w:val="auto"/>
              </w:rPr>
            </w:pPr>
          </w:p>
        </w:tc>
        <w:tc>
          <w:tcPr>
            <w:tcW w:w="1220" w:type="dxa"/>
            <w:vAlign w:val="bottom"/>
            <w:shd w:val="clear" w:color="auto" w:fill="DBDBDB"/>
          </w:tcPr>
          <w:p>
            <w:pPr>
              <w:jc w:val="center"/>
              <w:ind w:left="291"/>
              <w:spacing w:after="0"/>
              <w:rPr>
                <w:sz w:val="20"/>
                <w:szCs w:val="20"/>
                <w:color w:val="auto"/>
              </w:rPr>
            </w:pPr>
            <w:r>
              <w:rPr>
                <w:rFonts w:ascii="Arial" w:cs="Arial" w:eastAsia="Arial" w:hAnsi="Arial"/>
                <w:sz w:val="18"/>
                <w:szCs w:val="18"/>
                <w:color w:val="auto"/>
                <w:w w:val="99"/>
              </w:rPr>
              <w:t>2020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660,000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ind w:right="72"/>
              <w:spacing w:after="0"/>
              <w:rPr>
                <w:sz w:val="20"/>
                <w:szCs w:val="20"/>
                <w:color w:val="auto"/>
              </w:rPr>
            </w:pPr>
            <w:r>
              <w:rPr>
                <w:rFonts w:ascii="Arial" w:cs="Arial" w:eastAsia="Arial" w:hAnsi="Arial"/>
                <w:sz w:val="18"/>
                <w:szCs w:val="18"/>
                <w:color w:val="auto"/>
              </w:rPr>
              <w:t>131,000</w:t>
            </w:r>
          </w:p>
        </w:tc>
        <w:tc>
          <w:tcPr>
            <w:tcW w:w="4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shd w:val="clear" w:color="auto" w:fill="DBDBDB"/>
          </w:tcPr>
          <w:p>
            <w:pPr>
              <w:spacing w:after="0"/>
              <w:rPr>
                <w:sz w:val="21"/>
                <w:szCs w:val="21"/>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ind w:right="74"/>
              <w:spacing w:after="0"/>
              <w:rPr>
                <w:sz w:val="20"/>
                <w:szCs w:val="20"/>
                <w:color w:val="auto"/>
              </w:rPr>
            </w:pPr>
            <w:r>
              <w:rPr>
                <w:rFonts w:ascii="Arial" w:cs="Arial" w:eastAsia="Arial" w:hAnsi="Arial"/>
                <w:sz w:val="18"/>
                <w:szCs w:val="18"/>
                <w:color w:val="auto"/>
              </w:rPr>
              <w:t>3,600,024</w:t>
            </w:r>
          </w:p>
        </w:tc>
        <w:tc>
          <w:tcPr>
            <w:tcW w:w="4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5,591,024</w:t>
            </w:r>
          </w:p>
        </w:tc>
      </w:tr>
      <w:tr>
        <w:trPr>
          <w:trHeight w:val="27"/>
        </w:trPr>
        <w:tc>
          <w:tcPr>
            <w:tcW w:w="232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r>
    </w:tbl>
    <w:p>
      <w:pPr>
        <w:spacing w:after="0" w:line="256" w:lineRule="exact"/>
        <w:rPr>
          <w:sz w:val="20"/>
          <w:szCs w:val="20"/>
          <w:color w:val="auto"/>
        </w:rPr>
      </w:pPr>
    </w:p>
    <w:p>
      <w:pPr>
        <w:ind w:left="340" w:right="200" w:hanging="332"/>
        <w:spacing w:after="0" w:line="256" w:lineRule="auto"/>
        <w:tabs>
          <w:tab w:leader="none" w:pos="2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performance bonus awarded for 2021 in the amount of $1,325,000 for Mr. Kozanian and $1,325,000 for Mr. Flessner, and a one-time cash bonus of $68,000 for Mr. Kozanian and $70,000 for Mr. Flessner for extraordinary effort managing issues related to the semiconductor supply shortage.</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Please see Notes 1 and 2 to the summary compensation table for information about how grant date fair value was calculated.</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Messrs. Ilan and Kozanian, the “Total” for 2021 was higher than 2020 primarily due to higher equity awards in 2021, reflecting an effort to align with the projected market range for similarly situated executives in our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32</w:t>
      </w:r>
    </w:p>
    <w:p>
      <w:pPr>
        <w:sectPr>
          <w:pgSz w:w="11900" w:h="16838" w:orient="portrait"/>
          <w:cols w:equalWidth="0" w:num="1">
            <w:col w:w="11220"/>
          </w:cols>
          <w:pgMar w:left="320" w:top="78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compensation decisions shown above resulted in the following 2021 compensation mix for the named executive officers:</w:t>
      </w:r>
    </w:p>
    <w:p>
      <w:pPr>
        <w:spacing w:after="0" w:line="252" w:lineRule="exact"/>
        <w:rPr>
          <w:sz w:val="20"/>
          <w:szCs w:val="20"/>
          <w:color w:val="auto"/>
        </w:rPr>
      </w:pPr>
    </w:p>
    <w:p>
      <w:pPr>
        <w:ind w:left="4720"/>
        <w:spacing w:after="0"/>
        <w:tabs>
          <w:tab w:leader="none" w:pos="6820" w:val="left"/>
        </w:tabs>
        <w:rPr>
          <w:sz w:val="20"/>
          <w:szCs w:val="20"/>
          <w:color w:val="auto"/>
        </w:rPr>
      </w:pPr>
      <w:r>
        <w:rPr>
          <w:rFonts w:ascii="Arial" w:cs="Arial" w:eastAsia="Arial" w:hAnsi="Arial"/>
          <w:sz w:val="20"/>
          <w:szCs w:val="20"/>
          <w:b w:val="1"/>
          <w:bCs w:val="1"/>
          <w:color w:val="auto"/>
        </w:rPr>
        <w:t>CEO</w:t>
      </w:r>
      <w:r>
        <w:rPr>
          <w:sz w:val="20"/>
          <w:szCs w:val="20"/>
          <w:color w:val="auto"/>
        </w:rPr>
        <w:tab/>
      </w:r>
      <w:r>
        <w:rPr>
          <w:rFonts w:ascii="Arial" w:cs="Arial" w:eastAsia="Arial" w:hAnsi="Arial"/>
          <w:sz w:val="20"/>
          <w:szCs w:val="20"/>
          <w:b w:val="1"/>
          <w:bCs w:val="1"/>
          <w:color w:val="auto"/>
        </w:rPr>
        <w:t>Other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231775</wp:posOffset>
            </wp:positionV>
            <wp:extent cx="4646295" cy="2168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462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Average data for the named executive officers other than Mr. Templeton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dilution</w:t>
      </w:r>
    </w:p>
    <w:p>
      <w:pPr>
        <w:spacing w:after="0" w:line="2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2021 resulted in 0.3% net annual dilution.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Process for equity grants</w:t>
      </w:r>
    </w:p>
    <w:p>
      <w:pPr>
        <w:spacing w:after="0" w:line="23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2022 PROXY STATEMENT • PAGE 33</w:t>
      </w:r>
    </w:p>
    <w:p>
      <w:pPr>
        <w:sectPr>
          <w:pgSz w:w="11900" w:h="16838" w:orient="portrait"/>
          <w:cols w:equalWidth="0" w:num="1">
            <w:col w:w="11220"/>
          </w:cols>
          <w:pgMar w:left="320" w:top="787" w:right="359" w:bottom="1440" w:gutter="0" w:footer="0" w:header="0"/>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Recoupment policy</w:t>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or senior vice president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Most recent stockholder advisory vote on executive compensation</w:t>
      </w:r>
    </w:p>
    <w:p>
      <w:pPr>
        <w:spacing w:after="0" w:line="23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April 2021, our shareholders cast an advisory vote on the company’s executive compensation decisions and policies as disclosed in the proxy statement issued by the company in March 2021. Approximately 88%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 enhanced defined contribution plan. Messrs. Templeton and Flessner chose to have their benefits frozen. The other named executive officers joined the company after 1997 and are not eligible to participate in the defined benefit plan.</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“2021 pension benefits.”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20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the potential effect on the executives’ retirement benefits when it sets salary and performance bonus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34</w:t>
      </w:r>
    </w:p>
    <w:p>
      <w:pPr>
        <w:sectPr>
          <w:pgSz w:w="11900" w:h="16838" w:orient="portrait"/>
          <w:cols w:equalWidth="0" w:num="1">
            <w:col w:w="11220"/>
          </w:cols>
          <w:pgMar w:left="320" w:top="980"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20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2021 because no “above market” rates were earned on deferred amounts in that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Templeton, at his option, to use company aircraft for personal air travel. Please see Footnote 5 of the summary compensation table for 2021 and “Potential payments upon termination or change in control – Termination – Perquisites” for further details. The company provides no tax gross-ups for perquisites to any of the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following employment termination or change in control</w:t>
      </w:r>
    </w:p>
    <w:p>
      <w:pPr>
        <w:spacing w:after="0" w:line="238"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2021 based on this review.</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ownership guidelines and policy against hedging</w:t>
      </w:r>
    </w:p>
    <w:p>
      <w:pPr>
        <w:spacing w:after="0" w:line="23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35</w:t>
      </w:r>
    </w:p>
    <w:p>
      <w:pPr>
        <w:sectPr>
          <w:pgSz w:w="11900" w:h="16838" w:orient="portrait"/>
          <w:cols w:equalWidth="0" w:num="1">
            <w:col w:w="11220"/>
          </w:cols>
          <w:pgMar w:left="320" w:top="985" w:right="359" w:bottom="1440" w:gutter="0" w:footer="0" w:header="0"/>
        </w:sectPr>
      </w:pPr>
    </w:p>
    <w:bookmarkStart w:id="36" w:name="page37"/>
    <w:bookmarkEnd w:id="36"/>
    <w:p>
      <w:pPr>
        <w:ind w:right="40"/>
        <w:spacing w:after="0" w:line="261" w:lineRule="auto"/>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Consideration of tax and accounting treatment of compensation</w:t>
      </w:r>
    </w:p>
    <w:p>
      <w:pPr>
        <w:spacing w:after="0" w:line="2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20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2021 is discussed under “Analysis of compensation determinations – Equity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2021 and the company’s proxy statement for the 2022 annual meeting of stockholders.</w:t>
      </w:r>
    </w:p>
    <w:p>
      <w:pPr>
        <w:spacing w:after="0" w:line="148" w:lineRule="exact"/>
        <w:rPr>
          <w:sz w:val="20"/>
          <w:szCs w:val="20"/>
          <w:color w:val="auto"/>
        </w:rPr>
      </w:pPr>
    </w:p>
    <w:p>
      <w:pPr>
        <w:ind w:left="400"/>
        <w:spacing w:after="0"/>
        <w:tabs>
          <w:tab w:leader="none" w:pos="3640" w:val="left"/>
          <w:tab w:leader="none" w:pos="6440" w:val="left"/>
          <w:tab w:leader="none" w:pos="8980" w:val="left"/>
        </w:tabs>
        <w:rPr>
          <w:sz w:val="20"/>
          <w:szCs w:val="20"/>
          <w:color w:val="auto"/>
        </w:rPr>
      </w:pPr>
      <w:r>
        <w:rPr>
          <w:rFonts w:ascii="Arial" w:cs="Arial" w:eastAsia="Arial" w:hAnsi="Arial"/>
          <w:sz w:val="18"/>
          <w:szCs w:val="18"/>
          <w:color w:val="auto"/>
        </w:rPr>
        <w:t>Pamela H. Patsley, Chair</w:t>
      </w:r>
      <w:r>
        <w:rPr>
          <w:sz w:val="20"/>
          <w:szCs w:val="20"/>
          <w:color w:val="auto"/>
        </w:rPr>
        <w:tab/>
      </w:r>
      <w:r>
        <w:rPr>
          <w:rFonts w:ascii="Arial" w:cs="Arial" w:eastAsia="Arial" w:hAnsi="Arial"/>
          <w:sz w:val="18"/>
          <w:szCs w:val="18"/>
          <w:color w:val="auto"/>
        </w:rPr>
        <w:t>Mark A. Blinn</w:t>
      </w:r>
      <w:r>
        <w:rPr>
          <w:sz w:val="20"/>
          <w:szCs w:val="20"/>
          <w:color w:val="auto"/>
        </w:rPr>
        <w:tab/>
      </w:r>
      <w:r>
        <w:rPr>
          <w:rFonts w:ascii="Arial" w:cs="Arial" w:eastAsia="Arial" w:hAnsi="Arial"/>
          <w:sz w:val="18"/>
          <w:szCs w:val="18"/>
          <w:color w:val="auto"/>
        </w:rPr>
        <w:t>Carrie S. Cox</w:t>
      </w:r>
      <w:r>
        <w:rPr>
          <w:sz w:val="20"/>
          <w:szCs w:val="20"/>
          <w:color w:val="auto"/>
        </w:rPr>
        <w:tab/>
      </w:r>
      <w:r>
        <w:rPr>
          <w:rFonts w:ascii="Arial" w:cs="Arial" w:eastAsia="Arial" w:hAnsi="Arial"/>
          <w:sz w:val="17"/>
          <w:szCs w:val="17"/>
          <w:color w:val="auto"/>
        </w:rPr>
        <w:t>Martin S. Craighead</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summary compensation table</w:t>
      </w:r>
    </w:p>
    <w:p>
      <w:pPr>
        <w:spacing w:after="0" w:line="24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table below shows the compensation of the CEO, the CFO and each of the other three most highly compensated individuals who were executive officers during 2021 (collectively called the “named executive officers” (NEOs)) for services in all capacities to the company in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Non-Equity</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Option</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Incentive Plan</w:t>
            </w:r>
          </w:p>
        </w:tc>
        <w:tc>
          <w:tcPr>
            <w:tcW w:w="280" w:type="dxa"/>
            <w:vAlign w:val="bottom"/>
          </w:tcPr>
          <w:p>
            <w:pPr>
              <w:spacing w:after="0"/>
              <w:rPr>
                <w:sz w:val="14"/>
                <w:szCs w:val="14"/>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Salary ($)</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Bonus ($)</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 (1)</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(2)</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(3)</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Earnings (4)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 (5)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 ($)</w:t>
            </w:r>
          </w:p>
        </w:tc>
      </w:tr>
      <w:tr>
        <w:trPr>
          <w:trHeight w:val="236"/>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Richard K. Templeton</w:t>
            </w:r>
          </w:p>
        </w:tc>
        <w:tc>
          <w:tcPr>
            <w:tcW w:w="6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1,376,667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4,125,000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6,500,124</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6,500,005</w:t>
            </w:r>
          </w:p>
        </w:tc>
        <w:tc>
          <w:tcPr>
            <w:tcW w:w="2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275,333</w:t>
            </w:r>
          </w:p>
        </w:tc>
        <w:tc>
          <w:tcPr>
            <w:tcW w:w="28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418,282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19,195,411</w:t>
            </w:r>
          </w:p>
        </w:tc>
      </w:tr>
      <w:tr>
        <w:trPr>
          <w:trHeight w:val="210"/>
        </w:trPr>
        <w:tc>
          <w:tcPr>
            <w:tcW w:w="1880" w:type="dxa"/>
            <w:vAlign w:val="bottom"/>
          </w:tcPr>
          <w:p>
            <w:pPr>
              <w:ind w:left="20"/>
              <w:spacing w:after="0"/>
              <w:rPr>
                <w:sz w:val="20"/>
                <w:szCs w:val="20"/>
                <w:color w:val="auto"/>
              </w:rPr>
            </w:pPr>
            <w:r>
              <w:rPr>
                <w:rFonts w:ascii="Arial" w:cs="Arial" w:eastAsia="Arial" w:hAnsi="Arial"/>
                <w:sz w:val="14"/>
                <w:szCs w:val="14"/>
                <w:color w:val="auto"/>
              </w:rPr>
              <w:t>Chairman, President &amp;</w:t>
            </w:r>
          </w:p>
        </w:tc>
        <w:tc>
          <w:tcPr>
            <w:tcW w:w="600" w:type="dxa"/>
            <w:vAlign w:val="bottom"/>
          </w:tcPr>
          <w:p>
            <w:pPr>
              <w:ind w:left="220"/>
              <w:spacing w:after="0"/>
              <w:rPr>
                <w:sz w:val="20"/>
                <w:szCs w:val="20"/>
                <w:color w:val="auto"/>
              </w:rPr>
            </w:pPr>
            <w:r>
              <w:rPr>
                <w:rFonts w:ascii="Arial" w:cs="Arial" w:eastAsia="Arial" w:hAnsi="Arial"/>
                <w:sz w:val="14"/>
                <w:szCs w:val="14"/>
                <w:color w:val="auto"/>
              </w:rPr>
              <w:t>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1,336,667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3,745,000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6,500,027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14"/>
                <w:szCs w:val="14"/>
                <w:color w:val="auto"/>
              </w:rPr>
              <w:t>6,500,015</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267,333</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199,431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508,179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19,056,652</w:t>
            </w:r>
          </w:p>
        </w:tc>
      </w:tr>
      <w:tr>
        <w:trPr>
          <w:trHeight w:val="222"/>
        </w:trPr>
        <w:tc>
          <w:tcPr>
            <w:tcW w:w="1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6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1,295,833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3,550,000</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6,500,045</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6,500,012</w:t>
            </w:r>
          </w:p>
        </w:tc>
        <w:tc>
          <w:tcPr>
            <w:tcW w:w="200" w:type="dxa"/>
            <w:vAlign w:val="bottom"/>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259,167</w:t>
            </w:r>
          </w:p>
        </w:tc>
        <w:tc>
          <w:tcPr>
            <w:tcW w:w="280" w:type="dxa"/>
            <w:vAlign w:val="bottom"/>
            <w:shd w:val="clear" w:color="auto" w:fill="DBDBDB"/>
          </w:tcPr>
          <w:p>
            <w:pPr>
              <w:ind w:left="20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202,588</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326,162</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18,633,807</w:t>
            </w:r>
          </w:p>
        </w:tc>
      </w:tr>
      <w:tr>
        <w:trPr>
          <w:trHeight w:val="216"/>
        </w:trPr>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Rafael R. Lizardi</w:t>
            </w:r>
          </w:p>
        </w:tc>
        <w:tc>
          <w:tcPr>
            <w:tcW w:w="6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736,667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1,100,000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1,650,162</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1,650,011</w:t>
            </w:r>
          </w:p>
        </w:tc>
        <w:tc>
          <w:tcPr>
            <w:tcW w:w="2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147,333</w:t>
            </w:r>
          </w:p>
        </w:tc>
        <w:tc>
          <w:tcPr>
            <w:tcW w:w="280" w:type="dxa"/>
            <w:vAlign w:val="bottom"/>
            <w:tcBorders>
              <w:bottom w:val="single" w:sz="8" w:color="DBDBDB"/>
            </w:tcBorders>
            <w:shd w:val="clear" w:color="auto" w:fill="DBDBDB"/>
          </w:tcPr>
          <w:p>
            <w:pPr>
              <w:spacing w:after="0"/>
              <w:rPr>
                <w:sz w:val="20"/>
                <w:szCs w:val="20"/>
                <w:color w:val="auto"/>
              </w:rPr>
            </w:pPr>
          </w:p>
        </w:tc>
        <w:tc>
          <w:tcPr>
            <w:tcW w:w="11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112,797</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5,396,970</w:t>
            </w:r>
          </w:p>
        </w:tc>
      </w:tr>
      <w:tr>
        <w:trPr>
          <w:trHeight w:val="210"/>
        </w:trPr>
        <w:tc>
          <w:tcPr>
            <w:tcW w:w="1880" w:type="dxa"/>
            <w:vAlign w:val="bottom"/>
          </w:tcPr>
          <w:p>
            <w:pPr>
              <w:ind w:left="20"/>
              <w:spacing w:after="0"/>
              <w:rPr>
                <w:sz w:val="20"/>
                <w:szCs w:val="20"/>
                <w:color w:val="auto"/>
              </w:rPr>
            </w:pPr>
            <w:r>
              <w:rPr>
                <w:rFonts w:ascii="Arial" w:cs="Arial" w:eastAsia="Arial" w:hAnsi="Arial"/>
                <w:sz w:val="14"/>
                <w:szCs w:val="14"/>
                <w:color w:val="auto"/>
              </w:rPr>
              <w:t>Senior Vice President &amp;</w:t>
            </w:r>
          </w:p>
        </w:tc>
        <w:tc>
          <w:tcPr>
            <w:tcW w:w="600" w:type="dxa"/>
            <w:vAlign w:val="bottom"/>
          </w:tcPr>
          <w:p>
            <w:pPr>
              <w:ind w:left="220"/>
              <w:spacing w:after="0"/>
              <w:rPr>
                <w:sz w:val="20"/>
                <w:szCs w:val="20"/>
                <w:color w:val="auto"/>
              </w:rPr>
            </w:pPr>
            <w:r>
              <w:rPr>
                <w:rFonts w:ascii="Arial" w:cs="Arial" w:eastAsia="Arial" w:hAnsi="Arial"/>
                <w:sz w:val="14"/>
                <w:szCs w:val="14"/>
                <w:color w:val="auto"/>
              </w:rPr>
              <w:t>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696,667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1,650,034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14"/>
                <w:szCs w:val="14"/>
                <w:color w:val="auto"/>
              </w:rPr>
              <w:t>1,650,010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139,333</w:t>
            </w:r>
          </w:p>
        </w:tc>
        <w:tc>
          <w:tcPr>
            <w:tcW w:w="280" w:type="dxa"/>
            <w:vAlign w:val="bottom"/>
          </w:tcPr>
          <w:p>
            <w:pPr>
              <w:spacing w:after="0"/>
              <w:rPr>
                <w:sz w:val="18"/>
                <w:szCs w:val="18"/>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116,989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5,253,033</w:t>
            </w:r>
          </w:p>
        </w:tc>
      </w:tr>
      <w:tr>
        <w:trPr>
          <w:trHeight w:val="222"/>
        </w:trPr>
        <w:tc>
          <w:tcPr>
            <w:tcW w:w="1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6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655,000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950,000</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1,500,058</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1,500,006</w:t>
            </w:r>
          </w:p>
        </w:tc>
        <w:tc>
          <w:tcPr>
            <w:tcW w:w="200" w:type="dxa"/>
            <w:vAlign w:val="bottom"/>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131,000</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125,671</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4,861,735</w:t>
            </w:r>
          </w:p>
        </w:tc>
      </w:tr>
      <w:tr>
        <w:trPr>
          <w:trHeight w:val="216"/>
        </w:trPr>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Haviv Ilan</w:t>
            </w:r>
          </w:p>
        </w:tc>
        <w:tc>
          <w:tcPr>
            <w:tcW w:w="6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877,500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1,875,000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3,500,015</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3,500,021</w:t>
            </w:r>
          </w:p>
        </w:tc>
        <w:tc>
          <w:tcPr>
            <w:tcW w:w="2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175,500</w:t>
            </w:r>
          </w:p>
        </w:tc>
        <w:tc>
          <w:tcPr>
            <w:tcW w:w="280" w:type="dxa"/>
            <w:vAlign w:val="bottom"/>
            <w:tcBorders>
              <w:bottom w:val="single" w:sz="8" w:color="DBDBDB"/>
            </w:tcBorders>
            <w:shd w:val="clear" w:color="auto" w:fill="DBDBDB"/>
          </w:tcPr>
          <w:p>
            <w:pPr>
              <w:spacing w:after="0"/>
              <w:rPr>
                <w:sz w:val="20"/>
                <w:szCs w:val="20"/>
                <w:color w:val="auto"/>
              </w:rPr>
            </w:pPr>
          </w:p>
        </w:tc>
        <w:tc>
          <w:tcPr>
            <w:tcW w:w="11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100,282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10,028,318</w:t>
            </w:r>
          </w:p>
        </w:tc>
      </w:tr>
      <w:tr>
        <w:trPr>
          <w:trHeight w:val="210"/>
        </w:trPr>
        <w:tc>
          <w:tcPr>
            <w:tcW w:w="1880" w:type="dxa"/>
            <w:vAlign w:val="bottom"/>
          </w:tcPr>
          <w:p>
            <w:pPr>
              <w:ind w:left="20"/>
              <w:spacing w:after="0"/>
              <w:rPr>
                <w:sz w:val="20"/>
                <w:szCs w:val="20"/>
                <w:color w:val="auto"/>
              </w:rPr>
            </w:pPr>
            <w:r>
              <w:rPr>
                <w:rFonts w:ascii="Arial" w:cs="Arial" w:eastAsia="Arial" w:hAnsi="Arial"/>
                <w:sz w:val="14"/>
                <w:szCs w:val="14"/>
                <w:color w:val="auto"/>
              </w:rPr>
              <w:t>Director,</w:t>
            </w:r>
          </w:p>
        </w:tc>
        <w:tc>
          <w:tcPr>
            <w:tcW w:w="600" w:type="dxa"/>
            <w:vAlign w:val="bottom"/>
          </w:tcPr>
          <w:p>
            <w:pPr>
              <w:ind w:left="220"/>
              <w:spacing w:after="0"/>
              <w:rPr>
                <w:sz w:val="20"/>
                <w:szCs w:val="20"/>
                <w:color w:val="auto"/>
              </w:rPr>
            </w:pPr>
            <w:r>
              <w:rPr>
                <w:rFonts w:ascii="Arial" w:cs="Arial" w:eastAsia="Arial" w:hAnsi="Arial"/>
                <w:sz w:val="14"/>
                <w:szCs w:val="14"/>
                <w:color w:val="auto"/>
              </w:rPr>
              <w:t>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779,167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1,700,000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2,250,034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14"/>
                <w:szCs w:val="14"/>
                <w:color w:val="auto"/>
              </w:rPr>
              <w:t>2,250,009</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155,833</w:t>
            </w:r>
          </w:p>
        </w:tc>
        <w:tc>
          <w:tcPr>
            <w:tcW w:w="280" w:type="dxa"/>
            <w:vAlign w:val="bottom"/>
          </w:tcPr>
          <w:p>
            <w:pPr>
              <w:spacing w:after="0"/>
              <w:rPr>
                <w:sz w:val="18"/>
                <w:szCs w:val="18"/>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87,458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7,222,501</w:t>
            </w:r>
          </w:p>
        </w:tc>
      </w:tr>
      <w:tr>
        <w:trPr>
          <w:trHeight w:val="222"/>
        </w:trPr>
        <w:tc>
          <w:tcPr>
            <w:tcW w:w="1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Executive Vice President</w:t>
            </w:r>
          </w:p>
        </w:tc>
        <w:tc>
          <w:tcPr>
            <w:tcW w:w="6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711,667</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1,140,000</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1,900,053</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1,900,009</w:t>
            </w:r>
          </w:p>
        </w:tc>
        <w:tc>
          <w:tcPr>
            <w:tcW w:w="200" w:type="dxa"/>
            <w:vAlign w:val="bottom"/>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142,333</w:t>
            </w: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68,153</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5,862,215</w:t>
            </w:r>
          </w:p>
        </w:tc>
      </w:tr>
      <w:tr>
        <w:trPr>
          <w:trHeight w:val="210"/>
        </w:trPr>
        <w:tc>
          <w:tcPr>
            <w:tcW w:w="1880" w:type="dxa"/>
            <w:vAlign w:val="bottom"/>
          </w:tcPr>
          <w:p>
            <w:pPr>
              <w:ind w:left="20"/>
              <w:spacing w:after="0"/>
              <w:rPr>
                <w:sz w:val="20"/>
                <w:szCs w:val="20"/>
                <w:color w:val="auto"/>
              </w:rPr>
            </w:pPr>
            <w:r>
              <w:rPr>
                <w:rFonts w:ascii="Arial" w:cs="Arial" w:eastAsia="Arial" w:hAnsi="Arial"/>
                <w:sz w:val="14"/>
                <w:szCs w:val="14"/>
                <w:color w:val="auto"/>
              </w:rPr>
              <w:t>&amp; Chief Operating Officer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18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25"/>
        </w:trPr>
        <w:tc>
          <w:tcPr>
            <w:tcW w:w="1880" w:type="dxa"/>
            <w:vAlign w:val="bottom"/>
          </w:tcPr>
          <w:p>
            <w:pPr>
              <w:ind w:left="20"/>
              <w:spacing w:after="0"/>
              <w:rPr>
                <w:sz w:val="20"/>
                <w:szCs w:val="20"/>
                <w:color w:val="auto"/>
              </w:rPr>
            </w:pPr>
            <w:r>
              <w:rPr>
                <w:rFonts w:ascii="Arial" w:cs="Arial" w:eastAsia="Arial" w:hAnsi="Arial"/>
                <w:sz w:val="17"/>
                <w:szCs w:val="17"/>
                <w:color w:val="auto"/>
              </w:rPr>
              <w:t>Hagop H. Kozanian</w:t>
            </w:r>
          </w:p>
        </w:tc>
        <w:tc>
          <w:tcPr>
            <w:tcW w:w="600" w:type="dxa"/>
            <w:vAlign w:val="bottom"/>
          </w:tcPr>
          <w:p>
            <w:pPr>
              <w:ind w:left="220"/>
              <w:spacing w:after="0"/>
              <w:rPr>
                <w:sz w:val="20"/>
                <w:szCs w:val="20"/>
                <w:color w:val="auto"/>
              </w:rPr>
            </w:pPr>
            <w:r>
              <w:rPr>
                <w:rFonts w:ascii="Arial" w:cs="Arial" w:eastAsia="Arial" w:hAnsi="Arial"/>
                <w:sz w:val="14"/>
                <w:szCs w:val="14"/>
                <w:color w:val="auto"/>
              </w:rPr>
              <w:t>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673,333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1,393,000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1,900,114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14"/>
                <w:szCs w:val="14"/>
                <w:color w:val="auto"/>
              </w:rPr>
              <w:t>1,900,030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134,667</w:t>
            </w:r>
          </w:p>
        </w:tc>
        <w:tc>
          <w:tcPr>
            <w:tcW w:w="280" w:type="dxa"/>
            <w:vAlign w:val="bottom"/>
          </w:tcPr>
          <w:p>
            <w:pPr>
              <w:spacing w:after="0"/>
              <w:rPr>
                <w:sz w:val="19"/>
                <w:szCs w:val="19"/>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216,790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6,217,934</w:t>
            </w:r>
          </w:p>
        </w:tc>
      </w:tr>
      <w:tr>
        <w:trPr>
          <w:trHeight w:val="31"/>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1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Vice President</w:t>
            </w:r>
          </w:p>
        </w:tc>
        <w:tc>
          <w:tcPr>
            <w:tcW w:w="6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2020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593,750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1,200,000</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1,500,066</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1,500,023</w:t>
            </w:r>
          </w:p>
        </w:tc>
        <w:tc>
          <w:tcPr>
            <w:tcW w:w="200" w:type="dxa"/>
            <w:vAlign w:val="bottom"/>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118,750</w:t>
            </w:r>
          </w:p>
        </w:tc>
        <w:tc>
          <w:tcPr>
            <w:tcW w:w="28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47,905</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4,960,494</w:t>
            </w:r>
          </w:p>
        </w:tc>
      </w:tr>
      <w:tr>
        <w:trPr>
          <w:trHeight w:val="216"/>
        </w:trPr>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Kyle M. Flessner</w:t>
            </w:r>
          </w:p>
        </w:tc>
        <w:tc>
          <w:tcPr>
            <w:tcW w:w="6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696,667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1,395,000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1,800,100</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1,800,031</w:t>
            </w:r>
          </w:p>
        </w:tc>
        <w:tc>
          <w:tcPr>
            <w:tcW w:w="2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139,333</w:t>
            </w:r>
          </w:p>
        </w:tc>
        <w:tc>
          <w:tcPr>
            <w:tcW w:w="28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138,892</w:t>
            </w:r>
          </w:p>
        </w:tc>
        <w:tc>
          <w:tcPr>
            <w:tcW w:w="2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5,970,023</w:t>
            </w:r>
          </w:p>
        </w:tc>
      </w:tr>
      <w:tr>
        <w:trPr>
          <w:trHeight w:val="204"/>
        </w:trPr>
        <w:tc>
          <w:tcPr>
            <w:tcW w:w="188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600" w:type="dxa"/>
            <w:vAlign w:val="bottom"/>
          </w:tcPr>
          <w:p>
            <w:pPr>
              <w:ind w:left="220"/>
              <w:spacing w:after="0"/>
              <w:rPr>
                <w:sz w:val="20"/>
                <w:szCs w:val="20"/>
                <w:color w:val="auto"/>
              </w:rPr>
            </w:pPr>
            <w:r>
              <w:rPr>
                <w:rFonts w:ascii="Arial" w:cs="Arial" w:eastAsia="Arial" w:hAnsi="Arial"/>
                <w:sz w:val="14"/>
                <w:szCs w:val="14"/>
                <w:color w:val="auto"/>
              </w:rPr>
              <w:t>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1,800,001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14"/>
                <w:szCs w:val="14"/>
                <w:color w:val="auto"/>
              </w:rPr>
              <w:t>1,800,023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131,000</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4,324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107,992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5,698,340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36</w:t>
      </w:r>
    </w:p>
    <w:p>
      <w:pPr>
        <w:sectPr>
          <w:pgSz w:w="11900" w:h="16838" w:orient="portrait"/>
          <w:cols w:equalWidth="0" w:num="1">
            <w:col w:w="11220"/>
          </w:cols>
          <w:pgMar w:left="320" w:top="787" w:right="359" w:bottom="1440" w:gutter="0" w:footer="0" w:header="0"/>
        </w:sectPr>
      </w:pPr>
    </w:p>
    <w:bookmarkStart w:id="37" w:name="page38"/>
    <w:bookmarkEnd w:id="37"/>
    <w:p>
      <w:pPr>
        <w:ind w:left="492" w:hanging="492"/>
        <w:spacing w:after="0" w:line="270" w:lineRule="auto"/>
        <w:tabs>
          <w:tab w:leader="none" w:pos="482"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2021 appears in Note 3 to the 2021 financial statements. For a description of the grant terms, see the discussion following the outstanding equity awards at fiscal year-end 2021 table. The discussion of the assumptions used for purposes of the valuation of the awards granted in 2020 and 2019 appears in Note 3 to the financial statements in TI’s annual report on Form 10-K for the year ended December 31, 2020 (2020 financial statements), and the financial statements in TI’s annual report on Form 10-K for the year ended December 31, 2019 (2019 financial statements).</w:t>
      </w:r>
    </w:p>
    <w:p>
      <w:pPr>
        <w:spacing w:after="0" w:line="84" w:lineRule="exact"/>
        <w:rPr>
          <w:rFonts w:ascii="Arial" w:cs="Arial" w:eastAsia="Arial" w:hAnsi="Arial"/>
          <w:sz w:val="17"/>
          <w:szCs w:val="17"/>
          <w:color w:val="auto"/>
        </w:rPr>
      </w:pPr>
    </w:p>
    <w:p>
      <w:pPr>
        <w:ind w:left="492" w:right="180" w:hanging="492"/>
        <w:spacing w:after="0" w:line="253" w:lineRule="auto"/>
        <w:tabs>
          <w:tab w:leader="none" w:pos="4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2021 appears in Note 3 to the 2021 financial statements. For a description of the grant terms, see the discussion following the outstanding equity awards at fiscal year-end 2021 table. The discussion of the assumptions used for purposes of the valuation of the awards granted in 2020 and 2019 appears in Note 3 to the 2020 and 2019 financial statements.</w:t>
      </w:r>
    </w:p>
    <w:p>
      <w:pPr>
        <w:spacing w:after="0" w:line="97" w:lineRule="exact"/>
        <w:rPr>
          <w:rFonts w:ascii="Arial" w:cs="Arial" w:eastAsia="Arial" w:hAnsi="Arial"/>
          <w:sz w:val="18"/>
          <w:szCs w:val="18"/>
          <w:color w:val="auto"/>
        </w:rPr>
      </w:pPr>
    </w:p>
    <w:p>
      <w:pPr>
        <w:ind w:left="472" w:hanging="472"/>
        <w:spacing w:after="0"/>
        <w:tabs>
          <w:tab w:leader="none" w:pos="4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the profit sharing amount paid to each of the named executive officers for 2021.</w:t>
      </w:r>
    </w:p>
    <w:p>
      <w:pPr>
        <w:spacing w:after="0" w:line="117" w:lineRule="exact"/>
        <w:rPr>
          <w:rFonts w:ascii="Arial" w:cs="Arial" w:eastAsia="Arial" w:hAnsi="Arial"/>
          <w:sz w:val="18"/>
          <w:szCs w:val="18"/>
          <w:color w:val="auto"/>
        </w:rPr>
      </w:pPr>
    </w:p>
    <w:p>
      <w:pPr>
        <w:ind w:left="492" w:right="80" w:hanging="492"/>
        <w:spacing w:after="0" w:line="252" w:lineRule="auto"/>
        <w:tabs>
          <w:tab w:leader="none" w:pos="4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2020, through December 31, 2021. This “change in the actuarial value” is the difference between the 2020 and 2021 present value of the pension benefit accumulated as of year-end by the named executive officer, assuming that benefit is not paid until age 65. Mr. Templeton’s and Mr. Flessner's benefits under the company’s pension plans were frozen as of December 31, 1997. Messrs. Lizardi, Ilan and Kozanian do not participate in any of the company’s defined benefit pension plans.</w:t>
      </w:r>
    </w:p>
    <w:p>
      <w:pPr>
        <w:spacing w:after="0" w:line="97" w:lineRule="exact"/>
        <w:rPr>
          <w:rFonts w:ascii="Arial" w:cs="Arial" w:eastAsia="Arial" w:hAnsi="Arial"/>
          <w:sz w:val="18"/>
          <w:szCs w:val="18"/>
          <w:color w:val="auto"/>
        </w:rPr>
      </w:pPr>
    </w:p>
    <w:p>
      <w:pPr>
        <w:ind w:left="492" w:right="200" w:hanging="492"/>
        <w:spacing w:after="0" w:line="290" w:lineRule="auto"/>
        <w:tabs>
          <w:tab w:leader="none" w:pos="482"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1" w:lineRule="exact"/>
        <w:rPr>
          <w:sz w:val="20"/>
          <w:szCs w:val="20"/>
          <w:color w:val="auto"/>
        </w:rPr>
      </w:pPr>
    </w:p>
    <w:tbl>
      <w:tblPr>
        <w:tblLayout w:type="fixed"/>
        <w:tblInd w:w="492"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center"/>
              <w:ind w:right="413"/>
              <w:spacing w:after="0"/>
              <w:rPr>
                <w:sz w:val="20"/>
                <w:szCs w:val="20"/>
                <w:color w:val="auto"/>
              </w:rPr>
            </w:pPr>
            <w:r>
              <w:rPr>
                <w:rFonts w:ascii="Arial" w:cs="Arial" w:eastAsia="Arial" w:hAnsi="Arial"/>
                <w:sz w:val="14"/>
                <w:szCs w:val="14"/>
                <w:b w:val="1"/>
                <w:bCs w:val="1"/>
                <w:color w:val="auto"/>
              </w:rPr>
              <w:t>Defined</w:t>
            </w:r>
          </w:p>
        </w:tc>
        <w:tc>
          <w:tcPr>
            <w:tcW w:w="34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rPr>
              <w:t>Unused</w:t>
            </w:r>
          </w:p>
        </w:tc>
      </w:tr>
      <w:tr>
        <w:trPr>
          <w:trHeight w:val="162"/>
        </w:trPr>
        <w:tc>
          <w:tcPr>
            <w:tcW w:w="3620" w:type="dxa"/>
            <w:vAlign w:val="bottom"/>
          </w:tcPr>
          <w:p>
            <w:pPr>
              <w:spacing w:after="0"/>
              <w:rPr>
                <w:sz w:val="14"/>
                <w:szCs w:val="14"/>
                <w:color w:val="auto"/>
              </w:rPr>
            </w:pPr>
          </w:p>
        </w:tc>
        <w:tc>
          <w:tcPr>
            <w:tcW w:w="3220" w:type="dxa"/>
            <w:vAlign w:val="bottom"/>
          </w:tcPr>
          <w:p>
            <w:pPr>
              <w:jc w:val="center"/>
              <w:ind w:left="1355"/>
              <w:spacing w:after="0"/>
              <w:rPr>
                <w:sz w:val="20"/>
                <w:szCs w:val="20"/>
                <w:color w:val="auto"/>
              </w:rPr>
            </w:pPr>
            <w:r>
              <w:rPr>
                <w:rFonts w:ascii="Arial" w:cs="Arial" w:eastAsia="Arial" w:hAnsi="Arial"/>
                <w:sz w:val="14"/>
                <w:szCs w:val="14"/>
                <w:b w:val="1"/>
                <w:bCs w:val="1"/>
                <w:color w:val="auto"/>
              </w:rPr>
              <w:t>401(k)</w:t>
            </w:r>
          </w:p>
        </w:tc>
        <w:tc>
          <w:tcPr>
            <w:tcW w:w="19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rPr>
              <w:t>Contribution</w:t>
            </w:r>
          </w:p>
        </w:tc>
        <w:tc>
          <w:tcPr>
            <w:tcW w:w="34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Vacation</w:t>
            </w:r>
          </w:p>
        </w:tc>
      </w:tr>
      <w:tr>
        <w:trPr>
          <w:trHeight w:val="19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22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Contribution</w:t>
            </w:r>
          </w:p>
        </w:tc>
        <w:tc>
          <w:tcPr>
            <w:tcW w:w="194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4"/>
                <w:szCs w:val="14"/>
                <w:b w:val="1"/>
                <w:bCs w:val="1"/>
                <w:color w:val="auto"/>
              </w:rPr>
              <w:t>Retirement Plan (a)</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9"/>
              </w:rPr>
              <w:t>Time (b)</w:t>
            </w:r>
          </w:p>
        </w:tc>
      </w:tr>
      <w:tr>
        <w:trPr>
          <w:trHeight w:val="250"/>
        </w:trPr>
        <w:tc>
          <w:tcPr>
            <w:tcW w:w="3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3220" w:type="dxa"/>
            <w:vAlign w:val="bottom"/>
            <w:tcBorders>
              <w:bottom w:val="single" w:sz="8" w:color="DBDBDB"/>
            </w:tcBorders>
            <w:shd w:val="clear" w:color="auto" w:fill="DBDBDB"/>
          </w:tcPr>
          <w:p>
            <w:pPr>
              <w:jc w:val="center"/>
              <w:ind w:left="1355"/>
              <w:spacing w:after="0"/>
              <w:rPr>
                <w:sz w:val="20"/>
                <w:szCs w:val="20"/>
                <w:color w:val="auto"/>
              </w:rPr>
            </w:pPr>
            <w:r>
              <w:rPr>
                <w:rFonts w:ascii="Arial" w:cs="Arial" w:eastAsia="Arial" w:hAnsi="Arial"/>
                <w:sz w:val="18"/>
                <w:szCs w:val="18"/>
                <w:color w:val="auto"/>
                <w:w w:val="98"/>
              </w:rPr>
              <w:t>11,600</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73"/>
              <w:spacing w:after="0"/>
              <w:rPr>
                <w:sz w:val="20"/>
                <w:szCs w:val="20"/>
                <w:color w:val="auto"/>
              </w:rPr>
            </w:pPr>
            <w:r>
              <w:rPr>
                <w:rFonts w:ascii="Arial" w:cs="Arial" w:eastAsia="Arial" w:hAnsi="Arial"/>
                <w:sz w:val="18"/>
                <w:szCs w:val="18"/>
                <w:color w:val="auto"/>
              </w:rPr>
              <w:t>286,860</w:t>
            </w:r>
          </w:p>
        </w:tc>
        <w:tc>
          <w:tcPr>
            <w:tcW w:w="34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3220" w:type="dxa"/>
            <w:vAlign w:val="bottom"/>
          </w:tcPr>
          <w:p>
            <w:pPr>
              <w:jc w:val="center"/>
              <w:ind w:left="1355"/>
              <w:spacing w:after="0"/>
              <w:rPr>
                <w:sz w:val="20"/>
                <w:szCs w:val="20"/>
                <w:color w:val="auto"/>
              </w:rPr>
            </w:pPr>
            <w:r>
              <w:rPr>
                <w:rFonts w:ascii="Arial" w:cs="Arial" w:eastAsia="Arial" w:hAnsi="Arial"/>
                <w:sz w:val="18"/>
                <w:szCs w:val="18"/>
                <w:color w:val="auto"/>
                <w:w w:val="98"/>
              </w:rPr>
              <w:t>11,600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3"/>
              <w:spacing w:after="0"/>
              <w:rPr>
                <w:sz w:val="20"/>
                <w:szCs w:val="20"/>
                <w:color w:val="auto"/>
              </w:rPr>
            </w:pPr>
            <w:r>
              <w:rPr>
                <w:rFonts w:ascii="Arial" w:cs="Arial" w:eastAsia="Arial" w:hAnsi="Arial"/>
                <w:sz w:val="18"/>
                <w:szCs w:val="18"/>
                <w:color w:val="auto"/>
              </w:rPr>
              <w:t>85,857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220" w:type="dxa"/>
            <w:vAlign w:val="bottom"/>
            <w:tcBorders>
              <w:bottom w:val="single" w:sz="8" w:color="DBDBDB"/>
            </w:tcBorders>
            <w:shd w:val="clear" w:color="auto" w:fill="DBDBDB"/>
          </w:tcPr>
          <w:p>
            <w:pPr>
              <w:jc w:val="center"/>
              <w:ind w:left="1355"/>
              <w:spacing w:after="0"/>
              <w:rPr>
                <w:sz w:val="20"/>
                <w:szCs w:val="20"/>
                <w:color w:val="auto"/>
              </w:rPr>
            </w:pPr>
            <w:r>
              <w:rPr>
                <w:rFonts w:ascii="Arial" w:cs="Arial" w:eastAsia="Arial" w:hAnsi="Arial"/>
                <w:sz w:val="18"/>
                <w:szCs w:val="18"/>
                <w:color w:val="auto"/>
                <w:w w:val="98"/>
              </w:rPr>
              <w:t>11,600</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273"/>
              <w:spacing w:after="0"/>
              <w:rPr>
                <w:sz w:val="20"/>
                <w:szCs w:val="20"/>
                <w:color w:val="auto"/>
              </w:rPr>
            </w:pPr>
            <w:r>
              <w:rPr>
                <w:rFonts w:ascii="Arial" w:cs="Arial" w:eastAsia="Arial" w:hAnsi="Arial"/>
                <w:sz w:val="18"/>
                <w:szCs w:val="18"/>
                <w:color w:val="auto"/>
              </w:rPr>
              <w:t>70,747</w:t>
            </w:r>
          </w:p>
        </w:tc>
        <w:tc>
          <w:tcPr>
            <w:tcW w:w="34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3220" w:type="dxa"/>
            <w:vAlign w:val="bottom"/>
          </w:tcPr>
          <w:p>
            <w:pPr>
              <w:jc w:val="center"/>
              <w:ind w:left="1355"/>
              <w:spacing w:after="0"/>
              <w:rPr>
                <w:sz w:val="20"/>
                <w:szCs w:val="20"/>
                <w:color w:val="auto"/>
              </w:rPr>
            </w:pPr>
            <w:r>
              <w:rPr>
                <w:rFonts w:ascii="Arial" w:cs="Arial" w:eastAsia="Arial" w:hAnsi="Arial"/>
                <w:sz w:val="18"/>
                <w:szCs w:val="18"/>
                <w:color w:val="auto"/>
                <w:w w:val="98"/>
              </w:rPr>
              <w:t>11,600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3"/>
              <w:spacing w:after="0"/>
              <w:rPr>
                <w:sz w:val="20"/>
                <w:szCs w:val="20"/>
                <w:color w:val="auto"/>
              </w:rPr>
            </w:pPr>
            <w:r>
              <w:rPr>
                <w:rFonts w:ascii="Arial" w:cs="Arial" w:eastAsia="Arial" w:hAnsi="Arial"/>
                <w:sz w:val="18"/>
                <w:szCs w:val="18"/>
                <w:color w:val="auto"/>
              </w:rPr>
              <w:t>18,895</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3220" w:type="dxa"/>
            <w:vAlign w:val="bottom"/>
            <w:shd w:val="clear" w:color="auto" w:fill="DBDBDB"/>
          </w:tcPr>
          <w:p>
            <w:pPr>
              <w:jc w:val="center"/>
              <w:ind w:left="1355"/>
              <w:spacing w:after="0"/>
              <w:rPr>
                <w:sz w:val="20"/>
                <w:szCs w:val="20"/>
                <w:color w:val="auto"/>
              </w:rPr>
            </w:pPr>
            <w:r>
              <w:rPr>
                <w:rFonts w:ascii="Arial" w:cs="Arial" w:eastAsia="Arial" w:hAnsi="Arial"/>
                <w:sz w:val="18"/>
                <w:szCs w:val="18"/>
                <w:color w:val="auto"/>
                <w:w w:val="98"/>
              </w:rPr>
              <w:t>11,600</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ind w:right="273"/>
              <w:spacing w:after="0"/>
              <w:rPr>
                <w:sz w:val="20"/>
                <w:szCs w:val="20"/>
                <w:color w:val="auto"/>
              </w:rPr>
            </w:pPr>
            <w:r>
              <w:rPr>
                <w:rFonts w:ascii="Arial" w:cs="Arial" w:eastAsia="Arial" w:hAnsi="Arial"/>
                <w:sz w:val="18"/>
                <w:szCs w:val="18"/>
                <w:color w:val="auto"/>
              </w:rPr>
              <w:t>96,450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30,842</w:t>
            </w:r>
          </w:p>
        </w:tc>
      </w:tr>
      <w:tr>
        <w:trPr>
          <w:trHeight w:val="27"/>
        </w:trPr>
        <w:tc>
          <w:tcPr>
            <w:tcW w:w="3620" w:type="dxa"/>
            <w:vAlign w:val="bottom"/>
            <w:shd w:val="clear" w:color="auto" w:fill="DBDBDB"/>
          </w:tcPr>
          <w:p>
            <w:pPr>
              <w:spacing w:after="0"/>
              <w:rPr>
                <w:sz w:val="2"/>
                <w:szCs w:val="2"/>
                <w:color w:val="auto"/>
              </w:rPr>
            </w:pPr>
          </w:p>
        </w:tc>
        <w:tc>
          <w:tcPr>
            <w:tcW w:w="322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r>
    </w:tbl>
    <w:p>
      <w:pPr>
        <w:spacing w:after="0" w:line="202" w:lineRule="exact"/>
        <w:rPr>
          <w:sz w:val="20"/>
          <w:szCs w:val="20"/>
          <w:color w:val="auto"/>
        </w:rPr>
      </w:pPr>
    </w:p>
    <w:p>
      <w:pPr>
        <w:ind w:left="972" w:right="20" w:hanging="486"/>
        <w:spacing w:after="0" w:line="253" w:lineRule="auto"/>
        <w:tabs>
          <w:tab w:leader="none" w:pos="9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$5,800 for Messrs. Templeton, Lizardi and Flessner and (ii) an additional amount of $281,060 for Mr. Templeton, $80,057 for Mr. Lizardi, $70,747 for Mr. Ilan, $18,895 for Mr. Kozanian and $90,650 for Mr. Flessner, applied by TI to offset IRC limitations on amounts that could be contributed to the enhanced defined contribution retirement plan, which amount is also shown in the 2021 non-qualified deferred compensation table.</w:t>
      </w:r>
    </w:p>
    <w:p>
      <w:pPr>
        <w:spacing w:after="0" w:line="97" w:lineRule="exact"/>
        <w:rPr>
          <w:rFonts w:ascii="Arial" w:cs="Arial" w:eastAsia="Arial" w:hAnsi="Arial"/>
          <w:sz w:val="18"/>
          <w:szCs w:val="18"/>
          <w:color w:val="auto"/>
        </w:rPr>
      </w:pPr>
    </w:p>
    <w:p>
      <w:pPr>
        <w:ind w:left="972" w:hanging="486"/>
        <w:spacing w:after="0"/>
        <w:tabs>
          <w:tab w:leader="none" w:pos="9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Mr. Flessner, represents payment for unused vacation time that could not be carried forward.</w:t>
      </w:r>
    </w:p>
    <w:p>
      <w:pPr>
        <w:spacing w:after="0" w:line="117" w:lineRule="exact"/>
        <w:rPr>
          <w:sz w:val="20"/>
          <w:szCs w:val="20"/>
          <w:color w:val="auto"/>
        </w:rPr>
      </w:pPr>
    </w:p>
    <w:p>
      <w:pPr>
        <w:ind w:left="492" w:right="80"/>
        <w:spacing w:after="0" w:line="253" w:lineRule="auto"/>
        <w:rPr>
          <w:sz w:val="20"/>
          <w:szCs w:val="20"/>
          <w:color w:val="auto"/>
        </w:rPr>
      </w:pPr>
      <w:r>
        <w:rPr>
          <w:rFonts w:ascii="Arial" w:cs="Arial" w:eastAsia="Arial" w:hAnsi="Arial"/>
          <w:sz w:val="18"/>
          <w:szCs w:val="18"/>
          <w:color w:val="auto"/>
        </w:rPr>
        <w:t>The perquisites and personal benefits are: $119,822 for Mr. Templeton and $186,296 for Mr. Kozanian, consisting of financial counseling, an executive physical and personal use of company aircraft ($103,470 for Mr. Templeton and $168,444 for Mr. Kozanian), $15,340 for Mr. Lizardi and $17,935 for Mr. Ilan, consisting of financial counseling and an executive physical. Financial counseling and an executive physical were made available to the other named executive officers, but the amounts attributable to those officers were below the disclosure thresholds.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242424"/>
        </w:rPr>
        <w:t>2022 PROXY STATEMENT • PAGE 37</w:t>
      </w:r>
    </w:p>
    <w:p>
      <w:pPr>
        <w:sectPr>
          <w:pgSz w:w="11900" w:h="16838" w:orient="portrait"/>
          <w:cols w:equalWidth="0" w:num="1">
            <w:col w:w="11212"/>
          </w:cols>
          <w:pgMar w:left="328" w:top="895" w:right="35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Grants of plan-based awards in 2021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rPr>
              <w:t>All Other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400" w:type="dxa"/>
            <w:vAlign w:val="bottom"/>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or Base</w:t>
            </w:r>
          </w:p>
        </w:tc>
        <w:tc>
          <w:tcPr>
            <w:tcW w:w="360" w:type="dxa"/>
            <w:vAlign w:val="bottom"/>
          </w:tcPr>
          <w:p>
            <w:pPr>
              <w:spacing w:after="0"/>
              <w:rPr>
                <w:sz w:val="14"/>
                <w:szCs w:val="14"/>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Price of</w:t>
            </w:r>
          </w:p>
        </w:tc>
        <w:tc>
          <w:tcPr>
            <w:tcW w:w="360" w:type="dxa"/>
            <w:vAlign w:val="bottom"/>
          </w:tcPr>
          <w:p>
            <w:pPr>
              <w:spacing w:after="0"/>
              <w:rPr>
                <w:sz w:val="14"/>
                <w:szCs w:val="1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400" w:type="dxa"/>
            <w:vAlign w:val="bottom"/>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4"/>
                <w:szCs w:val="1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Date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00" w:type="dxa"/>
            <w:vAlign w:val="bottom"/>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4"/>
                <w:szCs w:val="1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rPr>
              <w:t>and Option</w:t>
            </w:r>
          </w:p>
        </w:tc>
      </w:tr>
      <w:tr>
        <w:trPr>
          <w:trHeight w:val="196"/>
        </w:trPr>
        <w:tc>
          <w:tcPr>
            <w:tcW w:w="22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Grant Date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 Action</w:t>
            </w:r>
          </w:p>
        </w:tc>
        <w:tc>
          <w:tcPr>
            <w:tcW w:w="13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Units (#) (2)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 (3)</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($/Sh) (4)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Awards (5)</w:t>
            </w:r>
          </w:p>
        </w:tc>
      </w:tr>
      <w:tr>
        <w:trPr>
          <w:trHeight w:val="249"/>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8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159,706</w:t>
            </w:r>
          </w:p>
        </w:tc>
        <w:tc>
          <w:tcPr>
            <w:tcW w:w="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8"/>
                <w:szCs w:val="18"/>
                <w:color w:val="auto"/>
              </w:rPr>
              <w:t>169.23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6,500,005</w:t>
            </w:r>
          </w:p>
        </w:tc>
      </w:tr>
      <w:tr>
        <w:trPr>
          <w:trHeight w:val="243"/>
        </w:trPr>
        <w:tc>
          <w:tcPr>
            <w:tcW w:w="224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Pr>
          <w:p>
            <w:pPr>
              <w:jc w:val="right"/>
              <w:ind w:right="180"/>
              <w:spacing w:after="0"/>
              <w:rPr>
                <w:sz w:val="20"/>
                <w:szCs w:val="20"/>
                <w:color w:val="auto"/>
              </w:rPr>
            </w:pPr>
            <w:r>
              <w:rPr>
                <w:rFonts w:ascii="Arial" w:cs="Arial" w:eastAsia="Arial" w:hAnsi="Arial"/>
                <w:sz w:val="18"/>
                <w:szCs w:val="18"/>
                <w:color w:val="auto"/>
              </w:rPr>
              <w:t>38,410</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6,500,124</w:t>
            </w:r>
          </w:p>
        </w:tc>
      </w:tr>
      <w:tr>
        <w:trPr>
          <w:trHeight w:val="27"/>
        </w:trPr>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8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40,541</w:t>
            </w:r>
          </w:p>
        </w:tc>
        <w:tc>
          <w:tcPr>
            <w:tcW w:w="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8"/>
                <w:szCs w:val="18"/>
                <w:color w:val="auto"/>
              </w:rPr>
              <w:t>169.23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1,650,011</w:t>
            </w:r>
          </w:p>
        </w:tc>
      </w:tr>
      <w:tr>
        <w:trPr>
          <w:trHeight w:val="243"/>
        </w:trPr>
        <w:tc>
          <w:tcPr>
            <w:tcW w:w="224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Pr>
          <w:p>
            <w:pPr>
              <w:jc w:val="right"/>
              <w:ind w:right="180"/>
              <w:spacing w:after="0"/>
              <w:rPr>
                <w:sz w:val="20"/>
                <w:szCs w:val="20"/>
                <w:color w:val="auto"/>
              </w:rPr>
            </w:pPr>
            <w:r>
              <w:rPr>
                <w:rFonts w:ascii="Arial" w:cs="Arial" w:eastAsia="Arial" w:hAnsi="Arial"/>
                <w:sz w:val="18"/>
                <w:szCs w:val="18"/>
                <w:color w:val="auto"/>
              </w:rPr>
              <w:t>9,751</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1,650,162</w:t>
            </w:r>
          </w:p>
        </w:tc>
      </w:tr>
      <w:tr>
        <w:trPr>
          <w:trHeight w:val="27"/>
        </w:trPr>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8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85,996</w:t>
            </w:r>
          </w:p>
        </w:tc>
        <w:tc>
          <w:tcPr>
            <w:tcW w:w="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8"/>
                <w:szCs w:val="18"/>
                <w:color w:val="auto"/>
              </w:rPr>
              <w:t>169.23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3,500,021</w:t>
            </w:r>
          </w:p>
        </w:tc>
      </w:tr>
      <w:tr>
        <w:trPr>
          <w:trHeight w:val="243"/>
        </w:trPr>
        <w:tc>
          <w:tcPr>
            <w:tcW w:w="224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Pr>
          <w:p>
            <w:pPr>
              <w:jc w:val="right"/>
              <w:ind w:right="180"/>
              <w:spacing w:after="0"/>
              <w:rPr>
                <w:sz w:val="20"/>
                <w:szCs w:val="20"/>
                <w:color w:val="auto"/>
              </w:rPr>
            </w:pPr>
            <w:r>
              <w:rPr>
                <w:rFonts w:ascii="Arial" w:cs="Arial" w:eastAsia="Arial" w:hAnsi="Arial"/>
                <w:sz w:val="18"/>
                <w:szCs w:val="18"/>
                <w:color w:val="auto"/>
              </w:rPr>
              <w:t>20,682</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3,500,015</w:t>
            </w:r>
          </w:p>
        </w:tc>
      </w:tr>
      <w:tr>
        <w:trPr>
          <w:trHeight w:val="27"/>
        </w:trPr>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18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46,684</w:t>
            </w:r>
          </w:p>
        </w:tc>
        <w:tc>
          <w:tcPr>
            <w:tcW w:w="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8"/>
                <w:szCs w:val="18"/>
                <w:color w:val="auto"/>
              </w:rPr>
              <w:t>169.23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1,900,030</w:t>
            </w:r>
          </w:p>
        </w:tc>
      </w:tr>
      <w:tr>
        <w:trPr>
          <w:trHeight w:val="243"/>
        </w:trPr>
        <w:tc>
          <w:tcPr>
            <w:tcW w:w="224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Pr>
          <w:p>
            <w:pPr>
              <w:jc w:val="right"/>
              <w:ind w:right="180"/>
              <w:spacing w:after="0"/>
              <w:rPr>
                <w:sz w:val="20"/>
                <w:szCs w:val="20"/>
                <w:color w:val="auto"/>
              </w:rPr>
            </w:pPr>
            <w:r>
              <w:rPr>
                <w:rFonts w:ascii="Arial" w:cs="Arial" w:eastAsia="Arial" w:hAnsi="Arial"/>
                <w:sz w:val="18"/>
                <w:szCs w:val="18"/>
                <w:color w:val="auto"/>
              </w:rPr>
              <w:t>11,228</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1,900,114</w:t>
            </w:r>
          </w:p>
        </w:tc>
      </w:tr>
      <w:tr>
        <w:trPr>
          <w:trHeight w:val="27"/>
        </w:trPr>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80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360"/>
              <w:spacing w:after="0"/>
              <w:rPr>
                <w:sz w:val="20"/>
                <w:szCs w:val="20"/>
                <w:color w:val="auto"/>
              </w:rPr>
            </w:pPr>
            <w:r>
              <w:rPr>
                <w:rFonts w:ascii="Arial" w:cs="Arial" w:eastAsia="Arial" w:hAnsi="Arial"/>
                <w:sz w:val="18"/>
                <w:szCs w:val="18"/>
                <w:color w:val="auto"/>
              </w:rPr>
              <w:t>44,227</w:t>
            </w:r>
          </w:p>
        </w:tc>
        <w:tc>
          <w:tcPr>
            <w:tcW w:w="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8"/>
                <w:szCs w:val="18"/>
                <w:color w:val="auto"/>
              </w:rPr>
              <w:t>169.23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1,800,031</w:t>
            </w:r>
          </w:p>
        </w:tc>
      </w:tr>
      <w:tr>
        <w:trPr>
          <w:trHeight w:val="243"/>
        </w:trPr>
        <w:tc>
          <w:tcPr>
            <w:tcW w:w="224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1/28/2021 (1)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1/21/2021</w:t>
            </w:r>
          </w:p>
        </w:tc>
        <w:tc>
          <w:tcPr>
            <w:tcW w:w="1340" w:type="dxa"/>
            <w:vAlign w:val="bottom"/>
          </w:tcPr>
          <w:p>
            <w:pPr>
              <w:jc w:val="right"/>
              <w:ind w:right="180"/>
              <w:spacing w:after="0"/>
              <w:rPr>
                <w:sz w:val="20"/>
                <w:szCs w:val="20"/>
                <w:color w:val="auto"/>
              </w:rPr>
            </w:pPr>
            <w:r>
              <w:rPr>
                <w:rFonts w:ascii="Arial" w:cs="Arial" w:eastAsia="Arial" w:hAnsi="Arial"/>
                <w:sz w:val="18"/>
                <w:szCs w:val="18"/>
                <w:color w:val="auto"/>
              </w:rPr>
              <w:t>10,637</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1,800,100</w:t>
            </w:r>
          </w:p>
        </w:tc>
      </w:tr>
    </w:tbl>
    <w:p>
      <w:pPr>
        <w:spacing w:after="0" w:line="229" w:lineRule="exact"/>
        <w:rPr>
          <w:sz w:val="20"/>
          <w:szCs w:val="20"/>
          <w:color w:val="auto"/>
        </w:rPr>
      </w:pPr>
    </w:p>
    <w:p>
      <w:pPr>
        <w:ind w:left="500" w:hanging="492"/>
        <w:spacing w:after="0" w:line="256"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fourth-quarter and year 2020. The company released these results on January 26, 2021.</w:t>
      </w:r>
    </w:p>
    <w:p>
      <w:pPr>
        <w:spacing w:after="0" w:line="93" w:lineRule="exact"/>
        <w:rPr>
          <w:rFonts w:ascii="Arial" w:cs="Arial" w:eastAsia="Arial" w:hAnsi="Arial"/>
          <w:sz w:val="18"/>
          <w:szCs w:val="18"/>
          <w:color w:val="auto"/>
        </w:rPr>
      </w:pPr>
    </w:p>
    <w:p>
      <w:pPr>
        <w:ind w:left="500" w:right="100" w:hanging="492"/>
        <w:spacing w:after="0" w:line="256"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2021 were RSU awards. These awards were made under the company’s 2009 Long-Term Incentive Plan. For information on the terms and conditions of these RSU awards, see the discussion following the outstanding equity awards at fiscal year-end 2021 table.</w:t>
      </w:r>
    </w:p>
    <w:p>
      <w:pPr>
        <w:spacing w:after="0" w:line="93" w:lineRule="exact"/>
        <w:rPr>
          <w:rFonts w:ascii="Arial" w:cs="Arial" w:eastAsia="Arial" w:hAnsi="Arial"/>
          <w:sz w:val="18"/>
          <w:szCs w:val="18"/>
          <w:color w:val="auto"/>
        </w:rPr>
      </w:pPr>
    </w:p>
    <w:p>
      <w:pPr>
        <w:ind w:left="500" w:right="180" w:hanging="492"/>
        <w:spacing w:after="0" w:line="261" w:lineRule="auto"/>
        <w:tabs>
          <w:tab w:leader="none" w:pos="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2021 table.</w:t>
      </w:r>
    </w:p>
    <w:p>
      <w:pPr>
        <w:spacing w:after="0" w:line="89" w:lineRule="exact"/>
        <w:rPr>
          <w:rFonts w:ascii="Arial" w:cs="Arial" w:eastAsia="Arial" w:hAnsi="Arial"/>
          <w:sz w:val="18"/>
          <w:szCs w:val="18"/>
          <w:color w:val="auto"/>
        </w:rPr>
      </w:pPr>
    </w:p>
    <w:p>
      <w:pPr>
        <w:ind w:left="480" w:hanging="472"/>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28, 2021.</w:t>
      </w:r>
    </w:p>
    <w:p>
      <w:pPr>
        <w:spacing w:after="0" w:line="117" w:lineRule="exact"/>
        <w:rPr>
          <w:rFonts w:ascii="Arial" w:cs="Arial" w:eastAsia="Arial" w:hAnsi="Arial"/>
          <w:sz w:val="18"/>
          <w:szCs w:val="18"/>
          <w:color w:val="auto"/>
        </w:rPr>
      </w:pPr>
    </w:p>
    <w:p>
      <w:pPr>
        <w:jc w:val="both"/>
        <w:ind w:left="500" w:right="1100" w:hanging="492"/>
        <w:spacing w:after="0" w:line="291" w:lineRule="auto"/>
        <w:tabs>
          <w:tab w:leader="none" w:pos="49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2021. The discussion of the assumptions used for purposes of the valuation appears in Note 3 to the 2021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38</w:t>
      </w:r>
    </w:p>
    <w:p>
      <w:pPr>
        <w:sectPr>
          <w:pgSz w:w="11900" w:h="16838" w:orient="portrait"/>
          <w:cols w:equalWidth="0" w:num="1">
            <w:col w:w="11220"/>
          </w:cols>
          <w:pgMar w:left="320" w:top="976" w:right="3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 xml:space="preserve">Outstanding equity awards at fiscal year-end </w:t>
      </w:r>
      <w:r>
        <w:rPr>
          <w:rFonts w:ascii="Arial" w:cs="Arial" w:eastAsia="Arial" w:hAnsi="Arial"/>
          <w:sz w:val="17"/>
          <w:szCs w:val="17"/>
          <w:b w:val="1"/>
          <w:bCs w:val="1"/>
          <w:color w:val="auto"/>
        </w:rPr>
        <w:t>2021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Stock Awards</w:t>
            </w:r>
          </w:p>
        </w:tc>
      </w:tr>
      <w:tr>
        <w:trPr>
          <w:trHeight w:val="256"/>
        </w:trPr>
        <w:tc>
          <w:tcPr>
            <w:tcW w:w="2660" w:type="dxa"/>
            <w:vAlign w:val="bottom"/>
          </w:tcPr>
          <w:p>
            <w:pPr>
              <w:spacing w:after="0"/>
              <w:rPr>
                <w:sz w:val="22"/>
                <w:szCs w:val="22"/>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center"/>
              <w:ind w:right="94"/>
              <w:spacing w:after="0"/>
              <w:rPr>
                <w:sz w:val="20"/>
                <w:szCs w:val="20"/>
                <w:color w:val="auto"/>
              </w:rPr>
            </w:pPr>
            <w:r>
              <w:rPr>
                <w:rFonts w:ascii="Arial" w:cs="Arial" w:eastAsia="Arial" w:hAnsi="Arial"/>
                <w:sz w:val="14"/>
                <w:szCs w:val="14"/>
                <w:b w:val="1"/>
                <w:bCs w:val="1"/>
                <w:color w:val="auto"/>
              </w:rPr>
              <w:t>Market Value</w:t>
            </w:r>
          </w:p>
        </w:tc>
      </w:tr>
      <w:tr>
        <w:trPr>
          <w:trHeight w:val="162"/>
        </w:trPr>
        <w:tc>
          <w:tcPr>
            <w:tcW w:w="2660" w:type="dxa"/>
            <w:vAlign w:val="bottom"/>
          </w:tcPr>
          <w:p>
            <w:pPr>
              <w:spacing w:after="0"/>
              <w:rPr>
                <w:sz w:val="14"/>
                <w:szCs w:val="14"/>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Securities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260" w:type="dxa"/>
            <w:vAlign w:val="bottom"/>
          </w:tcPr>
          <w:p>
            <w:pPr>
              <w:jc w:val="center"/>
              <w:ind w:right="94"/>
              <w:spacing w:after="0"/>
              <w:rPr>
                <w:sz w:val="20"/>
                <w:szCs w:val="20"/>
                <w:color w:val="auto"/>
              </w:rPr>
            </w:pPr>
            <w:r>
              <w:rPr>
                <w:rFonts w:ascii="Arial" w:cs="Arial" w:eastAsia="Arial" w:hAnsi="Arial"/>
                <w:sz w:val="14"/>
                <w:szCs w:val="14"/>
                <w:b w:val="1"/>
                <w:bCs w:val="1"/>
                <w:color w:val="auto"/>
              </w:rPr>
              <w:t>of Shares or</w:t>
            </w:r>
          </w:p>
        </w:tc>
      </w:tr>
      <w:tr>
        <w:trPr>
          <w:trHeight w:val="162"/>
        </w:trPr>
        <w:tc>
          <w:tcPr>
            <w:tcW w:w="2660" w:type="dxa"/>
            <w:vAlign w:val="bottom"/>
          </w:tcPr>
          <w:p>
            <w:pPr>
              <w:spacing w:after="0"/>
              <w:rPr>
                <w:sz w:val="14"/>
                <w:szCs w:val="14"/>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Underlying</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280" w:type="dxa"/>
            <w:vAlign w:val="bottom"/>
          </w:tcPr>
          <w:p>
            <w:pPr>
              <w:spacing w:after="0"/>
              <w:rPr>
                <w:sz w:val="14"/>
                <w:szCs w:val="14"/>
                <w:color w:val="auto"/>
              </w:rPr>
            </w:pPr>
          </w:p>
        </w:tc>
        <w:tc>
          <w:tcPr>
            <w:tcW w:w="1260" w:type="dxa"/>
            <w:vAlign w:val="bottom"/>
          </w:tcPr>
          <w:p>
            <w:pPr>
              <w:jc w:val="center"/>
              <w:ind w:right="94"/>
              <w:spacing w:after="0"/>
              <w:rPr>
                <w:sz w:val="20"/>
                <w:szCs w:val="20"/>
                <w:color w:val="auto"/>
              </w:rPr>
            </w:pPr>
            <w:r>
              <w:rPr>
                <w:rFonts w:ascii="Arial" w:cs="Arial" w:eastAsia="Arial" w:hAnsi="Arial"/>
                <w:sz w:val="14"/>
                <w:szCs w:val="14"/>
                <w:b w:val="1"/>
                <w:bCs w:val="1"/>
                <w:color w:val="auto"/>
              </w:rPr>
              <w:t>Units of Stock</w:t>
            </w:r>
          </w:p>
        </w:tc>
      </w:tr>
      <w:tr>
        <w:trPr>
          <w:trHeight w:val="162"/>
        </w:trPr>
        <w:tc>
          <w:tcPr>
            <w:tcW w:w="2660" w:type="dxa"/>
            <w:vAlign w:val="bottom"/>
          </w:tcPr>
          <w:p>
            <w:pPr>
              <w:spacing w:after="0"/>
              <w:rPr>
                <w:sz w:val="14"/>
                <w:szCs w:val="14"/>
                <w:color w:val="auto"/>
              </w:rPr>
            </w:pPr>
          </w:p>
        </w:tc>
        <w:tc>
          <w:tcPr>
            <w:tcW w:w="1260" w:type="dxa"/>
            <w:vAlign w:val="bottom"/>
          </w:tcPr>
          <w:p>
            <w:pPr>
              <w:jc w:val="center"/>
              <w:ind w:right="34"/>
              <w:spacing w:after="0"/>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Unexercised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b w:val="1"/>
                <w:bCs w:val="1"/>
                <w:color w:val="auto"/>
              </w:rPr>
              <w:t>Option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of Stock</w:t>
            </w:r>
          </w:p>
        </w:tc>
        <w:tc>
          <w:tcPr>
            <w:tcW w:w="280" w:type="dxa"/>
            <w:vAlign w:val="bottom"/>
          </w:tcPr>
          <w:p>
            <w:pPr>
              <w:spacing w:after="0"/>
              <w:rPr>
                <w:sz w:val="14"/>
                <w:szCs w:val="14"/>
                <w:color w:val="auto"/>
              </w:rPr>
            </w:pPr>
          </w:p>
        </w:tc>
        <w:tc>
          <w:tcPr>
            <w:tcW w:w="1260" w:type="dxa"/>
            <w:vAlign w:val="bottom"/>
          </w:tcPr>
          <w:p>
            <w:pPr>
              <w:jc w:val="center"/>
              <w:ind w:right="94"/>
              <w:spacing w:after="0"/>
              <w:rPr>
                <w:sz w:val="20"/>
                <w:szCs w:val="20"/>
                <w:color w:val="auto"/>
              </w:rPr>
            </w:pPr>
            <w:r>
              <w:rPr>
                <w:rFonts w:ascii="Arial" w:cs="Arial" w:eastAsia="Arial" w:hAnsi="Arial"/>
                <w:sz w:val="14"/>
                <w:szCs w:val="14"/>
                <w:b w:val="1"/>
                <w:bCs w:val="1"/>
                <w:color w:val="auto"/>
              </w:rPr>
              <w:t>That Have Not</w:t>
            </w:r>
          </w:p>
        </w:tc>
      </w:tr>
      <w:tr>
        <w:trPr>
          <w:trHeight w:val="162"/>
        </w:trPr>
        <w:tc>
          <w:tcPr>
            <w:tcW w:w="2660" w:type="dxa"/>
            <w:vAlign w:val="bottom"/>
          </w:tcPr>
          <w:p>
            <w:pPr>
              <w:spacing w:after="0"/>
              <w:rPr>
                <w:sz w:val="14"/>
                <w:szCs w:val="14"/>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rPr>
              <w:t>Options (#)</w:t>
            </w:r>
          </w:p>
        </w:tc>
        <w:tc>
          <w:tcPr>
            <w:tcW w:w="1120" w:type="dxa"/>
            <w:vAlign w:val="bottom"/>
          </w:tcPr>
          <w:p>
            <w:pPr>
              <w:jc w:val="center"/>
              <w:ind w:left="154"/>
              <w:spacing w:after="0"/>
              <w:rPr>
                <w:sz w:val="20"/>
                <w:szCs w:val="20"/>
                <w:color w:val="auto"/>
              </w:rPr>
            </w:pPr>
            <w:r>
              <w:rPr>
                <w:rFonts w:ascii="Arial" w:cs="Arial" w:eastAsia="Arial" w:hAnsi="Arial"/>
                <w:sz w:val="14"/>
                <w:szCs w:val="14"/>
                <w:b w:val="1"/>
                <w:bCs w:val="1"/>
                <w:color w:val="auto"/>
              </w:rPr>
              <w:t>Options (#)</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b w:val="1"/>
                <w:bCs w:val="1"/>
                <w:color w:val="auto"/>
              </w:rPr>
              <w:t>Exercise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 Not</w:t>
            </w:r>
          </w:p>
        </w:tc>
        <w:tc>
          <w:tcPr>
            <w:tcW w:w="280" w:type="dxa"/>
            <w:vAlign w:val="bottom"/>
          </w:tcPr>
          <w:p>
            <w:pPr>
              <w:spacing w:after="0"/>
              <w:rPr>
                <w:sz w:val="14"/>
                <w:szCs w:val="14"/>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Vested</w:t>
            </w:r>
          </w:p>
        </w:tc>
      </w:tr>
      <w:tr>
        <w:trPr>
          <w:trHeight w:val="19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Exercisable</w:t>
            </w:r>
          </w:p>
        </w:tc>
        <w:tc>
          <w:tcPr>
            <w:tcW w:w="15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Price ($)</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Vested (#)</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 (1)</w:t>
            </w:r>
          </w:p>
        </w:tc>
      </w:tr>
      <w:tr>
        <w:trPr>
          <w:trHeight w:val="25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159,706</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169.23</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1/28/2031</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38,410</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7,239,133</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63,554</w:t>
            </w:r>
          </w:p>
        </w:tc>
        <w:tc>
          <w:tcPr>
            <w:tcW w:w="1120" w:type="dxa"/>
            <w:vAlign w:val="bottom"/>
          </w:tcPr>
          <w:p>
            <w:pPr>
              <w:jc w:val="right"/>
              <w:spacing w:after="0"/>
              <w:rPr>
                <w:sz w:val="20"/>
                <w:szCs w:val="20"/>
                <w:color w:val="auto"/>
              </w:rPr>
            </w:pPr>
            <w:r>
              <w:rPr>
                <w:rFonts w:ascii="Arial" w:cs="Arial" w:eastAsia="Arial" w:hAnsi="Arial"/>
                <w:sz w:val="18"/>
                <w:szCs w:val="18"/>
                <w:color w:val="auto"/>
              </w:rPr>
              <w:t>190,662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130.52</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1/24/2030</w:t>
            </w:r>
          </w:p>
        </w:tc>
        <w:tc>
          <w:tcPr>
            <w:tcW w:w="960" w:type="dxa"/>
            <w:vAlign w:val="bottom"/>
          </w:tcPr>
          <w:p>
            <w:pPr>
              <w:jc w:val="right"/>
              <w:spacing w:after="0"/>
              <w:rPr>
                <w:sz w:val="20"/>
                <w:szCs w:val="20"/>
                <w:color w:val="auto"/>
              </w:rPr>
            </w:pPr>
            <w:r>
              <w:rPr>
                <w:rFonts w:ascii="Arial" w:cs="Arial" w:eastAsia="Arial" w:hAnsi="Arial"/>
                <w:sz w:val="18"/>
                <w:szCs w:val="18"/>
                <w:color w:val="auto"/>
              </w:rPr>
              <w:t>49,801</w:t>
            </w:r>
          </w:p>
        </w:tc>
        <w:tc>
          <w:tcPr>
            <w:tcW w:w="500" w:type="dxa"/>
            <w:vAlign w:val="bottom"/>
          </w:tcPr>
          <w:p>
            <w:pPr>
              <w:ind w:left="60"/>
              <w:spacing w:after="0"/>
              <w:rPr>
                <w:sz w:val="20"/>
                <w:szCs w:val="20"/>
                <w:color w:val="auto"/>
              </w:rPr>
            </w:pPr>
            <w:r>
              <w:rPr>
                <w:rFonts w:ascii="Arial" w:cs="Arial" w:eastAsia="Arial" w:hAnsi="Arial"/>
                <w:sz w:val="18"/>
                <w:szCs w:val="18"/>
                <w:color w:val="auto"/>
              </w:rPr>
              <w:t>(7)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9,385,994</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147,313</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147,314</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104.41</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1/25/2029</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62,255</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11,733,200</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193,802</w:t>
            </w:r>
          </w:p>
        </w:tc>
        <w:tc>
          <w:tcPr>
            <w:tcW w:w="1120" w:type="dxa"/>
            <w:vAlign w:val="bottom"/>
          </w:tcPr>
          <w:p>
            <w:pPr>
              <w:jc w:val="right"/>
              <w:spacing w:after="0"/>
              <w:rPr>
                <w:sz w:val="20"/>
                <w:szCs w:val="20"/>
                <w:color w:val="auto"/>
              </w:rPr>
            </w:pPr>
            <w:r>
              <w:rPr>
                <w:rFonts w:ascii="Arial" w:cs="Arial" w:eastAsia="Arial" w:hAnsi="Arial"/>
                <w:sz w:val="18"/>
                <w:szCs w:val="18"/>
                <w:color w:val="auto"/>
              </w:rPr>
              <w:t>64,601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110.15</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1/25/2028</w:t>
            </w:r>
          </w:p>
        </w:tc>
        <w:tc>
          <w:tcPr>
            <w:tcW w:w="960" w:type="dxa"/>
            <w:vAlign w:val="bottom"/>
          </w:tcPr>
          <w:p>
            <w:pPr>
              <w:jc w:val="right"/>
              <w:spacing w:after="0"/>
              <w:rPr>
                <w:sz w:val="20"/>
                <w:szCs w:val="20"/>
                <w:color w:val="auto"/>
              </w:rPr>
            </w:pPr>
            <w:r>
              <w:rPr>
                <w:rFonts w:ascii="Arial" w:cs="Arial" w:eastAsia="Arial" w:hAnsi="Arial"/>
                <w:sz w:val="18"/>
                <w:szCs w:val="18"/>
                <w:color w:val="auto"/>
              </w:rPr>
              <w:t>54,472</w:t>
            </w:r>
          </w:p>
        </w:tc>
        <w:tc>
          <w:tcPr>
            <w:tcW w:w="500" w:type="dxa"/>
            <w:vAlign w:val="bottom"/>
          </w:tcPr>
          <w:p>
            <w:pPr>
              <w:ind w:left="60"/>
              <w:spacing w:after="0"/>
              <w:rPr>
                <w:sz w:val="20"/>
                <w:szCs w:val="20"/>
                <w:color w:val="auto"/>
              </w:rPr>
            </w:pPr>
            <w:r>
              <w:rPr>
                <w:rFonts w:ascii="Arial" w:cs="Arial" w:eastAsia="Arial" w:hAnsi="Arial"/>
                <w:sz w:val="18"/>
                <w:szCs w:val="18"/>
                <w:color w:val="auto"/>
              </w:rPr>
              <w:t>(9)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10,266,338</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333,615</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79.26</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1/26/2027</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489,557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52.93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1/29/2026</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516,440</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53.94</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1/28/2025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40,541</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169.23</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1/28/2031</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9,751</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1,837,771</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16,133</w:t>
            </w:r>
          </w:p>
        </w:tc>
        <w:tc>
          <w:tcPr>
            <w:tcW w:w="1120" w:type="dxa"/>
            <w:vAlign w:val="bottom"/>
          </w:tcPr>
          <w:p>
            <w:pPr>
              <w:jc w:val="right"/>
              <w:spacing w:after="0"/>
              <w:rPr>
                <w:sz w:val="20"/>
                <w:szCs w:val="20"/>
                <w:color w:val="auto"/>
              </w:rPr>
            </w:pPr>
            <w:r>
              <w:rPr>
                <w:rFonts w:ascii="Arial" w:cs="Arial" w:eastAsia="Arial" w:hAnsi="Arial"/>
                <w:sz w:val="18"/>
                <w:szCs w:val="18"/>
                <w:color w:val="auto"/>
              </w:rPr>
              <w:t>48,399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130.52</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1/24/2030</w:t>
            </w:r>
          </w:p>
        </w:tc>
        <w:tc>
          <w:tcPr>
            <w:tcW w:w="960" w:type="dxa"/>
            <w:vAlign w:val="bottom"/>
          </w:tcPr>
          <w:p>
            <w:pPr>
              <w:jc w:val="right"/>
              <w:spacing w:after="0"/>
              <w:rPr>
                <w:sz w:val="20"/>
                <w:szCs w:val="20"/>
                <w:color w:val="auto"/>
              </w:rPr>
            </w:pPr>
            <w:r>
              <w:rPr>
                <w:rFonts w:ascii="Arial" w:cs="Arial" w:eastAsia="Arial" w:hAnsi="Arial"/>
                <w:sz w:val="18"/>
                <w:szCs w:val="18"/>
                <w:color w:val="auto"/>
              </w:rPr>
              <w:t>12,642</w:t>
            </w:r>
          </w:p>
        </w:tc>
        <w:tc>
          <w:tcPr>
            <w:tcW w:w="500" w:type="dxa"/>
            <w:vAlign w:val="bottom"/>
          </w:tcPr>
          <w:p>
            <w:pPr>
              <w:ind w:left="60"/>
              <w:spacing w:after="0"/>
              <w:rPr>
                <w:sz w:val="20"/>
                <w:szCs w:val="20"/>
                <w:color w:val="auto"/>
              </w:rPr>
            </w:pPr>
            <w:r>
              <w:rPr>
                <w:rFonts w:ascii="Arial" w:cs="Arial" w:eastAsia="Arial" w:hAnsi="Arial"/>
                <w:sz w:val="18"/>
                <w:szCs w:val="18"/>
                <w:color w:val="auto"/>
              </w:rPr>
              <w:t>(7)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2,382,638</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33,996</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104.41</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1/25/2029</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14,367</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2,707,748</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12,921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110.15</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1/25/2028</w:t>
            </w:r>
          </w:p>
        </w:tc>
        <w:tc>
          <w:tcPr>
            <w:tcW w:w="960" w:type="dxa"/>
            <w:vAlign w:val="bottom"/>
          </w:tcPr>
          <w:p>
            <w:pPr>
              <w:jc w:val="right"/>
              <w:spacing w:after="0"/>
              <w:rPr>
                <w:sz w:val="20"/>
                <w:szCs w:val="20"/>
                <w:color w:val="auto"/>
              </w:rPr>
            </w:pPr>
            <w:r>
              <w:rPr>
                <w:rFonts w:ascii="Arial" w:cs="Arial" w:eastAsia="Arial" w:hAnsi="Arial"/>
                <w:sz w:val="18"/>
                <w:szCs w:val="18"/>
                <w:color w:val="auto"/>
              </w:rPr>
              <w:t>10,895</w:t>
            </w:r>
          </w:p>
        </w:tc>
        <w:tc>
          <w:tcPr>
            <w:tcW w:w="500" w:type="dxa"/>
            <w:vAlign w:val="bottom"/>
          </w:tcPr>
          <w:p>
            <w:pPr>
              <w:ind w:left="60"/>
              <w:spacing w:after="0"/>
              <w:rPr>
                <w:sz w:val="20"/>
                <w:szCs w:val="20"/>
                <w:color w:val="auto"/>
              </w:rPr>
            </w:pPr>
            <w:r>
              <w:rPr>
                <w:rFonts w:ascii="Arial" w:cs="Arial" w:eastAsia="Arial" w:hAnsi="Arial"/>
                <w:sz w:val="18"/>
                <w:szCs w:val="18"/>
                <w:color w:val="auto"/>
              </w:rPr>
              <w:t>(9)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2,053,381</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6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85,996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169.23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1/28/2031</w:t>
            </w:r>
          </w:p>
        </w:tc>
        <w:tc>
          <w:tcPr>
            <w:tcW w:w="960" w:type="dxa"/>
            <w:vAlign w:val="bottom"/>
          </w:tcPr>
          <w:p>
            <w:pPr>
              <w:jc w:val="right"/>
              <w:spacing w:after="0"/>
              <w:rPr>
                <w:sz w:val="20"/>
                <w:szCs w:val="20"/>
                <w:color w:val="auto"/>
              </w:rPr>
            </w:pPr>
            <w:r>
              <w:rPr>
                <w:rFonts w:ascii="Arial" w:cs="Arial" w:eastAsia="Arial" w:hAnsi="Arial"/>
                <w:sz w:val="18"/>
                <w:szCs w:val="18"/>
                <w:color w:val="auto"/>
              </w:rPr>
              <w:t>20,682</w:t>
            </w:r>
          </w:p>
        </w:tc>
        <w:tc>
          <w:tcPr>
            <w:tcW w:w="500" w:type="dxa"/>
            <w:vAlign w:val="bottom"/>
          </w:tcPr>
          <w:p>
            <w:pPr>
              <w:ind w:left="6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3,897,937</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21,999</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65,999</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130.52</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1/24/2030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17,239</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3,249,034</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43,061</w:t>
            </w:r>
          </w:p>
        </w:tc>
        <w:tc>
          <w:tcPr>
            <w:tcW w:w="1120" w:type="dxa"/>
            <w:vAlign w:val="bottom"/>
          </w:tcPr>
          <w:p>
            <w:pPr>
              <w:jc w:val="right"/>
              <w:spacing w:after="0"/>
              <w:rPr>
                <w:sz w:val="20"/>
                <w:szCs w:val="20"/>
                <w:color w:val="auto"/>
              </w:rPr>
            </w:pPr>
            <w:r>
              <w:rPr>
                <w:rFonts w:ascii="Arial" w:cs="Arial" w:eastAsia="Arial" w:hAnsi="Arial"/>
                <w:sz w:val="18"/>
                <w:szCs w:val="18"/>
                <w:color w:val="auto"/>
              </w:rPr>
              <w:t>43,061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104.41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1/25/2029</w:t>
            </w:r>
          </w:p>
        </w:tc>
        <w:tc>
          <w:tcPr>
            <w:tcW w:w="960" w:type="dxa"/>
            <w:vAlign w:val="bottom"/>
          </w:tcPr>
          <w:p>
            <w:pPr>
              <w:jc w:val="right"/>
              <w:spacing w:after="0"/>
              <w:rPr>
                <w:sz w:val="20"/>
                <w:szCs w:val="20"/>
                <w:color w:val="auto"/>
              </w:rPr>
            </w:pPr>
            <w:r>
              <w:rPr>
                <w:rFonts w:ascii="Arial" w:cs="Arial" w:eastAsia="Arial" w:hAnsi="Arial"/>
                <w:sz w:val="18"/>
                <w:szCs w:val="18"/>
                <w:color w:val="auto"/>
              </w:rPr>
              <w:t>18,198</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3,429,777</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61,371</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20,457</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110.15</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1/25/2028</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17,250</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3,251,108</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58,151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79.26</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1/26/2027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6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46,684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169.23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1/28/2031</w:t>
            </w:r>
          </w:p>
        </w:tc>
        <w:tc>
          <w:tcPr>
            <w:tcW w:w="960" w:type="dxa"/>
            <w:vAlign w:val="bottom"/>
          </w:tcPr>
          <w:p>
            <w:pPr>
              <w:jc w:val="right"/>
              <w:spacing w:after="0"/>
              <w:rPr>
                <w:sz w:val="20"/>
                <w:szCs w:val="20"/>
                <w:color w:val="auto"/>
              </w:rPr>
            </w:pPr>
            <w:r>
              <w:rPr>
                <w:rFonts w:ascii="Arial" w:cs="Arial" w:eastAsia="Arial" w:hAnsi="Arial"/>
                <w:sz w:val="18"/>
                <w:szCs w:val="18"/>
                <w:color w:val="auto"/>
              </w:rPr>
              <w:t>11,228</w:t>
            </w:r>
          </w:p>
        </w:tc>
        <w:tc>
          <w:tcPr>
            <w:tcW w:w="500" w:type="dxa"/>
            <w:vAlign w:val="bottom"/>
          </w:tcPr>
          <w:p>
            <w:pPr>
              <w:ind w:left="6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2,116,141</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44,000</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130.52</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1/24/2030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11,493</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2,166,086</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104.41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1/25/2029</w:t>
            </w:r>
          </w:p>
        </w:tc>
        <w:tc>
          <w:tcPr>
            <w:tcW w:w="960" w:type="dxa"/>
            <w:vAlign w:val="bottom"/>
          </w:tcPr>
          <w:p>
            <w:pPr>
              <w:jc w:val="right"/>
              <w:spacing w:after="0"/>
              <w:rPr>
                <w:sz w:val="20"/>
                <w:szCs w:val="20"/>
                <w:color w:val="auto"/>
              </w:rPr>
            </w:pPr>
            <w:r>
              <w:rPr>
                <w:rFonts w:ascii="Arial" w:cs="Arial" w:eastAsia="Arial" w:hAnsi="Arial"/>
                <w:sz w:val="18"/>
                <w:szCs w:val="18"/>
                <w:color w:val="auto"/>
              </w:rPr>
              <w:t>9,578</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1,805,166</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5,384</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110.15</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1/25/2028</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4,540</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855,654</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9,736</w:t>
            </w:r>
          </w:p>
        </w:tc>
        <w:tc>
          <w:tcPr>
            <w:tcW w:w="500" w:type="dxa"/>
            <w:vAlign w:val="bottom"/>
          </w:tcPr>
          <w:p>
            <w:pPr>
              <w:ind w:left="60"/>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1,834,944</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6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Kyle M. Flessner</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44,227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169.23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1/28/2031</w:t>
            </w:r>
          </w:p>
        </w:tc>
        <w:tc>
          <w:tcPr>
            <w:tcW w:w="960" w:type="dxa"/>
            <w:vAlign w:val="bottom"/>
          </w:tcPr>
          <w:p>
            <w:pPr>
              <w:jc w:val="right"/>
              <w:spacing w:after="0"/>
              <w:rPr>
                <w:sz w:val="20"/>
                <w:szCs w:val="20"/>
                <w:color w:val="auto"/>
              </w:rPr>
            </w:pPr>
            <w:r>
              <w:rPr>
                <w:rFonts w:ascii="Arial" w:cs="Arial" w:eastAsia="Arial" w:hAnsi="Arial"/>
                <w:sz w:val="18"/>
                <w:szCs w:val="18"/>
                <w:color w:val="auto"/>
              </w:rPr>
              <w:t>10,637</w:t>
            </w:r>
          </w:p>
        </w:tc>
        <w:tc>
          <w:tcPr>
            <w:tcW w:w="500" w:type="dxa"/>
            <w:vAlign w:val="bottom"/>
          </w:tcPr>
          <w:p>
            <w:pPr>
              <w:ind w:left="60"/>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2,004,755</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8"/>
                <w:szCs w:val="18"/>
                <w:color w:val="auto"/>
              </w:rPr>
              <w:t>17,599</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52,800</w:t>
            </w:r>
          </w:p>
        </w:tc>
        <w:tc>
          <w:tcPr>
            <w:tcW w:w="4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w w:val="90"/>
              </w:rPr>
              <w:t>(3)</w:t>
            </w: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color w:val="auto"/>
              </w:rPr>
              <w:t>130.52</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1/24/2030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13,791</w:t>
            </w:r>
          </w:p>
        </w:tc>
        <w:tc>
          <w:tcPr>
            <w:tcW w:w="5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2,599,190</w:t>
            </w:r>
          </w:p>
        </w:tc>
      </w:tr>
      <w:tr>
        <w:trPr>
          <w:trHeight w:val="243"/>
        </w:trPr>
        <w:tc>
          <w:tcPr>
            <w:tcW w:w="266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33,995</w:t>
            </w:r>
          </w:p>
        </w:tc>
        <w:tc>
          <w:tcPr>
            <w:tcW w:w="1120" w:type="dxa"/>
            <w:vAlign w:val="bottom"/>
          </w:tcPr>
          <w:p>
            <w:pPr>
              <w:jc w:val="right"/>
              <w:spacing w:after="0"/>
              <w:rPr>
                <w:sz w:val="20"/>
                <w:szCs w:val="20"/>
                <w:color w:val="auto"/>
              </w:rPr>
            </w:pPr>
            <w:r>
              <w:rPr>
                <w:rFonts w:ascii="Arial" w:cs="Arial" w:eastAsia="Arial" w:hAnsi="Arial"/>
                <w:sz w:val="18"/>
                <w:szCs w:val="18"/>
                <w:color w:val="auto"/>
              </w:rPr>
              <w:t>33,996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104.41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1/25/2029</w:t>
            </w:r>
          </w:p>
        </w:tc>
        <w:tc>
          <w:tcPr>
            <w:tcW w:w="960" w:type="dxa"/>
            <w:vAlign w:val="bottom"/>
          </w:tcPr>
          <w:p>
            <w:pPr>
              <w:jc w:val="right"/>
              <w:spacing w:after="0"/>
              <w:rPr>
                <w:sz w:val="20"/>
                <w:szCs w:val="20"/>
                <w:color w:val="auto"/>
              </w:rPr>
            </w:pPr>
            <w:r>
              <w:rPr>
                <w:rFonts w:ascii="Arial" w:cs="Arial" w:eastAsia="Arial" w:hAnsi="Arial"/>
                <w:sz w:val="18"/>
                <w:szCs w:val="18"/>
                <w:color w:val="auto"/>
              </w:rPr>
              <w:t>14,367</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2,707,748</w:t>
            </w:r>
          </w:p>
        </w:tc>
      </w:tr>
      <w:tr>
        <w:trPr>
          <w:trHeight w:val="27"/>
        </w:trPr>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2660" w:type="dxa"/>
            <w:vAlign w:val="bottom"/>
            <w:shd w:val="clear" w:color="auto" w:fill="DBDBDB"/>
          </w:tcPr>
          <w:p>
            <w:pPr>
              <w:spacing w:after="0"/>
              <w:rPr>
                <w:sz w:val="21"/>
                <w:szCs w:val="21"/>
                <w:color w:val="auto"/>
              </w:rPr>
            </w:pPr>
          </w:p>
        </w:tc>
        <w:tc>
          <w:tcPr>
            <w:tcW w:w="126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32,301</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10,767</w:t>
            </w:r>
          </w:p>
        </w:tc>
        <w:tc>
          <w:tcPr>
            <w:tcW w:w="4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0"/>
              </w:rPr>
              <w:t>(5)</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110.15</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1/25/2028</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9,079</w:t>
            </w:r>
          </w:p>
        </w:tc>
        <w:tc>
          <w:tcPr>
            <w:tcW w:w="500" w:type="dxa"/>
            <w:vAlign w:val="bottom"/>
            <w:shd w:val="clear" w:color="auto" w:fill="DBDBDB"/>
          </w:tcPr>
          <w:p>
            <w:pPr>
              <w:ind w:left="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1,711,119</w:t>
            </w:r>
          </w:p>
        </w:tc>
      </w:tr>
      <w:tr>
        <w:trPr>
          <w:trHeight w:val="27"/>
        </w:trPr>
        <w:tc>
          <w:tcPr>
            <w:tcW w:w="26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r>
    </w:tbl>
    <w:p>
      <w:pPr>
        <w:spacing w:after="0" w:line="310" w:lineRule="exact"/>
        <w:rPr>
          <w:sz w:val="20"/>
          <w:szCs w:val="20"/>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2021 ($188.47).</w:t>
      </w:r>
    </w:p>
    <w:p>
      <w:pPr>
        <w:spacing w:after="0" w:line="117" w:lineRule="exact"/>
        <w:rPr>
          <w:rFonts w:ascii="Arial" w:cs="Arial" w:eastAsia="Arial" w:hAnsi="Arial"/>
          <w:sz w:val="18"/>
          <w:szCs w:val="18"/>
          <w:color w:val="auto"/>
        </w:rPr>
      </w:pPr>
    </w:p>
    <w:p>
      <w:pPr>
        <w:ind w:left="500" w:right="160" w:hanging="492"/>
        <w:spacing w:after="0" w:line="261"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28, 2022, and one-third of the remaining shares become exercisable on each of January 28, 2023 and January 28, 2024 and January 28, 2025.</w:t>
      </w:r>
    </w:p>
    <w:p>
      <w:pPr>
        <w:spacing w:after="0" w:line="89" w:lineRule="exact"/>
        <w:rPr>
          <w:rFonts w:ascii="Arial" w:cs="Arial" w:eastAsia="Arial" w:hAnsi="Arial"/>
          <w:sz w:val="18"/>
          <w:szCs w:val="18"/>
          <w:color w:val="auto"/>
        </w:rPr>
      </w:pPr>
    </w:p>
    <w:p>
      <w:pPr>
        <w:ind w:left="500" w:hanging="492"/>
        <w:spacing w:after="0" w:line="261"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24, 2022, and one-half of the remaining shares become exercisable on each of January 24, 2023 and January 24, 2024.</w:t>
      </w:r>
    </w:p>
    <w:p>
      <w:pPr>
        <w:spacing w:after="0" w:line="89" w:lineRule="exact"/>
        <w:rPr>
          <w:rFonts w:ascii="Arial" w:cs="Arial" w:eastAsia="Arial" w:hAnsi="Arial"/>
          <w:sz w:val="18"/>
          <w:szCs w:val="18"/>
          <w:color w:val="auto"/>
        </w:rPr>
      </w:pPr>
    </w:p>
    <w:p>
      <w:pPr>
        <w:ind w:left="500" w:right="300" w:hanging="492"/>
        <w:spacing w:after="0" w:line="261" w:lineRule="auto"/>
        <w:tabs>
          <w:tab w:leader="none" w:pos="4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25, 2022, and the remaining one-half become exercisable on January 25, 2023.</w:t>
      </w:r>
    </w:p>
    <w:p>
      <w:pPr>
        <w:spacing w:after="0" w:line="89"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Became fully exercisable on January 25, 2022.</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Vesting date is January 31, 2025.</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Vesting date is January 31, 2024.</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Vesting date is January 31, 2023.</w:t>
      </w:r>
    </w:p>
    <w:p>
      <w:pPr>
        <w:sectPr>
          <w:pgSz w:w="11900" w:h="16838" w:orient="portrait"/>
          <w:cols w:equalWidth="0" w:num="1">
            <w:col w:w="11040"/>
          </w:cols>
          <w:pgMar w:left="320" w:top="976" w:right="53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242424"/>
        </w:rPr>
        <w:t>2022 PROXY STATEMENT • PAGE 39</w:t>
      </w:r>
    </w:p>
    <w:p>
      <w:pPr>
        <w:sectPr>
          <w:pgSz w:w="11900" w:h="16838" w:orient="portrait"/>
          <w:cols w:equalWidth="0" w:num="1">
            <w:col w:w="11040"/>
          </w:cols>
          <w:pgMar w:left="320" w:top="976" w:right="539" w:bottom="1145" w:gutter="0" w:footer="0" w:header="0"/>
          <w:type w:val="continuous"/>
        </w:sectPr>
      </w:pPr>
    </w:p>
    <w:bookmarkStart w:id="40" w:name="page41"/>
    <w:bookmarkEnd w:id="40"/>
    <w:p>
      <w:pPr>
        <w:ind w:left="480" w:hanging="472"/>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Vested on January 31, 2022.</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Vesting date is May 9, 2022.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Option awards</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2021. The Compensation Committee of the board of directors established these termination provisions to promote employee retention while offering competitive terms.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740" w:type="dxa"/>
            <w:vAlign w:val="bottom"/>
          </w:tcPr>
          <w:p>
            <w:pPr>
              <w:jc w:val="center"/>
              <w:ind w:left="342"/>
              <w:spacing w:after="0"/>
              <w:rPr>
                <w:sz w:val="20"/>
                <w:szCs w:val="20"/>
                <w:color w:val="auto"/>
              </w:rPr>
            </w:pPr>
            <w:r>
              <w:rPr>
                <w:rFonts w:ascii="Arial" w:cs="Arial" w:eastAsia="Arial" w:hAnsi="Arial"/>
                <w:sz w:val="14"/>
                <w:szCs w:val="14"/>
                <w:b w:val="1"/>
                <w:bCs w:val="1"/>
                <w:color w:val="auto"/>
              </w:rPr>
              <w:t>Employment Termination</w:t>
            </w: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740" w:type="dxa"/>
            <w:vAlign w:val="bottom"/>
          </w:tcPr>
          <w:p>
            <w:pPr>
              <w:jc w:val="center"/>
              <w:ind w:left="322"/>
              <w:spacing w:after="0"/>
              <w:rPr>
                <w:sz w:val="20"/>
                <w:szCs w:val="20"/>
                <w:color w:val="auto"/>
              </w:rPr>
            </w:pPr>
            <w:r>
              <w:rPr>
                <w:rFonts w:ascii="Arial" w:cs="Arial" w:eastAsia="Arial" w:hAnsi="Arial"/>
                <w:sz w:val="14"/>
                <w:szCs w:val="14"/>
                <w:b w:val="1"/>
                <w:bCs w:val="1"/>
                <w:color w:val="auto"/>
              </w:rPr>
              <w:t>due to Death or</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Employment Termination</w:t>
            </w:r>
          </w:p>
        </w:tc>
        <w:tc>
          <w:tcPr>
            <w:tcW w:w="134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740" w:type="dxa"/>
            <w:vAlign w:val="bottom"/>
          </w:tcPr>
          <w:p>
            <w:pPr>
              <w:jc w:val="center"/>
              <w:ind w:left="322"/>
              <w:spacing w:after="0"/>
              <w:rPr>
                <w:sz w:val="20"/>
                <w:szCs w:val="20"/>
                <w:color w:val="auto"/>
              </w:rPr>
            </w:pPr>
            <w:r>
              <w:rPr>
                <w:rFonts w:ascii="Arial" w:cs="Arial" w:eastAsia="Arial" w:hAnsi="Arial"/>
                <w:sz w:val="14"/>
                <w:szCs w:val="14"/>
                <w:b w:val="1"/>
                <w:bCs w:val="1"/>
                <w:color w:val="auto"/>
              </w:rPr>
              <w:t>Permanent Disability</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(at Least 6 Months after Grant)</w:t>
            </w:r>
          </w:p>
        </w:tc>
        <w:tc>
          <w:tcPr>
            <w:tcW w:w="134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740" w:type="dxa"/>
            <w:vAlign w:val="bottom"/>
          </w:tcPr>
          <w:p>
            <w:pPr>
              <w:jc w:val="center"/>
              <w:ind w:left="322"/>
              <w:spacing w:after="0"/>
              <w:rPr>
                <w:sz w:val="20"/>
                <w:szCs w:val="20"/>
                <w:color w:val="auto"/>
              </w:rPr>
            </w:pPr>
            <w:r>
              <w:rPr>
                <w:rFonts w:ascii="Arial" w:cs="Arial" w:eastAsia="Arial" w:hAnsi="Arial"/>
                <w:sz w:val="14"/>
                <w:szCs w:val="14"/>
                <w:b w:val="1"/>
                <w:bCs w:val="1"/>
                <w:color w:val="auto"/>
              </w:rPr>
              <w:t>or at Least 6 Months after Grant</w:t>
            </w:r>
          </w:p>
        </w:tc>
        <w:tc>
          <w:tcPr>
            <w:tcW w:w="2320" w:type="dxa"/>
            <w:vAlign w:val="bottom"/>
          </w:tcPr>
          <w:p>
            <w:pPr>
              <w:jc w:val="center"/>
              <w:ind w:right="1"/>
              <w:spacing w:after="0"/>
              <w:rPr>
                <w:sz w:val="20"/>
                <w:szCs w:val="20"/>
                <w:color w:val="auto"/>
              </w:rPr>
            </w:pPr>
            <w:r>
              <w:rPr>
                <w:rFonts w:ascii="Arial" w:cs="Arial" w:eastAsia="Arial" w:hAnsi="Arial"/>
                <w:sz w:val="14"/>
                <w:szCs w:val="14"/>
                <w:b w:val="1"/>
                <w:bCs w:val="1"/>
                <w:color w:val="auto"/>
              </w:rPr>
              <w:t>with 20 Years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Other Circumstances</w:t>
            </w:r>
          </w:p>
        </w:tc>
      </w:tr>
      <w:tr>
        <w:trPr>
          <w:trHeight w:val="162"/>
        </w:trPr>
        <w:tc>
          <w:tcPr>
            <w:tcW w:w="2320" w:type="dxa"/>
            <w:vAlign w:val="bottom"/>
          </w:tcPr>
          <w:p>
            <w:pPr>
              <w:spacing w:after="0"/>
              <w:rPr>
                <w:sz w:val="14"/>
                <w:szCs w:val="14"/>
                <w:color w:val="auto"/>
              </w:rPr>
            </w:pPr>
          </w:p>
        </w:tc>
        <w:tc>
          <w:tcPr>
            <w:tcW w:w="2740" w:type="dxa"/>
            <w:vAlign w:val="bottom"/>
          </w:tcPr>
          <w:p>
            <w:pPr>
              <w:jc w:val="center"/>
              <w:ind w:left="342"/>
              <w:spacing w:after="0"/>
              <w:rPr>
                <w:sz w:val="20"/>
                <w:szCs w:val="20"/>
                <w:color w:val="auto"/>
              </w:rPr>
            </w:pPr>
            <w:r>
              <w:rPr>
                <w:rFonts w:ascii="Arial" w:cs="Arial" w:eastAsia="Arial" w:hAnsi="Arial"/>
                <w:sz w:val="14"/>
                <w:szCs w:val="14"/>
                <w:b w:val="1"/>
                <w:bCs w:val="1"/>
                <w:color w:val="auto"/>
              </w:rPr>
              <w:t>When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Credited Service,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of Employment</w:t>
            </w:r>
          </w:p>
        </w:tc>
      </w:tr>
      <w:tr>
        <w:trPr>
          <w:trHeight w:val="196"/>
        </w:trPr>
        <w:tc>
          <w:tcPr>
            <w:tcW w:w="2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b w:val="1"/>
                <w:bCs w:val="1"/>
                <w:color w:val="auto"/>
              </w:rPr>
              <w:t>Retirement Eligible *</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but Not Retirement Eligible **</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Cause</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Termination</w:t>
            </w:r>
          </w:p>
        </w:tc>
      </w:tr>
      <w:tr>
        <w:trPr>
          <w:trHeight w:val="220"/>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Unexercisable portion</w:t>
            </w:r>
          </w:p>
        </w:tc>
        <w:tc>
          <w:tcPr>
            <w:tcW w:w="2740" w:type="dxa"/>
            <w:vAlign w:val="bottom"/>
          </w:tcPr>
          <w:p>
            <w:pPr>
              <w:ind w:left="420"/>
              <w:spacing w:after="0"/>
              <w:rPr>
                <w:sz w:val="20"/>
                <w:szCs w:val="20"/>
                <w:color w:val="auto"/>
              </w:rPr>
            </w:pPr>
            <w:r>
              <w:rPr>
                <w:rFonts w:ascii="Arial" w:cs="Arial" w:eastAsia="Arial" w:hAnsi="Arial"/>
                <w:sz w:val="18"/>
                <w:szCs w:val="18"/>
                <w:color w:val="auto"/>
              </w:rPr>
              <w:t>Continues</w:t>
            </w:r>
          </w:p>
        </w:tc>
        <w:tc>
          <w:tcPr>
            <w:tcW w:w="2320" w:type="dxa"/>
            <w:vAlign w:val="bottom"/>
          </w:tcPr>
          <w:p>
            <w:pPr>
              <w:ind w:left="100"/>
              <w:spacing w:after="0"/>
              <w:rPr>
                <w:sz w:val="20"/>
                <w:szCs w:val="20"/>
                <w:color w:val="auto"/>
              </w:rPr>
            </w:pPr>
            <w:r>
              <w:rPr>
                <w:rFonts w:ascii="Arial" w:cs="Arial" w:eastAsia="Arial" w:hAnsi="Arial"/>
                <w:sz w:val="18"/>
                <w:szCs w:val="18"/>
                <w:color w:val="auto"/>
              </w:rPr>
              <w:t>Stops</w:t>
            </w:r>
          </w:p>
        </w:tc>
        <w:tc>
          <w:tcPr>
            <w:tcW w:w="1340" w:type="dxa"/>
            <w:vAlign w:val="bottom"/>
          </w:tcPr>
          <w:p>
            <w:pPr>
              <w:ind w:left="120"/>
              <w:spacing w:after="0"/>
              <w:rPr>
                <w:sz w:val="20"/>
                <w:szCs w:val="20"/>
                <w:color w:val="auto"/>
              </w:rPr>
            </w:pPr>
            <w:r>
              <w:rPr>
                <w:rFonts w:ascii="Arial" w:cs="Arial" w:eastAsia="Arial" w:hAnsi="Arial"/>
                <w:sz w:val="18"/>
                <w:szCs w:val="18"/>
                <w:color w:val="auto"/>
              </w:rPr>
              <w:t>Stops</w:t>
            </w:r>
          </w:p>
        </w:tc>
        <w:tc>
          <w:tcPr>
            <w:tcW w:w="2500" w:type="dxa"/>
            <w:vAlign w:val="bottom"/>
          </w:tcPr>
          <w:p>
            <w:pPr>
              <w:ind w:left="240"/>
              <w:spacing w:after="0"/>
              <w:rPr>
                <w:sz w:val="20"/>
                <w:szCs w:val="20"/>
                <w:color w:val="auto"/>
              </w:rPr>
            </w:pPr>
            <w:r>
              <w:rPr>
                <w:rFonts w:ascii="Arial" w:cs="Arial" w:eastAsia="Arial" w:hAnsi="Arial"/>
                <w:sz w:val="18"/>
                <w:szCs w:val="18"/>
                <w:color w:val="auto"/>
              </w:rPr>
              <w:t>Stops</w:t>
            </w:r>
          </w:p>
        </w:tc>
      </w:tr>
      <w:tr>
        <w:trPr>
          <w:trHeight w:val="239"/>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of option</w:t>
            </w:r>
          </w:p>
        </w:tc>
        <w:tc>
          <w:tcPr>
            <w:tcW w:w="2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01"/>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Exercisable portion</w:t>
            </w:r>
          </w:p>
        </w:tc>
        <w:tc>
          <w:tcPr>
            <w:tcW w:w="2740" w:type="dxa"/>
            <w:vAlign w:val="bottom"/>
          </w:tcPr>
          <w:p>
            <w:pPr>
              <w:ind w:left="420"/>
              <w:spacing w:after="0"/>
              <w:rPr>
                <w:sz w:val="20"/>
                <w:szCs w:val="20"/>
                <w:color w:val="auto"/>
              </w:rPr>
            </w:pPr>
            <w:r>
              <w:rPr>
                <w:rFonts w:ascii="Arial" w:cs="Arial" w:eastAsia="Arial" w:hAnsi="Arial"/>
                <w:sz w:val="18"/>
                <w:szCs w:val="18"/>
                <w:color w:val="auto"/>
              </w:rPr>
              <w:t>Remains exercisable</w:t>
            </w:r>
          </w:p>
        </w:tc>
        <w:tc>
          <w:tcPr>
            <w:tcW w:w="2320" w:type="dxa"/>
            <w:vAlign w:val="bottom"/>
          </w:tcPr>
          <w:p>
            <w:pPr>
              <w:ind w:left="100"/>
              <w:spacing w:after="0"/>
              <w:rPr>
                <w:sz w:val="20"/>
                <w:szCs w:val="20"/>
                <w:color w:val="auto"/>
              </w:rPr>
            </w:pPr>
            <w:r>
              <w:rPr>
                <w:rFonts w:ascii="Arial" w:cs="Arial" w:eastAsia="Arial" w:hAnsi="Arial"/>
                <w:sz w:val="18"/>
                <w:szCs w:val="18"/>
                <w:color w:val="auto"/>
              </w:rPr>
              <w:t>Remains exercisable to</w:t>
            </w:r>
          </w:p>
        </w:tc>
        <w:tc>
          <w:tcPr>
            <w:tcW w:w="1340" w:type="dxa"/>
            <w:vAlign w:val="bottom"/>
          </w:tcPr>
          <w:p>
            <w:pPr>
              <w:ind w:left="120"/>
              <w:spacing w:after="0"/>
              <w:rPr>
                <w:sz w:val="20"/>
                <w:szCs w:val="20"/>
                <w:color w:val="auto"/>
              </w:rPr>
            </w:pPr>
            <w:r>
              <w:rPr>
                <w:rFonts w:ascii="Arial" w:cs="Arial" w:eastAsia="Arial" w:hAnsi="Arial"/>
                <w:sz w:val="18"/>
                <w:szCs w:val="18"/>
                <w:color w:val="auto"/>
              </w:rPr>
              <w:t>Terminates</w:t>
            </w:r>
          </w:p>
        </w:tc>
        <w:tc>
          <w:tcPr>
            <w:tcW w:w="2500" w:type="dxa"/>
            <w:vAlign w:val="bottom"/>
          </w:tcPr>
          <w:p>
            <w:pPr>
              <w:ind w:left="240"/>
              <w:spacing w:after="0"/>
              <w:rPr>
                <w:sz w:val="20"/>
                <w:szCs w:val="20"/>
                <w:color w:val="auto"/>
              </w:rPr>
            </w:pPr>
            <w:r>
              <w:rPr>
                <w:rFonts w:ascii="Arial" w:cs="Arial" w:eastAsia="Arial" w:hAnsi="Arial"/>
                <w:sz w:val="18"/>
                <w:szCs w:val="18"/>
                <w:color w:val="auto"/>
              </w:rPr>
              <w:t>Remains exercisable for 30</w:t>
            </w:r>
          </w:p>
        </w:tc>
      </w:tr>
      <w:tr>
        <w:trPr>
          <w:trHeight w:val="239"/>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of option</w:t>
            </w:r>
          </w:p>
        </w:tc>
        <w:tc>
          <w:tcPr>
            <w:tcW w:w="2740" w:type="dxa"/>
            <w:vAlign w:val="bottom"/>
          </w:tcPr>
          <w:p>
            <w:pPr>
              <w:ind w:left="420"/>
              <w:spacing w:after="0"/>
              <w:rPr>
                <w:sz w:val="20"/>
                <w:szCs w:val="20"/>
                <w:color w:val="auto"/>
              </w:rPr>
            </w:pPr>
            <w:r>
              <w:rPr>
                <w:rFonts w:ascii="Arial" w:cs="Arial" w:eastAsia="Arial" w:hAnsi="Arial"/>
                <w:sz w:val="18"/>
                <w:szCs w:val="18"/>
                <w:color w:val="auto"/>
              </w:rPr>
              <w:t>to end of term</w:t>
            </w:r>
          </w:p>
        </w:tc>
        <w:tc>
          <w:tcPr>
            <w:tcW w:w="2320" w:type="dxa"/>
            <w:vAlign w:val="bottom"/>
          </w:tcPr>
          <w:p>
            <w:pPr>
              <w:ind w:left="100"/>
              <w:spacing w:after="0"/>
              <w:rPr>
                <w:sz w:val="20"/>
                <w:szCs w:val="20"/>
                <w:color w:val="auto"/>
              </w:rPr>
            </w:pPr>
            <w:r>
              <w:rPr>
                <w:rFonts w:ascii="Arial" w:cs="Arial" w:eastAsia="Arial" w:hAnsi="Arial"/>
                <w:sz w:val="18"/>
                <w:szCs w:val="18"/>
                <w:color w:val="auto"/>
              </w:rPr>
              <w:t>end of term</w:t>
            </w:r>
          </w:p>
        </w:tc>
        <w:tc>
          <w:tcPr>
            <w:tcW w:w="134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days</w:t>
            </w:r>
          </w:p>
        </w:tc>
      </w:tr>
    </w:tbl>
    <w:p>
      <w:pPr>
        <w:spacing w:after="0" w:line="337" w:lineRule="exact"/>
        <w:rPr>
          <w:sz w:val="20"/>
          <w:szCs w:val="20"/>
          <w:color w:val="auto"/>
        </w:rPr>
      </w:pPr>
    </w:p>
    <w:p>
      <w:pPr>
        <w:ind w:left="340" w:right="60" w:hanging="332"/>
        <w:spacing w:after="0" w:line="256" w:lineRule="auto"/>
        <w:tabs>
          <w:tab w:leader="none" w:pos="2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made after 2012 as at least age 55 with 10 or more years of TI service or at least age 65. For awards made before 2013, the definition of normal or early retirement eligibility in the relevant pension plan applies (see “2021 pension benefits”).</w:t>
      </w:r>
    </w:p>
    <w:p>
      <w:pPr>
        <w:spacing w:after="0" w:line="94"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provision is not applicable to grants made after 2012.</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w:t>
      </w:r>
    </w:p>
    <w:p>
      <w:pPr>
        <w:spacing w:after="0" w:line="1"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acquisition of more than 50% of the voting stock or at least 80% of the assets of TI or (ii) change of a majority of the board of directors in a</w:t>
      </w:r>
    </w:p>
    <w:p>
      <w:pPr>
        <w:spacing w:after="0" w:line="9" w:lineRule="exact"/>
        <w:rPr>
          <w:rFonts w:ascii="Arial" w:cs="Arial" w:eastAsia="Arial" w:hAnsi="Arial"/>
          <w:sz w:val="18"/>
          <w:szCs w:val="18"/>
          <w:color w:val="auto"/>
        </w:rPr>
      </w:pPr>
    </w:p>
    <w:p>
      <w:pPr>
        <w:ind w:right="80"/>
        <w:spacing w:after="0" w:line="256" w:lineRule="auto"/>
        <w:rPr>
          <w:rFonts w:ascii="Arial" w:cs="Arial" w:eastAsia="Arial" w:hAnsi="Arial"/>
          <w:sz w:val="18"/>
          <w:szCs w:val="18"/>
          <w:color w:val="auto"/>
        </w:rPr>
      </w:pPr>
      <w:r>
        <w:rPr>
          <w:rFonts w:ascii="Arial" w:cs="Arial" w:eastAsia="Arial" w:hAnsi="Arial"/>
          <w:sz w:val="18"/>
          <w:szCs w:val="18"/>
          <w:color w:val="auto"/>
        </w:rPr>
        <w:t>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Stock awards</w:t>
      </w:r>
    </w:p>
    <w:p>
      <w:pPr>
        <w:spacing w:after="0" w:line="218"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“Stock Awards” column in the table of outstanding equity awards at fiscal year-end 2021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40</w:t>
      </w:r>
    </w:p>
    <w:p>
      <w:pPr>
        <w:sectPr>
          <w:pgSz w:w="11900" w:h="16838" w:orient="portrait"/>
          <w:cols w:equalWidth="0" w:num="1">
            <w:col w:w="11220"/>
          </w:cols>
          <w:pgMar w:left="320" w:top="89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table below shows the termination provisions of RSUs outstanding as of December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jc w:val="center"/>
              <w:ind w:left="281"/>
              <w:spacing w:after="0"/>
              <w:rPr>
                <w:sz w:val="20"/>
                <w:szCs w:val="20"/>
                <w:color w:val="auto"/>
              </w:rPr>
            </w:pPr>
            <w:r>
              <w:rPr>
                <w:rFonts w:ascii="Arial" w:cs="Arial" w:eastAsia="Arial" w:hAnsi="Arial"/>
                <w:sz w:val="14"/>
                <w:szCs w:val="14"/>
                <w:b w:val="1"/>
                <w:bCs w:val="1"/>
                <w:color w:val="auto"/>
              </w:rPr>
              <w:t>Employment Termination Due to Death or</w:t>
            </w:r>
          </w:p>
        </w:tc>
        <w:tc>
          <w:tcPr>
            <w:tcW w:w="32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2"/>
        </w:trPr>
        <w:tc>
          <w:tcPr>
            <w:tcW w:w="4860" w:type="dxa"/>
            <w:vAlign w:val="bottom"/>
          </w:tcPr>
          <w:p>
            <w:pPr>
              <w:jc w:val="center"/>
              <w:ind w:left="301"/>
              <w:spacing w:after="0"/>
              <w:rPr>
                <w:sz w:val="20"/>
                <w:szCs w:val="20"/>
                <w:color w:val="auto"/>
              </w:rPr>
            </w:pPr>
            <w:r>
              <w:rPr>
                <w:rFonts w:ascii="Arial" w:cs="Arial" w:eastAsia="Arial" w:hAnsi="Arial"/>
                <w:sz w:val="14"/>
                <w:szCs w:val="14"/>
                <w:b w:val="1"/>
                <w:bCs w:val="1"/>
                <w:color w:val="auto"/>
              </w:rPr>
              <w:t>Permanent Disability or at Least Six Months</w:t>
            </w:r>
          </w:p>
        </w:tc>
        <w:tc>
          <w:tcPr>
            <w:tcW w:w="3220" w:type="dxa"/>
            <w:vAlign w:val="bottom"/>
          </w:tcPr>
          <w:p>
            <w:pPr>
              <w:jc w:val="center"/>
              <w:ind w:left="419"/>
              <w:spacing w:after="0"/>
              <w:rPr>
                <w:sz w:val="20"/>
                <w:szCs w:val="20"/>
                <w:color w:val="auto"/>
              </w:rPr>
            </w:pPr>
            <w:r>
              <w:rPr>
                <w:rFonts w:ascii="Arial" w:cs="Arial" w:eastAsia="Arial" w:hAnsi="Arial"/>
                <w:sz w:val="14"/>
                <w:szCs w:val="14"/>
                <w:b w:val="1"/>
                <w:bCs w:val="1"/>
                <w:color w:val="auto"/>
              </w:rPr>
              <w:t>Employment Termination</w:t>
            </w:r>
          </w:p>
        </w:tc>
        <w:tc>
          <w:tcPr>
            <w:tcW w:w="3140" w:type="dxa"/>
            <w:vAlign w:val="bottom"/>
          </w:tcPr>
          <w:p>
            <w:pPr>
              <w:jc w:val="center"/>
              <w:ind w:left="79"/>
              <w:spacing w:after="0"/>
              <w:rPr>
                <w:sz w:val="20"/>
                <w:szCs w:val="20"/>
                <w:color w:val="auto"/>
              </w:rPr>
            </w:pPr>
            <w:r>
              <w:rPr>
                <w:rFonts w:ascii="Arial" w:cs="Arial" w:eastAsia="Arial" w:hAnsi="Arial"/>
                <w:sz w:val="14"/>
                <w:szCs w:val="14"/>
                <w:b w:val="1"/>
                <w:bCs w:val="1"/>
                <w:color w:val="auto"/>
              </w:rPr>
              <w:t>Other Circumstances of</w:t>
            </w:r>
          </w:p>
        </w:tc>
      </w:tr>
      <w:tr>
        <w:trPr>
          <w:trHeight w:val="196"/>
        </w:trPr>
        <w:tc>
          <w:tcPr>
            <w:tcW w:w="486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rPr>
              <w:t>after Grant When Retirement Eligible</w:t>
            </w:r>
          </w:p>
        </w:tc>
        <w:tc>
          <w:tcPr>
            <w:tcW w:w="3220" w:type="dxa"/>
            <w:vAlign w:val="bottom"/>
            <w:tcBorders>
              <w:bottom w:val="single" w:sz="8" w:color="auto"/>
            </w:tcBorders>
          </w:tcPr>
          <w:p>
            <w:pPr>
              <w:jc w:val="center"/>
              <w:ind w:left="479"/>
              <w:spacing w:after="0"/>
              <w:rPr>
                <w:sz w:val="20"/>
                <w:szCs w:val="20"/>
                <w:color w:val="auto"/>
              </w:rPr>
            </w:pPr>
            <w:r>
              <w:rPr>
                <w:rFonts w:ascii="Arial" w:cs="Arial" w:eastAsia="Arial" w:hAnsi="Arial"/>
                <w:sz w:val="14"/>
                <w:szCs w:val="14"/>
                <w:b w:val="1"/>
                <w:bCs w:val="1"/>
                <w:color w:val="auto"/>
              </w:rPr>
              <w:t>For Cause</w:t>
            </w:r>
          </w:p>
        </w:tc>
        <w:tc>
          <w:tcPr>
            <w:tcW w:w="314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rPr>
              <w:t>Employment Termination</w:t>
            </w:r>
          </w:p>
        </w:tc>
      </w:tr>
      <w:tr>
        <w:trPr>
          <w:trHeight w:val="242"/>
        </w:trPr>
        <w:tc>
          <w:tcPr>
            <w:tcW w:w="4860" w:type="dxa"/>
            <w:vAlign w:val="bottom"/>
          </w:tcPr>
          <w:p>
            <w:pPr>
              <w:ind w:left="680"/>
              <w:spacing w:after="0"/>
              <w:rPr>
                <w:sz w:val="20"/>
                <w:szCs w:val="20"/>
                <w:color w:val="auto"/>
              </w:rPr>
            </w:pPr>
            <w:r>
              <w:rPr>
                <w:rFonts w:ascii="Arial" w:cs="Arial" w:eastAsia="Arial" w:hAnsi="Arial"/>
                <w:sz w:val="18"/>
                <w:szCs w:val="18"/>
                <w:color w:val="auto"/>
              </w:rPr>
              <w:t>Vesting continues; shares are paid</w:t>
            </w:r>
          </w:p>
        </w:tc>
        <w:tc>
          <w:tcPr>
            <w:tcW w:w="3220" w:type="dxa"/>
            <w:vAlign w:val="bottom"/>
          </w:tcPr>
          <w:p>
            <w:pPr>
              <w:ind w:left="720"/>
              <w:spacing w:after="0"/>
              <w:rPr>
                <w:sz w:val="20"/>
                <w:szCs w:val="20"/>
                <w:color w:val="auto"/>
              </w:rPr>
            </w:pPr>
            <w:r>
              <w:rPr>
                <w:rFonts w:ascii="Arial" w:cs="Arial" w:eastAsia="Arial" w:hAnsi="Arial"/>
                <w:sz w:val="18"/>
                <w:szCs w:val="18"/>
                <w:color w:val="auto"/>
              </w:rPr>
              <w:t>Grant cancels; no</w:t>
            </w:r>
          </w:p>
        </w:tc>
        <w:tc>
          <w:tcPr>
            <w:tcW w:w="3140" w:type="dxa"/>
            <w:vAlign w:val="bottom"/>
          </w:tcPr>
          <w:p>
            <w:pPr>
              <w:ind w:left="500"/>
              <w:spacing w:after="0"/>
              <w:rPr>
                <w:sz w:val="20"/>
                <w:szCs w:val="20"/>
                <w:color w:val="auto"/>
              </w:rPr>
            </w:pPr>
            <w:r>
              <w:rPr>
                <w:rFonts w:ascii="Arial" w:cs="Arial" w:eastAsia="Arial" w:hAnsi="Arial"/>
                <w:sz w:val="18"/>
                <w:szCs w:val="18"/>
                <w:color w:val="auto"/>
              </w:rPr>
              <w:t>Grant cancels; no</w:t>
            </w:r>
          </w:p>
        </w:tc>
      </w:tr>
      <w:tr>
        <w:trPr>
          <w:trHeight w:val="217"/>
        </w:trPr>
        <w:tc>
          <w:tcPr>
            <w:tcW w:w="4860" w:type="dxa"/>
            <w:vAlign w:val="bottom"/>
          </w:tcPr>
          <w:p>
            <w:pPr>
              <w:ind w:left="680"/>
              <w:spacing w:after="0"/>
              <w:rPr>
                <w:sz w:val="20"/>
                <w:szCs w:val="20"/>
                <w:color w:val="auto"/>
              </w:rPr>
            </w:pPr>
            <w:r>
              <w:rPr>
                <w:rFonts w:ascii="Arial" w:cs="Arial" w:eastAsia="Arial" w:hAnsi="Arial"/>
                <w:sz w:val="18"/>
                <w:szCs w:val="18"/>
                <w:color w:val="auto"/>
              </w:rPr>
              <w:t>at the scheduled vesting date</w:t>
            </w:r>
          </w:p>
        </w:tc>
        <w:tc>
          <w:tcPr>
            <w:tcW w:w="3220" w:type="dxa"/>
            <w:vAlign w:val="bottom"/>
          </w:tcPr>
          <w:p>
            <w:pPr>
              <w:ind w:left="720"/>
              <w:spacing w:after="0"/>
              <w:rPr>
                <w:sz w:val="20"/>
                <w:szCs w:val="20"/>
                <w:color w:val="auto"/>
              </w:rPr>
            </w:pPr>
            <w:r>
              <w:rPr>
                <w:rFonts w:ascii="Arial" w:cs="Arial" w:eastAsia="Arial" w:hAnsi="Arial"/>
                <w:sz w:val="18"/>
                <w:szCs w:val="18"/>
                <w:color w:val="auto"/>
              </w:rPr>
              <w:t>shares are issued</w:t>
            </w:r>
          </w:p>
        </w:tc>
        <w:tc>
          <w:tcPr>
            <w:tcW w:w="3140" w:type="dxa"/>
            <w:vAlign w:val="bottom"/>
          </w:tcPr>
          <w:p>
            <w:pPr>
              <w:ind w:left="500"/>
              <w:spacing w:after="0"/>
              <w:rPr>
                <w:sz w:val="20"/>
                <w:szCs w:val="20"/>
                <w:color w:val="auto"/>
              </w:rPr>
            </w:pPr>
            <w:r>
              <w:rPr>
                <w:rFonts w:ascii="Arial" w:cs="Arial" w:eastAsia="Arial" w:hAnsi="Arial"/>
                <w:sz w:val="18"/>
                <w:szCs w:val="18"/>
                <w:color w:val="auto"/>
              </w:rPr>
              <w:t>shares are issued</w:t>
            </w:r>
          </w:p>
        </w:tc>
      </w:tr>
    </w:tbl>
    <w:p>
      <w:pPr>
        <w:spacing w:after="0" w:line="33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the “Stock Awards” shown in the outstanding equity awards at fiscal year-end 2021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2021 non-qualified deferred compensation table.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option exercises and stock vested</w:t>
      </w:r>
    </w:p>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2021 and the value of any RSUs that vested in 2021.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240" w:type="dxa"/>
            <w:vAlign w:val="bottom"/>
            <w:gridSpan w:val="4"/>
          </w:tcPr>
          <w:p>
            <w:pPr>
              <w:ind w:left="1060"/>
              <w:spacing w:after="0"/>
              <w:rPr>
                <w:sz w:val="20"/>
                <w:szCs w:val="20"/>
                <w:color w:val="auto"/>
              </w:rPr>
            </w:pPr>
            <w:r>
              <w:rPr>
                <w:rFonts w:ascii="Arial" w:cs="Arial" w:eastAsia="Arial" w:hAnsi="Arial"/>
                <w:sz w:val="14"/>
                <w:szCs w:val="14"/>
                <w:b w:val="1"/>
                <w:bCs w:val="1"/>
                <w:color w:val="auto"/>
              </w:rPr>
              <w:t>Option Awards</w:t>
            </w:r>
          </w:p>
        </w:tc>
        <w:tc>
          <w:tcPr>
            <w:tcW w:w="3080" w:type="dxa"/>
            <w:vAlign w:val="bottom"/>
            <w:gridSpan w:val="3"/>
          </w:tcPr>
          <w:p>
            <w:pPr>
              <w:jc w:val="right"/>
              <w:ind w:right="975"/>
              <w:spacing w:after="0"/>
              <w:rPr>
                <w:sz w:val="20"/>
                <w:szCs w:val="20"/>
                <w:color w:val="auto"/>
              </w:rPr>
            </w:pPr>
            <w:r>
              <w:rPr>
                <w:rFonts w:ascii="Arial" w:cs="Arial" w:eastAsia="Arial" w:hAnsi="Arial"/>
                <w:sz w:val="14"/>
                <w:szCs w:val="14"/>
                <w:b w:val="1"/>
                <w:bCs w:val="1"/>
                <w:color w:val="auto"/>
              </w:rPr>
              <w:t>Stock Awards</w:t>
            </w:r>
          </w:p>
        </w:tc>
      </w:tr>
      <w:tr>
        <w:trPr>
          <w:trHeight w:val="202"/>
        </w:trPr>
        <w:tc>
          <w:tcPr>
            <w:tcW w:w="4900" w:type="dxa"/>
            <w:vAlign w:val="bottom"/>
          </w:tcPr>
          <w:p>
            <w:pPr>
              <w:spacing w:after="0"/>
              <w:rPr>
                <w:sz w:val="17"/>
                <w:szCs w:val="17"/>
                <w:color w:val="auto"/>
              </w:rPr>
            </w:pPr>
          </w:p>
        </w:tc>
        <w:tc>
          <w:tcPr>
            <w:tcW w:w="1540" w:type="dxa"/>
            <w:vAlign w:val="bottom"/>
            <w:tcBorders>
              <w:top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Number of</w:t>
            </w: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auto"/>
            </w:tcBorders>
          </w:tcPr>
          <w:p>
            <w:pPr>
              <w:jc w:val="center"/>
              <w:ind w:left="78"/>
              <w:spacing w:after="0"/>
              <w:rPr>
                <w:sz w:val="20"/>
                <w:szCs w:val="20"/>
                <w:color w:val="auto"/>
              </w:rPr>
            </w:pPr>
            <w:r>
              <w:rPr>
                <w:rFonts w:ascii="Arial" w:cs="Arial" w:eastAsia="Arial" w:hAnsi="Arial"/>
                <w:sz w:val="14"/>
                <w:szCs w:val="14"/>
                <w:b w:val="1"/>
                <w:bCs w:val="1"/>
                <w:color w:val="auto"/>
              </w:rPr>
              <w:t>Number of</w:t>
            </w: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62"/>
        </w:trPr>
        <w:tc>
          <w:tcPr>
            <w:tcW w:w="4900" w:type="dxa"/>
            <w:vAlign w:val="bottom"/>
          </w:tcPr>
          <w:p>
            <w:pPr>
              <w:spacing w:after="0"/>
              <w:rPr>
                <w:sz w:val="14"/>
                <w:szCs w:val="14"/>
                <w:color w:val="auto"/>
              </w:rPr>
            </w:pPr>
          </w:p>
        </w:tc>
        <w:tc>
          <w:tcPr>
            <w:tcW w:w="1540" w:type="dxa"/>
            <w:vAlign w:val="bottom"/>
          </w:tcPr>
          <w:p>
            <w:pPr>
              <w:jc w:val="center"/>
              <w:ind w:left="38"/>
              <w:spacing w:after="0"/>
              <w:rPr>
                <w:sz w:val="20"/>
                <w:szCs w:val="20"/>
                <w:color w:val="auto"/>
              </w:rPr>
            </w:pPr>
            <w:r>
              <w:rPr>
                <w:rFonts w:ascii="Arial" w:cs="Arial" w:eastAsia="Arial" w:hAnsi="Arial"/>
                <w:sz w:val="14"/>
                <w:szCs w:val="14"/>
                <w:b w:val="1"/>
                <w:bCs w:val="1"/>
                <w:color w:val="auto"/>
              </w:rPr>
              <w:t>Shares Acquired</w:t>
            </w:r>
          </w:p>
        </w:tc>
        <w:tc>
          <w:tcPr>
            <w:tcW w:w="3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 Realized</w:t>
            </w:r>
          </w:p>
        </w:tc>
        <w:tc>
          <w:tcPr>
            <w:tcW w:w="1560" w:type="dxa"/>
            <w:vAlign w:val="bottom"/>
          </w:tcPr>
          <w:p>
            <w:pPr>
              <w:jc w:val="center"/>
              <w:ind w:left="58"/>
              <w:spacing w:after="0"/>
              <w:rPr>
                <w:sz w:val="20"/>
                <w:szCs w:val="20"/>
                <w:color w:val="auto"/>
              </w:rPr>
            </w:pPr>
            <w:r>
              <w:rPr>
                <w:rFonts w:ascii="Arial" w:cs="Arial" w:eastAsia="Arial" w:hAnsi="Arial"/>
                <w:sz w:val="14"/>
                <w:szCs w:val="14"/>
                <w:b w:val="1"/>
                <w:bCs w:val="1"/>
                <w:color w:val="auto"/>
              </w:rPr>
              <w:t>Shares Acquired</w:t>
            </w:r>
          </w:p>
        </w:tc>
        <w:tc>
          <w:tcPr>
            <w:tcW w:w="300" w:type="dxa"/>
            <w:vAlign w:val="bottom"/>
          </w:tcPr>
          <w:p>
            <w:pPr>
              <w:spacing w:after="0"/>
              <w:rPr>
                <w:sz w:val="14"/>
                <w:szCs w:val="14"/>
                <w:color w:val="auto"/>
              </w:rPr>
            </w:pPr>
          </w:p>
        </w:tc>
        <w:tc>
          <w:tcPr>
            <w:tcW w:w="122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 Realized</w:t>
            </w:r>
          </w:p>
        </w:tc>
      </w:tr>
      <w:tr>
        <w:trPr>
          <w:trHeight w:val="19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on Exercise (#)</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on Exercise ($)</w:t>
            </w:r>
          </w:p>
        </w:tc>
        <w:tc>
          <w:tcPr>
            <w:tcW w:w="156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rPr>
              <w:t>on Vesting (#)</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on Vesting ($)</w:t>
            </w:r>
          </w:p>
        </w:tc>
      </w:tr>
      <w:tr>
        <w:trPr>
          <w:trHeight w:val="25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15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18"/>
                <w:szCs w:val="18"/>
                <w:color w:val="auto"/>
              </w:rPr>
              <w:t>602,692</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75,481,097</w:t>
            </w:r>
          </w:p>
        </w:tc>
        <w:tc>
          <w:tcPr>
            <w:tcW w:w="1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8"/>
                <w:szCs w:val="18"/>
                <w:color w:val="auto"/>
              </w:rPr>
              <w:t>69,392</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11,497,560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87,920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6,173,009</w:t>
            </w:r>
          </w:p>
        </w:tc>
        <w:tc>
          <w:tcPr>
            <w:tcW w:w="120" w:type="dxa"/>
            <w:vAlign w:val="bottom"/>
          </w:tcPr>
          <w:p>
            <w:pPr>
              <w:spacing w:after="0"/>
              <w:rPr>
                <w:sz w:val="21"/>
                <w:szCs w:val="21"/>
                <w:color w:val="auto"/>
              </w:rPr>
            </w:pP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25,234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4,181,021</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1540" w:type="dxa"/>
            <w:vAlign w:val="bottom"/>
            <w:tcBorders>
              <w:bottom w:val="single" w:sz="8" w:color="DBDBDB"/>
            </w:tcBorders>
            <w:shd w:val="clear" w:color="auto" w:fill="DBDBDB"/>
          </w:tcPr>
          <w:p>
            <w:pPr>
              <w:jc w:val="right"/>
              <w:ind w:right="138"/>
              <w:spacing w:after="0"/>
              <w:rPr>
                <w:sz w:val="20"/>
                <w:szCs w:val="20"/>
                <w:color w:val="auto"/>
              </w:rPr>
            </w:pPr>
            <w:r>
              <w:rPr>
                <w:rFonts w:ascii="Arial" w:cs="Arial" w:eastAsia="Arial" w:hAnsi="Arial"/>
                <w:sz w:val="18"/>
                <w:szCs w:val="18"/>
                <w:color w:val="auto"/>
              </w:rPr>
              <w:t>48,000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5,214,264</w:t>
            </w:r>
          </w:p>
        </w:tc>
        <w:tc>
          <w:tcPr>
            <w:tcW w:w="1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8"/>
                <w:szCs w:val="18"/>
                <w:color w:val="auto"/>
              </w:rPr>
              <w:t>22,080</w:t>
            </w:r>
          </w:p>
        </w:tc>
        <w:tc>
          <w:tcPr>
            <w:tcW w:w="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3,658,435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35,173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2,054,566</w:t>
            </w:r>
          </w:p>
        </w:tc>
        <w:tc>
          <w:tcPr>
            <w:tcW w:w="120" w:type="dxa"/>
            <w:vAlign w:val="bottom"/>
          </w:tcPr>
          <w:p>
            <w:pPr>
              <w:spacing w:after="0"/>
              <w:rPr>
                <w:sz w:val="21"/>
                <w:szCs w:val="21"/>
                <w:color w:val="auto"/>
              </w:rPr>
            </w:pP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3,155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522,752</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1540" w:type="dxa"/>
            <w:vAlign w:val="bottom"/>
            <w:shd w:val="clear" w:color="auto" w:fill="DBDBDB"/>
          </w:tcPr>
          <w:p>
            <w:pPr>
              <w:jc w:val="right"/>
              <w:ind w:right="138"/>
              <w:spacing w:after="0"/>
              <w:rPr>
                <w:sz w:val="20"/>
                <w:szCs w:val="20"/>
                <w:color w:val="auto"/>
              </w:rPr>
            </w:pPr>
            <w:r>
              <w:rPr>
                <w:rFonts w:ascii="Arial" w:cs="Arial" w:eastAsia="Arial" w:hAnsi="Arial"/>
                <w:sz w:val="18"/>
                <w:szCs w:val="18"/>
                <w:color w:val="auto"/>
              </w:rPr>
              <w:t>30,329</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2,883,198</w:t>
            </w: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jc w:val="right"/>
              <w:ind w:right="118"/>
              <w:spacing w:after="0"/>
              <w:rPr>
                <w:sz w:val="20"/>
                <w:szCs w:val="20"/>
                <w:color w:val="auto"/>
              </w:rPr>
            </w:pPr>
            <w:r>
              <w:rPr>
                <w:rFonts w:ascii="Arial" w:cs="Arial" w:eastAsia="Arial" w:hAnsi="Arial"/>
                <w:sz w:val="18"/>
                <w:szCs w:val="18"/>
                <w:color w:val="auto"/>
              </w:rPr>
              <w:t>6,309</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1,045,338</w:t>
            </w:r>
          </w:p>
        </w:tc>
      </w:tr>
      <w:tr>
        <w:trPr>
          <w:trHeight w:val="27"/>
        </w:trPr>
        <w:tc>
          <w:tcPr>
            <w:tcW w:w="490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41</w:t>
      </w:r>
    </w:p>
    <w:p>
      <w:pPr>
        <w:sectPr>
          <w:pgSz w:w="11900" w:h="16838" w:orient="portrait"/>
          <w:cols w:equalWidth="0" w:num="1">
            <w:col w:w="11220"/>
          </w:cols>
          <w:pgMar w:left="320" w:top="787" w:right="35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2021 pension benefits</w:t>
      </w:r>
    </w:p>
    <w:p>
      <w:pPr>
        <w:spacing w:after="0" w:line="2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table shows the present value as of December 31, 2021,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jc w:val="center"/>
              <w:ind w:left="196"/>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Payments</w:t>
            </w:r>
          </w:p>
        </w:tc>
      </w:tr>
      <w:tr>
        <w:trPr>
          <w:trHeight w:val="162"/>
        </w:trPr>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jc w:val="center"/>
              <w:ind w:left="216"/>
              <w:spacing w:after="0"/>
              <w:rPr>
                <w:sz w:val="20"/>
                <w:szCs w:val="20"/>
                <w:color w:val="auto"/>
              </w:rPr>
            </w:pPr>
            <w:r>
              <w:rPr>
                <w:rFonts w:ascii="Arial" w:cs="Arial" w:eastAsia="Arial" w:hAnsi="Arial"/>
                <w:sz w:val="14"/>
                <w:szCs w:val="14"/>
                <w:b w:val="1"/>
                <w:bCs w:val="1"/>
                <w:color w:val="auto"/>
              </w:rPr>
              <w:t>Years Credited</w:t>
            </w:r>
          </w:p>
        </w:tc>
        <w:tc>
          <w:tcPr>
            <w:tcW w:w="300" w:type="dxa"/>
            <w:vAlign w:val="bottom"/>
          </w:tcPr>
          <w:p>
            <w:pPr>
              <w:spacing w:after="0"/>
              <w:rPr>
                <w:sz w:val="14"/>
                <w:szCs w:val="14"/>
                <w:color w:val="auto"/>
              </w:rPr>
            </w:pPr>
          </w:p>
        </w:tc>
        <w:tc>
          <w:tcPr>
            <w:tcW w:w="1220" w:type="dxa"/>
            <w:vAlign w:val="bottom"/>
          </w:tcPr>
          <w:p>
            <w:pPr>
              <w:jc w:val="center"/>
              <w:ind w:right="215"/>
              <w:spacing w:after="0"/>
              <w:rPr>
                <w:sz w:val="20"/>
                <w:szCs w:val="20"/>
                <w:color w:val="auto"/>
              </w:rPr>
            </w:pPr>
            <w:r>
              <w:rPr>
                <w:rFonts w:ascii="Arial" w:cs="Arial" w:eastAsia="Arial" w:hAnsi="Arial"/>
                <w:sz w:val="14"/>
                <w:szCs w:val="14"/>
                <w:b w:val="1"/>
                <w:bCs w:val="1"/>
                <w:color w:val="auto"/>
              </w:rPr>
              <w:t>Accumulated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196"/>
        </w:trPr>
        <w:tc>
          <w:tcPr>
            <w:tcW w:w="23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Name (1)</w:t>
            </w:r>
          </w:p>
        </w:tc>
        <w:tc>
          <w:tcPr>
            <w:tcW w:w="42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Plan Name</w:t>
            </w:r>
          </w:p>
        </w:tc>
        <w:tc>
          <w:tcPr>
            <w:tcW w:w="168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rPr>
              <w:t>Service (#)</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Benefit ($) (5)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w:t>
            </w:r>
          </w:p>
        </w:tc>
      </w:tr>
      <w:tr>
        <w:trPr>
          <w:trHeight w:val="250"/>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 (2)</w:t>
            </w:r>
          </w:p>
        </w:tc>
        <w:tc>
          <w:tcPr>
            <w:tcW w:w="426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8"/>
                <w:szCs w:val="18"/>
                <w:color w:val="auto"/>
              </w:rPr>
              <w:t>TI Employees Pension Plan</w:t>
            </w:r>
          </w:p>
        </w:tc>
        <w:tc>
          <w:tcPr>
            <w:tcW w:w="1680" w:type="dxa"/>
            <w:vAlign w:val="bottom"/>
            <w:tcBorders>
              <w:bottom w:val="single" w:sz="8" w:color="DBDBDB"/>
            </w:tcBorders>
            <w:shd w:val="clear" w:color="auto" w:fill="DBDBDB"/>
          </w:tcPr>
          <w:p>
            <w:pPr>
              <w:jc w:val="center"/>
              <w:ind w:left="216"/>
              <w:spacing w:after="0"/>
              <w:rPr>
                <w:sz w:val="20"/>
                <w:szCs w:val="20"/>
                <w:color w:val="auto"/>
              </w:rPr>
            </w:pPr>
            <w:r>
              <w:rPr>
                <w:rFonts w:ascii="Arial" w:cs="Arial" w:eastAsia="Arial" w:hAnsi="Arial"/>
                <w:sz w:val="18"/>
                <w:szCs w:val="18"/>
                <w:color w:val="auto"/>
                <w:w w:val="97"/>
              </w:rPr>
              <w:t>16 (3)</w:t>
            </w:r>
          </w:p>
        </w:tc>
        <w:tc>
          <w:tcPr>
            <w:tcW w:w="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8"/>
                <w:szCs w:val="18"/>
                <w:color w:val="auto"/>
              </w:rPr>
              <w:t>941,524</w:t>
            </w:r>
          </w:p>
        </w:tc>
        <w:tc>
          <w:tcPr>
            <w:tcW w:w="13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30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TI Employees Non-Qualified Pension Plan</w:t>
            </w:r>
          </w:p>
        </w:tc>
        <w:tc>
          <w:tcPr>
            <w:tcW w:w="1680" w:type="dxa"/>
            <w:vAlign w:val="bottom"/>
          </w:tcPr>
          <w:p>
            <w:pPr>
              <w:jc w:val="center"/>
              <w:ind w:left="216"/>
              <w:spacing w:after="0"/>
              <w:rPr>
                <w:sz w:val="20"/>
                <w:szCs w:val="20"/>
                <w:color w:val="auto"/>
              </w:rPr>
            </w:pPr>
            <w:r>
              <w:rPr>
                <w:rFonts w:ascii="Arial" w:cs="Arial" w:eastAsia="Arial" w:hAnsi="Arial"/>
                <w:sz w:val="18"/>
                <w:szCs w:val="18"/>
                <w:color w:val="auto"/>
                <w:w w:val="97"/>
              </w:rPr>
              <w:t>16 (3)</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463,434</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3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00" w:type="dxa"/>
            <w:vAlign w:val="bottom"/>
            <w:tcBorders>
              <w:bottom w:val="single" w:sz="8" w:color="DBDBDB"/>
            </w:tcBorders>
            <w:shd w:val="clear" w:color="auto" w:fill="DBDBDB"/>
          </w:tcPr>
          <w:p>
            <w:pPr>
              <w:spacing w:after="0"/>
              <w:rPr>
                <w:sz w:val="21"/>
                <w:szCs w:val="21"/>
                <w:color w:val="auto"/>
              </w:rPr>
            </w:pPr>
          </w:p>
        </w:tc>
        <w:tc>
          <w:tcPr>
            <w:tcW w:w="426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8"/>
                <w:szCs w:val="18"/>
                <w:color w:val="auto"/>
              </w:rPr>
              <w:t>TI Employees Non-Qualified Pension Plan II</w:t>
            </w:r>
          </w:p>
        </w:tc>
        <w:tc>
          <w:tcPr>
            <w:tcW w:w="1680" w:type="dxa"/>
            <w:vAlign w:val="bottom"/>
            <w:tcBorders>
              <w:bottom w:val="single" w:sz="8" w:color="DBDBDB"/>
            </w:tcBorders>
            <w:shd w:val="clear" w:color="auto" w:fill="DBDBDB"/>
          </w:tcPr>
          <w:p>
            <w:pPr>
              <w:jc w:val="center"/>
              <w:ind w:left="216"/>
              <w:spacing w:after="0"/>
              <w:rPr>
                <w:sz w:val="20"/>
                <w:szCs w:val="20"/>
                <w:color w:val="auto"/>
              </w:rPr>
            </w:pPr>
            <w:r>
              <w:rPr>
                <w:rFonts w:ascii="Arial" w:cs="Arial" w:eastAsia="Arial" w:hAnsi="Arial"/>
                <w:sz w:val="18"/>
                <w:szCs w:val="18"/>
                <w:color w:val="auto"/>
                <w:w w:val="97"/>
              </w:rPr>
              <w:t>16 (4)</w:t>
            </w:r>
          </w:p>
        </w:tc>
        <w:tc>
          <w:tcPr>
            <w:tcW w:w="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8"/>
                <w:szCs w:val="18"/>
                <w:color w:val="auto"/>
              </w:rPr>
              <w:t>234,398</w:t>
            </w:r>
          </w:p>
        </w:tc>
        <w:tc>
          <w:tcPr>
            <w:tcW w:w="13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Kyle M. Flessner (2)</w:t>
            </w:r>
          </w:p>
        </w:tc>
        <w:tc>
          <w:tcPr>
            <w:tcW w:w="426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8"/>
                <w:szCs w:val="18"/>
                <w:color w:val="auto"/>
              </w:rPr>
              <w:t>TI Employees Pension Plan</w:t>
            </w:r>
          </w:p>
        </w:tc>
        <w:tc>
          <w:tcPr>
            <w:tcW w:w="1680" w:type="dxa"/>
            <w:vAlign w:val="bottom"/>
            <w:tcBorders>
              <w:bottom w:val="single" w:sz="8" w:color="DBDBDB"/>
            </w:tcBorders>
            <w:shd w:val="clear" w:color="auto" w:fill="DBDBDB"/>
          </w:tcPr>
          <w:p>
            <w:pPr>
              <w:jc w:val="center"/>
              <w:ind w:left="216"/>
              <w:spacing w:after="0"/>
              <w:rPr>
                <w:sz w:val="20"/>
                <w:szCs w:val="20"/>
                <w:color w:val="auto"/>
              </w:rPr>
            </w:pPr>
            <w:r>
              <w:rPr>
                <w:rFonts w:ascii="Arial" w:cs="Arial" w:eastAsia="Arial" w:hAnsi="Arial"/>
                <w:sz w:val="18"/>
                <w:szCs w:val="18"/>
                <w:color w:val="auto"/>
              </w:rPr>
              <w:t>4 (3)</w:t>
            </w:r>
          </w:p>
        </w:tc>
        <w:tc>
          <w:tcPr>
            <w:tcW w:w="3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8"/>
                <w:szCs w:val="18"/>
                <w:color w:val="auto"/>
              </w:rPr>
              <w:t>19,723</w:t>
            </w:r>
          </w:p>
        </w:tc>
        <w:tc>
          <w:tcPr>
            <w:tcW w:w="13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30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TI Employees Non-Qualified Pension Plan</w:t>
            </w:r>
          </w:p>
        </w:tc>
        <w:tc>
          <w:tcPr>
            <w:tcW w:w="1680" w:type="dxa"/>
            <w:vAlign w:val="bottom"/>
          </w:tcPr>
          <w:p>
            <w:pPr>
              <w:jc w:val="center"/>
              <w:ind w:left="216"/>
              <w:spacing w:after="0"/>
              <w:rPr>
                <w:sz w:val="20"/>
                <w:szCs w:val="20"/>
                <w:color w:val="auto"/>
              </w:rPr>
            </w:pPr>
            <w:r>
              <w:rPr>
                <w:rFonts w:ascii="Arial" w:cs="Arial" w:eastAsia="Arial" w:hAnsi="Arial"/>
                <w:sz w:val="18"/>
                <w:szCs w:val="18"/>
                <w:color w:val="auto"/>
              </w:rPr>
              <w:t>4 (3)</w:t>
            </w:r>
          </w:p>
        </w:tc>
        <w:tc>
          <w:tcPr>
            <w:tcW w:w="300" w:type="dxa"/>
            <w:vAlign w:val="bottom"/>
          </w:tcPr>
          <w:p>
            <w:pPr>
              <w:spacing w:after="0"/>
              <w:rPr>
                <w:sz w:val="21"/>
                <w:szCs w:val="21"/>
                <w:color w:val="auto"/>
              </w:rPr>
            </w:pPr>
          </w:p>
        </w:tc>
        <w:tc>
          <w:tcPr>
            <w:tcW w:w="1220" w:type="dxa"/>
            <w:vAlign w:val="bottom"/>
          </w:tcPr>
          <w:p>
            <w:pPr>
              <w:jc w:val="center"/>
              <w:ind w:right="235"/>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3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2300" w:type="dxa"/>
            <w:vAlign w:val="bottom"/>
            <w:shd w:val="clear" w:color="auto" w:fill="DBDBDB"/>
          </w:tcPr>
          <w:p>
            <w:pPr>
              <w:spacing w:after="0"/>
              <w:rPr>
                <w:sz w:val="21"/>
                <w:szCs w:val="21"/>
                <w:color w:val="auto"/>
              </w:rPr>
            </w:pPr>
          </w:p>
        </w:tc>
        <w:tc>
          <w:tcPr>
            <w:tcW w:w="4260" w:type="dxa"/>
            <w:vAlign w:val="bottom"/>
            <w:shd w:val="clear" w:color="auto" w:fill="DBDBDB"/>
          </w:tcPr>
          <w:p>
            <w:pPr>
              <w:ind w:left="260"/>
              <w:spacing w:after="0"/>
              <w:rPr>
                <w:sz w:val="20"/>
                <w:szCs w:val="20"/>
                <w:color w:val="auto"/>
              </w:rPr>
            </w:pPr>
            <w:r>
              <w:rPr>
                <w:rFonts w:ascii="Arial" w:cs="Arial" w:eastAsia="Arial" w:hAnsi="Arial"/>
                <w:sz w:val="18"/>
                <w:szCs w:val="18"/>
                <w:color w:val="auto"/>
              </w:rPr>
              <w:t>TI Employees Non-Qualified Pension Plan II</w:t>
            </w:r>
          </w:p>
        </w:tc>
        <w:tc>
          <w:tcPr>
            <w:tcW w:w="1680" w:type="dxa"/>
            <w:vAlign w:val="bottom"/>
            <w:shd w:val="clear" w:color="auto" w:fill="DBDBDB"/>
          </w:tcPr>
          <w:p>
            <w:pPr>
              <w:jc w:val="center"/>
              <w:ind w:left="21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300" w:type="dxa"/>
            <w:vAlign w:val="bottom"/>
            <w:shd w:val="clear" w:color="auto" w:fill="DBDBDB"/>
          </w:tcPr>
          <w:p>
            <w:pPr>
              <w:spacing w:after="0"/>
              <w:rPr>
                <w:sz w:val="2"/>
                <w:szCs w:val="2"/>
                <w:color w:val="auto"/>
              </w:rPr>
            </w:pPr>
          </w:p>
        </w:tc>
        <w:tc>
          <w:tcPr>
            <w:tcW w:w="426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r>
    </w:tbl>
    <w:p>
      <w:pPr>
        <w:spacing w:after="0" w:line="202" w:lineRule="exact"/>
        <w:rPr>
          <w:sz w:val="20"/>
          <w:szCs w:val="20"/>
          <w:color w:val="auto"/>
        </w:rPr>
      </w:pPr>
    </w:p>
    <w:p>
      <w:pPr>
        <w:ind w:left="500" w:right="360" w:hanging="492"/>
        <w:spacing w:after="0" w:line="261"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Messrs. Lizardi, Ilan and Kozanian do not participate in any of the company’s defined benefit pension plans because they joined TI after these plans were closed to new participants.</w:t>
      </w:r>
    </w:p>
    <w:p>
      <w:pPr>
        <w:spacing w:after="0" w:line="89" w:lineRule="exact"/>
        <w:rPr>
          <w:rFonts w:ascii="Arial" w:cs="Arial" w:eastAsia="Arial" w:hAnsi="Arial"/>
          <w:sz w:val="18"/>
          <w:szCs w:val="18"/>
          <w:color w:val="auto"/>
        </w:rPr>
      </w:pPr>
    </w:p>
    <w:p>
      <w:pPr>
        <w:ind w:left="500" w:right="20" w:hanging="492"/>
        <w:spacing w:after="0" w:line="253"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Mr. Templeton and Mr. Flessner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Flessner’s benefits are included in the 2021 summary compensation table.</w:t>
      </w:r>
    </w:p>
    <w:p>
      <w:pPr>
        <w:spacing w:after="0" w:line="97" w:lineRule="exact"/>
        <w:rPr>
          <w:rFonts w:ascii="Arial" w:cs="Arial" w:eastAsia="Arial" w:hAnsi="Arial"/>
          <w:sz w:val="18"/>
          <w:szCs w:val="18"/>
          <w:color w:val="auto"/>
        </w:rPr>
      </w:pPr>
    </w:p>
    <w:p>
      <w:pPr>
        <w:ind w:left="500" w:right="100" w:hanging="492"/>
        <w:spacing w:after="0" w:line="256"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and Mr. Flessner have been employed by TI for longer than the years of credited service shown in the preceding table.</w:t>
      </w:r>
    </w:p>
    <w:p>
      <w:pPr>
        <w:spacing w:after="0" w:line="93" w:lineRule="exact"/>
        <w:rPr>
          <w:rFonts w:ascii="Arial" w:cs="Arial" w:eastAsia="Arial" w:hAnsi="Arial"/>
          <w:sz w:val="18"/>
          <w:szCs w:val="18"/>
          <w:color w:val="auto"/>
        </w:rPr>
      </w:pPr>
    </w:p>
    <w:p>
      <w:pPr>
        <w:ind w:left="500" w:right="320" w:hanging="492"/>
        <w:spacing w:after="0" w:line="261"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89" w:lineRule="exact"/>
        <w:rPr>
          <w:rFonts w:ascii="Arial" w:cs="Arial" w:eastAsia="Arial" w:hAnsi="Arial"/>
          <w:sz w:val="18"/>
          <w:szCs w:val="18"/>
          <w:color w:val="auto"/>
        </w:rPr>
      </w:pPr>
    </w:p>
    <w:p>
      <w:pPr>
        <w:ind w:left="500" w:hanging="492"/>
        <w:spacing w:after="0" w:line="252" w:lineRule="auto"/>
        <w:tabs>
          <w:tab w:leader="none" w:pos="4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8 to the 2021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2021, is determined using either (i) the Pension Benefit Guaranty Corporation (PBGC) interest assumption of 0% in 2022; 1% in 2023+ or (ii) the Pension Protection Act of 2006 (PPA) corporate bond yield interest assumption of 3% in 2022; 4% in 2023+, whichever rates produce the higher lump-sum amount. A discount rate assumption of 2.75% for the TI Employees Pension Plan and 2.59% for the non-qualified pension plans was used to determine the present value of each lump sum.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Employees Pension Plan</w:t>
      </w:r>
    </w:p>
    <w:p>
      <w:pPr>
        <w:spacing w:after="0" w:line="21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eligible for early retirement at 55 years of age with 20 years of employment or 60 years of age with five years of employment.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Mr. Templeton was eligible for early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42</w:t>
      </w:r>
    </w:p>
    <w:p>
      <w:pPr>
        <w:sectPr>
          <w:pgSz w:w="11900" w:h="16838" w:orient="portrait"/>
          <w:cols w:equalWidth="0" w:num="1">
            <w:col w:w="11220"/>
          </w:cols>
          <w:pgMar w:left="320" w:top="976" w:right="359" w:bottom="1440" w:gutter="0" w:footer="0" w:header="0"/>
        </w:sectPr>
      </w:pPr>
    </w:p>
    <w:bookmarkStart w:id="43" w:name="page44"/>
    <w:bookmarkEnd w:id="43"/>
    <w:p>
      <w:pPr>
        <w:ind w:right="60"/>
        <w:spacing w:after="0" w:line="253"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survivor annuity, (v) joint and 75% survivor annuity and (vi) joint and 100% survivor annuity. Participants who do not request payment will begin to receive benefits in April of the year after reaching the age of 72 in the form of annuity required under the IRC.</w:t>
      </w:r>
    </w:p>
    <w:p>
      <w:pPr>
        <w:spacing w:after="0" w:line="20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2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employees non-qualified pension plans</w:t>
      </w:r>
    </w:p>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204"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43</w:t>
      </w:r>
    </w:p>
    <w:p>
      <w:pPr>
        <w:sectPr>
          <w:pgSz w:w="11900" w:h="16838" w:orient="portrait"/>
          <w:cols w:equalWidth="0" w:num="1">
            <w:col w:w="11240"/>
          </w:cols>
          <w:pgMar w:left="320" w:top="787" w:right="339" w:bottom="1440" w:gutter="0" w:footer="0" w:header="0"/>
        </w:sectPr>
      </w:pPr>
    </w:p>
    <w:bookmarkStart w:id="44" w:name="page45"/>
    <w:bookmarkEnd w:id="44"/>
    <w:p>
      <w:pPr>
        <w:ind w:right="20"/>
        <w:spacing w:after="0" w:line="252"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 Employees Survivor Benefit Plan</w:t>
      </w:r>
    </w:p>
    <w:p>
      <w:pPr>
        <w:spacing w:after="0" w:line="21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early retirement as of December 31, 2021, his beneficiaries would be eligible for benefits under the survivor benefit plan if he were to die.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non-qualified deferred compensation</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2021 and the aggregate amount of his deferred compensation as of December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393"/>
              <w:spacing w:after="0"/>
              <w:rPr>
                <w:sz w:val="20"/>
                <w:szCs w:val="20"/>
                <w:color w:val="auto"/>
              </w:rPr>
            </w:pPr>
            <w:r>
              <w:rPr>
                <w:rFonts w:ascii="Arial" w:cs="Arial" w:eastAsia="Arial" w:hAnsi="Arial"/>
                <w:sz w:val="14"/>
                <w:szCs w:val="14"/>
                <w:b w:val="1"/>
                <w:bCs w:val="1"/>
                <w:color w:val="auto"/>
              </w:rPr>
              <w:t>Executive</w:t>
            </w:r>
          </w:p>
        </w:tc>
        <w:tc>
          <w:tcPr>
            <w:tcW w:w="440" w:type="dxa"/>
            <w:vAlign w:val="bottom"/>
          </w:tcPr>
          <w:p>
            <w:pPr>
              <w:spacing w:after="0"/>
              <w:rPr>
                <w:sz w:val="14"/>
                <w:szCs w:val="14"/>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Registrant</w:t>
            </w:r>
          </w:p>
        </w:tc>
        <w:tc>
          <w:tcPr>
            <w:tcW w:w="4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Contributions</w:t>
            </w: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Contributions</w:t>
            </w:r>
          </w:p>
        </w:tc>
        <w:tc>
          <w:tcPr>
            <w:tcW w:w="4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Balance at Last</w:t>
            </w:r>
          </w:p>
        </w:tc>
        <w:tc>
          <w:tcPr>
            <w:tcW w:w="520" w:type="dxa"/>
            <w:vAlign w:val="bottom"/>
          </w:tcPr>
          <w:p>
            <w:pPr>
              <w:spacing w:after="0"/>
              <w:rPr>
                <w:sz w:val="14"/>
                <w:szCs w:val="14"/>
                <w:color w:val="auto"/>
              </w:rPr>
            </w:pPr>
          </w:p>
        </w:tc>
      </w:tr>
      <w:tr>
        <w:trPr>
          <w:trHeight w:val="19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Last FY ($)(1)</w:t>
            </w: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 Last FY ($)(2)</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Last FY ($)</w:t>
            </w:r>
          </w:p>
        </w:tc>
        <w:tc>
          <w:tcPr>
            <w:tcW w:w="5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rPr>
              <w:t>Distributions ($)</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FYE ($) (5)</w:t>
            </w:r>
          </w:p>
        </w:tc>
        <w:tc>
          <w:tcPr>
            <w:tcW w:w="520" w:type="dxa"/>
            <w:vAlign w:val="bottom"/>
            <w:tcBorders>
              <w:bottom w:val="single" w:sz="8" w:color="auto"/>
            </w:tcBorders>
          </w:tcPr>
          <w:p>
            <w:pPr>
              <w:spacing w:after="0"/>
              <w:rPr>
                <w:sz w:val="17"/>
                <w:szCs w:val="17"/>
                <w:color w:val="auto"/>
              </w:rPr>
            </w:pPr>
          </w:p>
        </w:tc>
      </w:tr>
      <w:tr>
        <w:trPr>
          <w:trHeight w:val="249"/>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5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ind w:right="273"/>
              <w:spacing w:after="0"/>
              <w:rPr>
                <w:sz w:val="20"/>
                <w:szCs w:val="20"/>
                <w:color w:val="auto"/>
              </w:rPr>
            </w:pPr>
            <w:r>
              <w:rPr>
                <w:rFonts w:ascii="Arial" w:cs="Arial" w:eastAsia="Arial" w:hAnsi="Arial"/>
                <w:sz w:val="18"/>
                <w:szCs w:val="18"/>
                <w:color w:val="auto"/>
              </w:rPr>
              <w:t>191,100</w:t>
            </w:r>
          </w:p>
        </w:tc>
        <w:tc>
          <w:tcPr>
            <w:tcW w:w="44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281,060</w:t>
            </w:r>
          </w:p>
        </w:tc>
        <w:tc>
          <w:tcPr>
            <w:tcW w:w="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3,430,793</w:t>
            </w:r>
          </w:p>
        </w:tc>
        <w:tc>
          <w:tcPr>
            <w:tcW w:w="50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732,891</w:t>
            </w:r>
          </w:p>
        </w:tc>
        <w:tc>
          <w:tcPr>
            <w:tcW w:w="480" w:type="dxa"/>
            <w:vAlign w:val="bottom"/>
            <w:tcBorders>
              <w:bottom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23,860,224</w:t>
            </w:r>
          </w:p>
        </w:tc>
        <w:tc>
          <w:tcPr>
            <w:tcW w:w="52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rPr>
              <w:t>(6)</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3"/>
              <w:spacing w:after="0"/>
              <w:rPr>
                <w:sz w:val="20"/>
                <w:szCs w:val="20"/>
                <w:color w:val="auto"/>
              </w:rPr>
            </w:pPr>
            <w:r>
              <w:rPr>
                <w:rFonts w:ascii="Arial" w:cs="Arial" w:eastAsia="Arial" w:hAnsi="Arial"/>
                <w:sz w:val="18"/>
                <w:szCs w:val="18"/>
                <w:color w:val="auto"/>
              </w:rPr>
              <w:t>58,933</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80,057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85,316</w:t>
            </w:r>
          </w:p>
        </w:tc>
        <w:tc>
          <w:tcPr>
            <w:tcW w:w="5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211,658</w:t>
            </w:r>
          </w:p>
        </w:tc>
        <w:tc>
          <w:tcPr>
            <w:tcW w:w="4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911,627</w:t>
            </w:r>
          </w:p>
        </w:tc>
        <w:tc>
          <w:tcPr>
            <w:tcW w:w="52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5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ind w:right="273"/>
              <w:spacing w:after="0"/>
              <w:rPr>
                <w:sz w:val="20"/>
                <w:szCs w:val="20"/>
                <w:color w:val="auto"/>
              </w:rPr>
            </w:pPr>
            <w:r>
              <w:rPr>
                <w:rFonts w:ascii="Arial" w:cs="Arial" w:eastAsia="Arial" w:hAnsi="Arial"/>
                <w:sz w:val="18"/>
                <w:szCs w:val="18"/>
                <w:color w:val="auto"/>
              </w:rPr>
              <w:t>298,875</w:t>
            </w:r>
          </w:p>
        </w:tc>
        <w:tc>
          <w:tcPr>
            <w:tcW w:w="44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70,747</w:t>
            </w:r>
          </w:p>
        </w:tc>
        <w:tc>
          <w:tcPr>
            <w:tcW w:w="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152,496</w:t>
            </w:r>
          </w:p>
        </w:tc>
        <w:tc>
          <w:tcPr>
            <w:tcW w:w="5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1,850,605</w:t>
            </w:r>
          </w:p>
        </w:tc>
        <w:tc>
          <w:tcPr>
            <w:tcW w:w="520" w:type="dxa"/>
            <w:vAlign w:val="bottom"/>
            <w:tcBorders>
              <w:bottom w:val="single" w:sz="8" w:color="DBDBDB"/>
            </w:tcBorders>
            <w:shd w:val="clear" w:color="auto" w:fill="DBDBDB"/>
          </w:tcPr>
          <w:p>
            <w:pPr>
              <w:spacing w:after="0"/>
              <w:rPr>
                <w:sz w:val="21"/>
                <w:szCs w:val="2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3"/>
              <w:spacing w:after="0"/>
              <w:rPr>
                <w:sz w:val="20"/>
                <w:szCs w:val="20"/>
                <w:color w:val="auto"/>
              </w:rPr>
            </w:pPr>
            <w:r>
              <w:rPr>
                <w:rFonts w:ascii="Arial" w:cs="Arial" w:eastAsia="Arial" w:hAnsi="Arial"/>
                <w:sz w:val="18"/>
                <w:szCs w:val="18"/>
                <w:color w:val="auto"/>
              </w:rPr>
              <w:t>53,867</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18,895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15,922</w:t>
            </w:r>
          </w:p>
        </w:tc>
        <w:tc>
          <w:tcPr>
            <w:tcW w:w="5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21,160</w:t>
            </w:r>
          </w:p>
        </w:tc>
        <w:tc>
          <w:tcPr>
            <w:tcW w:w="4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151,536</w:t>
            </w:r>
          </w:p>
        </w:tc>
        <w:tc>
          <w:tcPr>
            <w:tcW w:w="52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2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500" w:type="dxa"/>
            <w:vAlign w:val="bottom"/>
            <w:shd w:val="clear" w:color="auto" w:fill="DBDBDB"/>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273"/>
              <w:spacing w:after="0"/>
              <w:rPr>
                <w:sz w:val="20"/>
                <w:szCs w:val="20"/>
                <w:color w:val="auto"/>
              </w:rPr>
            </w:pPr>
            <w:r>
              <w:rPr>
                <w:rFonts w:ascii="Arial" w:cs="Arial" w:eastAsia="Arial" w:hAnsi="Arial"/>
                <w:sz w:val="18"/>
                <w:szCs w:val="18"/>
                <w:color w:val="auto"/>
              </w:rPr>
              <w:t>60,000</w:t>
            </w:r>
          </w:p>
        </w:tc>
        <w:tc>
          <w:tcPr>
            <w:tcW w:w="440" w:type="dxa"/>
            <w:vAlign w:val="bottom"/>
            <w:shd w:val="clear" w:color="auto" w:fill="DBDBDB"/>
          </w:tcPr>
          <w:p>
            <w:pPr>
              <w:ind w:lef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253"/>
              <w:spacing w:after="0"/>
              <w:rPr>
                <w:sz w:val="20"/>
                <w:szCs w:val="20"/>
                <w:color w:val="auto"/>
              </w:rPr>
            </w:pPr>
            <w:r>
              <w:rPr>
                <w:rFonts w:ascii="Arial" w:cs="Arial" w:eastAsia="Arial" w:hAnsi="Arial"/>
                <w:sz w:val="18"/>
                <w:szCs w:val="18"/>
                <w:color w:val="auto"/>
              </w:rPr>
              <w:t>90,650</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47,782</w:t>
            </w:r>
          </w:p>
        </w:tc>
        <w:tc>
          <w:tcPr>
            <w:tcW w:w="500" w:type="dxa"/>
            <w:vAlign w:val="bottom"/>
            <w:shd w:val="clear" w:color="auto" w:fill="DBDBDB"/>
          </w:tcPr>
          <w:p>
            <w:pPr>
              <w:spacing w:after="0"/>
              <w:rPr>
                <w:sz w:val="21"/>
                <w:szCs w:val="21"/>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131,074</w:t>
            </w:r>
          </w:p>
        </w:tc>
        <w:tc>
          <w:tcPr>
            <w:tcW w:w="48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426,340</w:t>
            </w:r>
          </w:p>
        </w:tc>
        <w:tc>
          <w:tcPr>
            <w:tcW w:w="520" w:type="dxa"/>
            <w:vAlign w:val="bottom"/>
            <w:shd w:val="clear" w:color="auto" w:fill="DBDBDB"/>
          </w:tcPr>
          <w:p>
            <w:pPr>
              <w:spacing w:after="0"/>
              <w:rPr>
                <w:sz w:val="21"/>
                <w:szCs w:val="21"/>
                <w:color w:val="auto"/>
              </w:rPr>
            </w:pPr>
          </w:p>
        </w:tc>
      </w:tr>
      <w:tr>
        <w:trPr>
          <w:trHeight w:val="27"/>
        </w:trPr>
        <w:tc>
          <w:tcPr>
            <w:tcW w:w="208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520" w:type="dxa"/>
            <w:vAlign w:val="bottom"/>
            <w:shd w:val="clear" w:color="auto" w:fill="DBDBDB"/>
          </w:tcPr>
          <w:p>
            <w:pPr>
              <w:spacing w:after="0"/>
              <w:rPr>
                <w:sz w:val="2"/>
                <w:szCs w:val="2"/>
                <w:color w:val="auto"/>
              </w:rPr>
            </w:pPr>
          </w:p>
        </w:tc>
      </w:tr>
    </w:tbl>
    <w:p>
      <w:pPr>
        <w:spacing w:after="0" w:line="202" w:lineRule="exact"/>
        <w:rPr>
          <w:sz w:val="20"/>
          <w:szCs w:val="20"/>
          <w:color w:val="auto"/>
        </w:rPr>
      </w:pPr>
    </w:p>
    <w:p>
      <w:pPr>
        <w:ind w:left="420" w:right="700" w:hanging="412"/>
        <w:spacing w:after="0" w:line="261"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shown for Messrs. Templeton and Ilan include a portion of their salary and bonus paid in 2021, for Messrs. Lizardi and Kozanian a portion of their salary paid in 2021 and for Mr. Flessner a portion of his bonus paid in 2021.</w:t>
      </w:r>
    </w:p>
    <w:p>
      <w:pPr>
        <w:spacing w:after="0" w:line="89" w:lineRule="exact"/>
        <w:rPr>
          <w:rFonts w:ascii="Arial" w:cs="Arial" w:eastAsia="Arial" w:hAnsi="Arial"/>
          <w:sz w:val="18"/>
          <w:szCs w:val="18"/>
          <w:color w:val="auto"/>
        </w:rPr>
      </w:pPr>
    </w:p>
    <w:p>
      <w:pPr>
        <w:ind w:left="420" w:right="20" w:hanging="412"/>
        <w:spacing w:after="0" w:line="261"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2021 summary compensation table.</w:t>
      </w:r>
    </w:p>
    <w:p>
      <w:pPr>
        <w:spacing w:after="0" w:line="89" w:lineRule="exact"/>
        <w:rPr>
          <w:rFonts w:ascii="Arial" w:cs="Arial" w:eastAsia="Arial" w:hAnsi="Arial"/>
          <w:sz w:val="18"/>
          <w:szCs w:val="18"/>
          <w:color w:val="auto"/>
        </w:rPr>
      </w:pPr>
    </w:p>
    <w:p>
      <w:pPr>
        <w:ind w:left="420" w:right="140" w:hanging="412"/>
        <w:spacing w:after="0" w:line="271" w:lineRule="auto"/>
        <w:tabs>
          <w:tab w:leader="none" w:pos="41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Consists of: (a) $505,200 in dividend equivalents paid under the 120,000-share 1995 RSU award previously discussed, settlement of which has been deferred until after termination of employment; (b) a $2,920,800 increase in the value of the RSU award (calculated by subtracting the value of the award at year-end 2020 from the value of the award at year-end 2021 (in both cases, the number of RSUs is multiplied by the closing price of TI common stock on the last trading date of the year)); and (c) a $4,793 gain in Mr. Templeton’s deferred compensation account in 2021. Dividend equivalents are paid at the same rate as dividends on TI common stock.</w:t>
      </w:r>
    </w:p>
    <w:p>
      <w:pPr>
        <w:spacing w:after="0" w:line="84" w:lineRule="exact"/>
        <w:rPr>
          <w:rFonts w:ascii="Arial" w:cs="Arial" w:eastAsia="Arial" w:hAnsi="Arial"/>
          <w:sz w:val="17"/>
          <w:szCs w:val="17"/>
          <w:color w:val="auto"/>
        </w:rPr>
      </w:pPr>
    </w:p>
    <w:p>
      <w:pPr>
        <w:ind w:left="420" w:right="480" w:hanging="412"/>
        <w:spacing w:after="0" w:line="261"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$732,891 deferred compensation plan account distribution.</w:t>
      </w:r>
    </w:p>
    <w:p>
      <w:pPr>
        <w:spacing w:after="0" w:line="89" w:lineRule="exact"/>
        <w:rPr>
          <w:rFonts w:ascii="Arial" w:cs="Arial" w:eastAsia="Arial" w:hAnsi="Arial"/>
          <w:sz w:val="18"/>
          <w:szCs w:val="18"/>
          <w:color w:val="auto"/>
        </w:rPr>
      </w:pPr>
    </w:p>
    <w:p>
      <w:pPr>
        <w:ind w:left="420" w:right="100" w:hanging="412"/>
        <w:spacing w:after="0" w:line="256"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93" w:lineRule="exact"/>
        <w:rPr>
          <w:rFonts w:ascii="Arial" w:cs="Arial" w:eastAsia="Arial" w:hAnsi="Arial"/>
          <w:sz w:val="18"/>
          <w:szCs w:val="18"/>
          <w:color w:val="auto"/>
        </w:rPr>
      </w:pPr>
    </w:p>
    <w:p>
      <w:pPr>
        <w:ind w:left="420" w:right="20" w:hanging="412"/>
        <w:spacing w:after="0" w:line="261"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this amount, $22,616,400 is attributable to Mr. Templeton’s 1995 RSU award, calculated as described in Note 3. The remainder is the balance of his deferred compensation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44</w:t>
      </w:r>
    </w:p>
    <w:p>
      <w:pPr>
        <w:sectPr>
          <w:pgSz w:w="11900" w:h="16838" w:orient="portrait"/>
          <w:cols w:equalWidth="0" w:num="1">
            <w:col w:w="11240"/>
          </w:cols>
          <w:pgMar w:left="320" w:top="787" w:right="339" w:bottom="1440" w:gutter="0" w:footer="0" w:header="0"/>
        </w:sectPr>
      </w:pPr>
    </w:p>
    <w:bookmarkStart w:id="45" w:name="page46"/>
    <w:bookmarkEnd w:id="45"/>
    <w:p>
      <w:pPr>
        <w:ind w:right="520"/>
        <w:spacing w:after="0" w:line="265"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ind w:right="220" w:firstLine="8"/>
        <w:spacing w:after="0" w:line="261" w:lineRule="auto"/>
        <w:tabs>
          <w:tab w:leader="none" w:pos="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9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2021,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21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5"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2021, see “Analysis of compensation determinations – Total compensation” and “Compensation following employment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2022 PROXY STATEMENT • PAGE 45</w:t>
      </w:r>
    </w:p>
    <w:p>
      <w:pPr>
        <w:sectPr>
          <w:pgSz w:w="11900" w:h="16838" w:orient="portrait"/>
          <w:cols w:equalWidth="0" w:num="1">
            <w:col w:w="11180"/>
          </w:cols>
          <w:pgMar w:left="320" w:top="1003" w:right="399" w:bottom="144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auto"/>
        </w:rPr>
        <w:t>Termination</w:t>
      </w:r>
    </w:p>
    <w:p>
      <w:pPr>
        <w:spacing w:after="0" w:line="21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Bonus</w:t>
      </w:r>
    </w:p>
    <w:p>
      <w:pPr>
        <w:spacing w:after="0" w:line="23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Qualified and non-qualified defined benefit pension plans</w:t>
      </w:r>
    </w:p>
    <w:p>
      <w:pPr>
        <w:spacing w:after="0" w:line="2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“2021 pension benefits.” The amounts disbursed under the qualified and non-qualified plans are paid, respectively, by the TI Employees Pension Trust and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Survivor benefit plan</w:t>
      </w:r>
    </w:p>
    <w:p>
      <w:pPr>
        <w:spacing w:after="0" w:line="23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“2021 pension benefits – TI Employees Survivor Benefit Plan.” Amounts distributed are paid by the TI Employees Health Benefit Trust.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compensation plan</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“2021 non-qualified deferred compensation” and except in the case of death, payments are made according to the participant’s distribution election. Amounts distributed are paid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compensation</w:t>
      </w:r>
    </w:p>
    <w:p>
      <w:pPr>
        <w:spacing w:after="0" w:line="2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2021 table. RSU awards include a right to receive dividend equivalents. The dividend equivalents are paid annually by the company in a single cash payment after the last dividend payment of the year.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Perquisites</w:t>
      </w:r>
    </w:p>
    <w:p>
      <w:pPr>
        <w:spacing w:after="0" w:line="2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46</w:t>
      </w:r>
    </w:p>
    <w:p>
      <w:pPr>
        <w:sectPr>
          <w:pgSz w:w="11900" w:h="16838" w:orient="portrait"/>
          <w:cols w:equalWidth="0" w:num="1">
            <w:col w:w="11220"/>
          </w:cols>
          <w:pgMar w:left="320" w:top="1000" w:right="359" w:bottom="1440" w:gutter="0" w:footer="0" w:header="0"/>
        </w:sectPr>
      </w:pPr>
    </w:p>
    <w:bookmarkStart w:id="47" w:name="page48"/>
    <w:bookmarkEnd w:id="47"/>
    <w:p>
      <w:pPr>
        <w:ind w:right="20"/>
        <w:spacing w:after="0" w:line="253"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 in control</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2021, would have accelerated payment of the balance under that plan. See “2021 pension benefits – TI employees non-qualified pension plans” for a discussion of the purpose of change in control provisions of that plan as well as the circumstances and the timing of payment.</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2021 table for further information concerning change in control provisions relating to stock options and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42424"/>
        </w:rPr>
        <w:t>2022 PROXY STATEMENT • PAGE 47</w:t>
      </w:r>
    </w:p>
    <w:p>
      <w:pPr>
        <w:sectPr>
          <w:pgSz w:w="11900" w:h="16838" w:orient="portrait"/>
          <w:cols w:equalWidth="0" w:num="1">
            <w:col w:w="11200"/>
          </w:cols>
          <w:pgMar w:left="320" w:top="1003" w:right="379" w:bottom="1440" w:gutter="0" w:footer="0" w:header="0"/>
        </w:sectPr>
      </w:pPr>
    </w:p>
    <w:bookmarkStart w:id="48" w:name="page49"/>
    <w:bookmarkEnd w:id="48"/>
    <w:p>
      <w:pPr>
        <w:ind w:right="580"/>
        <w:spacing w:after="0" w:line="261" w:lineRule="auto"/>
        <w:rPr>
          <w:sz w:val="20"/>
          <w:szCs w:val="20"/>
          <w:color w:val="auto"/>
        </w:rPr>
      </w:pPr>
      <w:r>
        <w:rPr>
          <w:rFonts w:ascii="Arial" w:cs="Arial" w:eastAsia="Arial" w:hAnsi="Arial"/>
          <w:sz w:val="18"/>
          <w:szCs w:val="18"/>
          <w:color w:val="auto"/>
        </w:rPr>
        <w:t>The table below shows as of December 31, 2021, the potential payments upon termination or change in control for each of the named executive officers.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108"/>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Termination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Disability</w:t>
            </w: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for Cause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for Cause)</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Retirement</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 Control</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Richard K. Templeton (1)</w:t>
            </w:r>
          </w:p>
        </w:tc>
        <w:tc>
          <w:tcPr>
            <w:tcW w:w="1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1,001,479</w:t>
            </w:r>
          </w:p>
        </w:tc>
        <w:tc>
          <w:tcPr>
            <w:tcW w:w="360" w:type="dxa"/>
            <w:vAlign w:val="bottom"/>
          </w:tcPr>
          <w:p>
            <w:pPr>
              <w:ind w:left="40"/>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551,572</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1,123,434</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1,109,068</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1,109,068</w:t>
            </w:r>
          </w:p>
        </w:tc>
        <w:tc>
          <w:tcPr>
            <w:tcW w:w="340" w:type="dxa"/>
            <w:vAlign w:val="bottom"/>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20"/>
              <w:spacing w:after="0" w:line="122" w:lineRule="exact"/>
              <w:rPr>
                <w:sz w:val="20"/>
                <w:szCs w:val="20"/>
                <w:color w:val="auto"/>
              </w:rPr>
            </w:pPr>
            <w:r>
              <w:rPr>
                <w:rFonts w:ascii="Arial" w:cs="Arial" w:eastAsia="Arial" w:hAnsi="Arial"/>
                <w:sz w:val="14"/>
                <w:szCs w:val="14"/>
                <w:color w:val="auto"/>
              </w:rPr>
              <w:t>Plan</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609,677</w:t>
            </w:r>
          </w:p>
        </w:tc>
        <w:tc>
          <w:tcPr>
            <w:tcW w:w="36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(2)</w:t>
            </w:r>
          </w:p>
        </w:tc>
        <w:tc>
          <w:tcPr>
            <w:tcW w:w="26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272,888</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(3)</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573,983</w:t>
            </w: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541,414</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(4)</w:t>
            </w: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541,414</w:t>
            </w:r>
          </w:p>
        </w:tc>
        <w:tc>
          <w:tcPr>
            <w:tcW w:w="34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(4)</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541,414</w:t>
            </w: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05"/>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vMerge w:val="continue"/>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4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160" w:type="dxa"/>
            <w:vAlign w:val="bottom"/>
            <w:vMerge w:val="continue"/>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80" w:type="dxa"/>
            <w:vAlign w:val="bottom"/>
            <w:vMerge w:val="continue"/>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vMerge w:val="continue"/>
            <w:shd w:val="clear" w:color="auto" w:fill="DBDBDB"/>
          </w:tcPr>
          <w:p>
            <w:pPr>
              <w:spacing w:after="0"/>
              <w:rPr>
                <w:sz w:val="9"/>
                <w:szCs w:val="9"/>
                <w:color w:val="auto"/>
              </w:rPr>
            </w:pPr>
          </w:p>
        </w:tc>
        <w:tc>
          <w:tcPr>
            <w:tcW w:w="120" w:type="dxa"/>
            <w:vAlign w:val="bottom"/>
            <w:vMerge w:val="continue"/>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94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130,529</w:t>
            </w:r>
          </w:p>
        </w:tc>
        <w:tc>
          <w:tcPr>
            <w:tcW w:w="360" w:type="dxa"/>
            <w:vAlign w:val="bottom"/>
            <w:vMerge w:val="restart"/>
          </w:tcPr>
          <w:p>
            <w:pPr>
              <w:ind w:left="40"/>
              <w:spacing w:after="0"/>
              <w:rPr>
                <w:sz w:val="20"/>
                <w:szCs w:val="20"/>
                <w:color w:val="auto"/>
              </w:rPr>
            </w:pPr>
            <w:r>
              <w:rPr>
                <w:rFonts w:ascii="Arial" w:cs="Arial" w:eastAsia="Arial" w:hAnsi="Arial"/>
                <w:sz w:val="14"/>
                <w:szCs w:val="14"/>
                <w:color w:val="auto"/>
              </w:rPr>
              <w:t>(5)</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138,088</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254,382</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273,840</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273,840</w:t>
            </w: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961,774</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(6)</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1,243,824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61,241,065</w:t>
            </w:r>
          </w:p>
        </w:tc>
        <w:tc>
          <w:tcPr>
            <w:tcW w:w="360" w:type="dxa"/>
            <w:vAlign w:val="bottom"/>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61,241,065</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22,616,400</w:t>
            </w:r>
          </w:p>
        </w:tc>
        <w:tc>
          <w:tcPr>
            <w:tcW w:w="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61,241,065</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(10)</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61,241,065</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22,616,400</w:t>
            </w:r>
          </w:p>
        </w:tc>
        <w:tc>
          <w:tcPr>
            <w:tcW w:w="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235,074,352</w:t>
            </w:r>
          </w:p>
        </w:tc>
        <w:tc>
          <w:tcPr>
            <w:tcW w:w="360" w:type="dxa"/>
            <w:vAlign w:val="bottom"/>
          </w:tcPr>
          <w:p>
            <w:pPr>
              <w:ind w:left="40"/>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235,074,352</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235,074,352</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235,074,352</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180"/>
              <w:spacing w:after="0"/>
              <w:rPr>
                <w:sz w:val="20"/>
                <w:szCs w:val="20"/>
                <w:color w:val="auto"/>
              </w:rPr>
            </w:pPr>
            <w:r>
              <w:rPr>
                <w:rFonts w:ascii="Arial" w:cs="Arial" w:eastAsia="Arial" w:hAnsi="Arial"/>
                <w:sz w:val="14"/>
                <w:szCs w:val="14"/>
                <w:b w:val="1"/>
                <w:bCs w:val="1"/>
                <w:color w:val="auto"/>
              </w:rPr>
              <w:t>R. K. Templeton Total</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298,057,102</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299,483,563</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24,568,199</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298,239,739</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298,239,739</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23,157,814</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Rafael R. Lizardi</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94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94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911,627</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8,981,538</w:t>
            </w:r>
          </w:p>
        </w:tc>
        <w:tc>
          <w:tcPr>
            <w:tcW w:w="360" w:type="dxa"/>
            <w:vAlign w:val="bottom"/>
          </w:tcPr>
          <w:p>
            <w:pPr>
              <w:ind w:left="40"/>
              <w:spacing w:after="0"/>
              <w:rPr>
                <w:sz w:val="20"/>
                <w:szCs w:val="20"/>
                <w:color w:val="auto"/>
              </w:rPr>
            </w:pPr>
            <w:r>
              <w:rPr>
                <w:rFonts w:ascii="Arial" w:cs="Arial" w:eastAsia="Arial" w:hAnsi="Arial"/>
                <w:sz w:val="14"/>
                <w:szCs w:val="14"/>
                <w:color w:val="auto"/>
              </w:rPr>
              <w:t>(8)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8,981,538</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8,389,315</w:t>
            </w:r>
          </w:p>
        </w:tc>
        <w:tc>
          <w:tcPr>
            <w:tcW w:w="360" w:type="dxa"/>
            <w:vAlign w:val="bottom"/>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8,389,315</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934,907</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(12)</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R. R. Lizardi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17,370,853</w:t>
            </w:r>
          </w:p>
        </w:tc>
        <w:tc>
          <w:tcPr>
            <w:tcW w:w="360" w:type="dxa"/>
            <w:vAlign w:val="bottom"/>
          </w:tcPr>
          <w:p>
            <w:pPr>
              <w:spacing w:after="0"/>
              <w:rPr>
                <w:sz w:val="18"/>
                <w:szCs w:val="18"/>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18,282,480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934,907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Haviv Ilan</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94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1,850,605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13,827,855</w:t>
            </w:r>
          </w:p>
        </w:tc>
        <w:tc>
          <w:tcPr>
            <w:tcW w:w="360" w:type="dxa"/>
            <w:vAlign w:val="bottom"/>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13,827,855</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26,752,902</w:t>
            </w:r>
          </w:p>
        </w:tc>
        <w:tc>
          <w:tcPr>
            <w:tcW w:w="360" w:type="dxa"/>
            <w:vAlign w:val="bottom"/>
          </w:tcPr>
          <w:p>
            <w:pPr>
              <w:ind w:left="40"/>
              <w:spacing w:after="0"/>
              <w:rPr>
                <w:sz w:val="20"/>
                <w:szCs w:val="20"/>
                <w:color w:val="auto"/>
              </w:rPr>
            </w:pPr>
            <w:r>
              <w:rPr>
                <w:rFonts w:ascii="Arial" w:cs="Arial" w:eastAsia="Arial" w:hAnsi="Arial"/>
                <w:sz w:val="14"/>
                <w:szCs w:val="14"/>
                <w:color w:val="auto"/>
              </w:rPr>
              <w:t>(11)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26,752,902</w:t>
            </w:r>
          </w:p>
        </w:tc>
        <w:tc>
          <w:tcPr>
            <w:tcW w:w="340" w:type="dxa"/>
            <w:vAlign w:val="bottom"/>
          </w:tcPr>
          <w:p>
            <w:pPr>
              <w:ind w:left="4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16,051,797</w:t>
            </w:r>
          </w:p>
        </w:tc>
        <w:tc>
          <w:tcPr>
            <w:tcW w:w="340" w:type="dxa"/>
            <w:vAlign w:val="bottom"/>
          </w:tcPr>
          <w:p>
            <w:pPr>
              <w:ind w:left="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H. Ilan Total</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40,580,757</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42,431,362</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16,051,797</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Hagop H. Kozanian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Qualified Defined Benefit Pension</w:t>
            </w:r>
          </w:p>
        </w:tc>
        <w:tc>
          <w:tcPr>
            <w:tcW w:w="1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180" w:type="dxa"/>
            <w:vAlign w:val="bottom"/>
            <w:shd w:val="clear" w:color="auto" w:fill="DBDBDB"/>
          </w:tcPr>
          <w:p>
            <w:pPr>
              <w:spacing w:after="0"/>
              <w:rPr>
                <w:sz w:val="7"/>
                <w:szCs w:val="7"/>
                <w:color w:val="auto"/>
              </w:rPr>
            </w:pPr>
          </w:p>
        </w:tc>
        <w:tc>
          <w:tcPr>
            <w:tcW w:w="940" w:type="dxa"/>
            <w:vAlign w:val="bottom"/>
            <w:vMerge w:val="continue"/>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960" w:type="dxa"/>
            <w:vAlign w:val="bottom"/>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1060" w:type="dxa"/>
            <w:vAlign w:val="bottom"/>
            <w:vMerge w:val="continue"/>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1060" w:type="dxa"/>
            <w:vAlign w:val="bottom"/>
            <w:vMerge w:val="continue"/>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20" w:type="dxa"/>
            <w:vAlign w:val="bottom"/>
            <w:vMerge w:val="continue"/>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940" w:type="dxa"/>
            <w:vAlign w:val="bottom"/>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260" w:type="dxa"/>
            <w:vAlign w:val="bottom"/>
            <w:shd w:val="clear" w:color="auto" w:fill="DBDBDB"/>
          </w:tcPr>
          <w:p>
            <w:pPr>
              <w:spacing w:after="0"/>
              <w:rPr>
                <w:sz w:val="8"/>
                <w:szCs w:val="8"/>
                <w:color w:val="auto"/>
              </w:rPr>
            </w:pPr>
          </w:p>
        </w:tc>
        <w:tc>
          <w:tcPr>
            <w:tcW w:w="96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060" w:type="dxa"/>
            <w:vAlign w:val="bottom"/>
            <w:shd w:val="clear" w:color="auto" w:fill="DBDBDB"/>
          </w:tcPr>
          <w:p>
            <w:pPr>
              <w:spacing w:after="0"/>
              <w:rPr>
                <w:sz w:val="8"/>
                <w:szCs w:val="8"/>
                <w:color w:val="auto"/>
              </w:rPr>
            </w:pPr>
          </w:p>
        </w:tc>
        <w:tc>
          <w:tcPr>
            <w:tcW w:w="26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1060" w:type="dxa"/>
            <w:vAlign w:val="bottom"/>
            <w:shd w:val="clear" w:color="auto" w:fill="DBDBDB"/>
          </w:tcPr>
          <w:p>
            <w:pPr>
              <w:spacing w:after="0"/>
              <w:rPr>
                <w:sz w:val="8"/>
                <w:szCs w:val="8"/>
                <w:color w:val="auto"/>
              </w:rPr>
            </w:pPr>
          </w:p>
        </w:tc>
        <w:tc>
          <w:tcPr>
            <w:tcW w:w="2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Pension Plan</w:t>
            </w: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Non-Qual. Defined Benefit</w:t>
            </w:r>
          </w:p>
        </w:tc>
        <w:tc>
          <w:tcPr>
            <w:tcW w:w="1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Pension Plan II</w:t>
            </w:r>
          </w:p>
        </w:tc>
        <w:tc>
          <w:tcPr>
            <w:tcW w:w="1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1060" w:type="dxa"/>
            <w:vAlign w:val="bottom"/>
            <w:vMerge w:val="continue"/>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94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1060" w:type="dxa"/>
            <w:vAlign w:val="bottom"/>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Compensation (7)</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151,536</w:t>
            </w:r>
          </w:p>
        </w:tc>
        <w:tc>
          <w:tcPr>
            <w:tcW w:w="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8,777,990</w:t>
            </w:r>
          </w:p>
        </w:tc>
        <w:tc>
          <w:tcPr>
            <w:tcW w:w="360" w:type="dxa"/>
            <w:vAlign w:val="bottom"/>
          </w:tcPr>
          <w:p>
            <w:pPr>
              <w:ind w:left="40"/>
              <w:spacing w:after="0"/>
              <w:rPr>
                <w:sz w:val="20"/>
                <w:szCs w:val="20"/>
                <w:color w:val="auto"/>
              </w:rPr>
            </w:pPr>
            <w:r>
              <w:rPr>
                <w:rFonts w:ascii="Arial" w:cs="Arial" w:eastAsia="Arial" w:hAnsi="Arial"/>
                <w:sz w:val="14"/>
                <w:szCs w:val="14"/>
                <w:color w:val="auto"/>
              </w:rPr>
              <w:t>(8)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8,777,990</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5,774,811</w:t>
            </w:r>
          </w:p>
        </w:tc>
        <w:tc>
          <w:tcPr>
            <w:tcW w:w="360" w:type="dxa"/>
            <w:vAlign w:val="bottom"/>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2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5,774,811</w:t>
            </w:r>
          </w:p>
        </w:tc>
        <w:tc>
          <w:tcPr>
            <w:tcW w:w="340" w:type="dxa"/>
            <w:vAlign w:val="bottom"/>
            <w:shd w:val="clear" w:color="auto" w:fill="DBDBDB"/>
          </w:tcPr>
          <w:p>
            <w:pPr>
              <w:ind w:lef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H. H. Kozanian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14,552,801</w:t>
            </w:r>
          </w:p>
        </w:tc>
        <w:tc>
          <w:tcPr>
            <w:tcW w:w="360" w:type="dxa"/>
            <w:vAlign w:val="bottom"/>
          </w:tcPr>
          <w:p>
            <w:pPr>
              <w:spacing w:after="0"/>
              <w:rPr>
                <w:sz w:val="17"/>
                <w:szCs w:val="17"/>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14,704,337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48</w:t>
      </w:r>
    </w:p>
    <w:p>
      <w:pPr>
        <w:sectPr>
          <w:pgSz w:w="11900" w:h="16838" w:orient="portrait"/>
          <w:cols w:equalWidth="0" w:num="1">
            <w:col w:w="11220"/>
          </w:cols>
          <w:pgMar w:left="320" w:top="787"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Resignation;</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ind w:left="88"/>
              <w:spacing w:after="0"/>
              <w:rPr>
                <w:sz w:val="20"/>
                <w:szCs w:val="20"/>
                <w:color w:val="auto"/>
              </w:rPr>
            </w:pPr>
            <w:r>
              <w:rPr>
                <w:rFonts w:ascii="Arial" w:cs="Arial" w:eastAsia="Arial" w:hAnsi="Arial"/>
                <w:sz w:val="14"/>
                <w:szCs w:val="14"/>
                <w:b w:val="1"/>
                <w:bCs w:val="1"/>
                <w:color w:val="auto"/>
              </w:rPr>
              <w:t>Involuntary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Termination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Termination</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 of Compensation</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Disability</w:t>
            </w: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Death</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for Cause</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for Cause)</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Retirement</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216"/>
        </w:trPr>
        <w:tc>
          <w:tcPr>
            <w:tcW w:w="23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Kyle M. Flessner</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Qualified Defined Benefit Pension</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28,105</w:t>
            </w:r>
          </w:p>
        </w:tc>
        <w:tc>
          <w:tcPr>
            <w:tcW w:w="360" w:type="dxa"/>
            <w:vAlign w:val="bottom"/>
            <w:vMerge w:val="restart"/>
          </w:tcPr>
          <w:p>
            <w:pPr>
              <w:ind w:left="40"/>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9,264</w:t>
            </w:r>
          </w:p>
        </w:tc>
        <w:tc>
          <w:tcPr>
            <w:tcW w:w="480" w:type="dxa"/>
            <w:vAlign w:val="bottom"/>
            <w:vMerge w:val="restart"/>
          </w:tcPr>
          <w:p>
            <w:pPr>
              <w:ind w:left="40"/>
              <w:spacing w:after="0"/>
              <w:rPr>
                <w:sz w:val="20"/>
                <w:szCs w:val="20"/>
                <w:color w:val="auto"/>
              </w:rPr>
            </w:pPr>
            <w:r>
              <w:rPr>
                <w:rFonts w:ascii="Arial" w:cs="Arial" w:eastAsia="Arial" w:hAnsi="Arial"/>
                <w:sz w:val="14"/>
                <w:szCs w:val="14"/>
                <w:color w:val="auto"/>
              </w:rPr>
              <w:t>(3)</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20,601</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1"/>
              </w:rPr>
              <w:t>(4)</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19,885</w:t>
            </w:r>
          </w:p>
        </w:tc>
        <w:tc>
          <w:tcPr>
            <w:tcW w:w="440" w:type="dxa"/>
            <w:vAlign w:val="bottom"/>
            <w:vMerge w:val="restart"/>
          </w:tcPr>
          <w:p>
            <w:pPr>
              <w:ind w:left="40"/>
              <w:spacing w:after="0"/>
              <w:rPr>
                <w:sz w:val="20"/>
                <w:szCs w:val="20"/>
                <w:color w:val="auto"/>
              </w:rPr>
            </w:pPr>
            <w:r>
              <w:rPr>
                <w:rFonts w:ascii="Arial" w:cs="Arial" w:eastAsia="Arial" w:hAnsi="Arial"/>
                <w:sz w:val="14"/>
                <w:szCs w:val="14"/>
                <w:color w:val="auto"/>
              </w:rPr>
              <w:t>(4)</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19,885</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(4)</w:t>
            </w:r>
          </w:p>
        </w:tc>
        <w:tc>
          <w:tcPr>
            <w:tcW w:w="130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320" w:type="dxa"/>
            <w:vAlign w:val="bottom"/>
            <w:vMerge w:val="restart"/>
          </w:tcPr>
          <w:p>
            <w:pPr>
              <w:ind w:left="20"/>
              <w:spacing w:after="0"/>
              <w:rPr>
                <w:sz w:val="20"/>
                <w:szCs w:val="20"/>
                <w:color w:val="auto"/>
              </w:rPr>
            </w:pPr>
            <w:r>
              <w:rPr>
                <w:rFonts w:ascii="Arial" w:cs="Arial" w:eastAsia="Arial" w:hAnsi="Arial"/>
                <w:sz w:val="14"/>
                <w:szCs w:val="14"/>
                <w:color w:val="auto"/>
              </w:rPr>
              <w:t>Plan</w:t>
            </w:r>
          </w:p>
        </w:tc>
        <w:tc>
          <w:tcPr>
            <w:tcW w:w="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3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Non-Qual. Defined Benefit Pension</w:t>
            </w:r>
          </w:p>
        </w:tc>
        <w:tc>
          <w:tcPr>
            <w:tcW w:w="22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spacing w:after="0"/>
              <w:rPr>
                <w:sz w:val="15"/>
                <w:szCs w:val="15"/>
                <w:color w:val="auto"/>
              </w:rPr>
            </w:pPr>
          </w:p>
        </w:tc>
        <w:tc>
          <w:tcPr>
            <w:tcW w:w="98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3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Plan</w:t>
            </w:r>
          </w:p>
        </w:tc>
        <w:tc>
          <w:tcPr>
            <w:tcW w:w="220" w:type="dxa"/>
            <w:vAlign w:val="bottom"/>
            <w:shd w:val="clear" w:color="auto" w:fill="DBDBDB"/>
          </w:tcPr>
          <w:p>
            <w:pPr>
              <w:spacing w:after="0"/>
              <w:rPr>
                <w:sz w:val="9"/>
                <w:szCs w:val="9"/>
                <w:color w:val="auto"/>
              </w:rPr>
            </w:pPr>
          </w:p>
        </w:tc>
        <w:tc>
          <w:tcPr>
            <w:tcW w:w="96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940" w:type="dxa"/>
            <w:vAlign w:val="bottom"/>
            <w:vMerge w:val="continue"/>
            <w:shd w:val="clear" w:color="auto" w:fill="DBDBDB"/>
          </w:tcPr>
          <w:p>
            <w:pPr>
              <w:spacing w:after="0"/>
              <w:rPr>
                <w:sz w:val="9"/>
                <w:szCs w:val="9"/>
                <w:color w:val="auto"/>
              </w:rPr>
            </w:pPr>
          </w:p>
        </w:tc>
        <w:tc>
          <w:tcPr>
            <w:tcW w:w="480" w:type="dxa"/>
            <w:vAlign w:val="bottom"/>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160" w:type="dxa"/>
            <w:vAlign w:val="bottom"/>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440" w:type="dxa"/>
            <w:vAlign w:val="bottom"/>
            <w:shd w:val="clear" w:color="auto" w:fill="DBDBDB"/>
          </w:tcPr>
          <w:p>
            <w:pPr>
              <w:spacing w:after="0"/>
              <w:rPr>
                <w:sz w:val="9"/>
                <w:szCs w:val="9"/>
                <w:color w:val="auto"/>
              </w:rPr>
            </w:pPr>
          </w:p>
        </w:tc>
        <w:tc>
          <w:tcPr>
            <w:tcW w:w="1120" w:type="dxa"/>
            <w:vAlign w:val="bottom"/>
            <w:vMerge w:val="continue"/>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30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320" w:type="dxa"/>
            <w:vAlign w:val="bottom"/>
            <w:vMerge w:val="continue"/>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280" w:type="dxa"/>
            <w:vAlign w:val="bottom"/>
            <w:shd w:val="clear" w:color="auto" w:fill="DBDBDB"/>
          </w:tcPr>
          <w:p>
            <w:pPr>
              <w:spacing w:after="0"/>
              <w:rPr>
                <w:sz w:val="6"/>
                <w:szCs w:val="6"/>
                <w:color w:val="auto"/>
              </w:rPr>
            </w:pPr>
          </w:p>
        </w:tc>
        <w:tc>
          <w:tcPr>
            <w:tcW w:w="940" w:type="dxa"/>
            <w:vAlign w:val="bottom"/>
            <w:shd w:val="clear" w:color="auto" w:fill="DBDBDB"/>
          </w:tcPr>
          <w:p>
            <w:pPr>
              <w:spacing w:after="0"/>
              <w:rPr>
                <w:sz w:val="6"/>
                <w:szCs w:val="6"/>
                <w:color w:val="auto"/>
              </w:rPr>
            </w:pPr>
          </w:p>
        </w:tc>
        <w:tc>
          <w:tcPr>
            <w:tcW w:w="480" w:type="dxa"/>
            <w:vAlign w:val="bottom"/>
            <w:shd w:val="clear" w:color="auto" w:fill="DBDBDB"/>
          </w:tcPr>
          <w:p>
            <w:pPr>
              <w:spacing w:after="0"/>
              <w:rPr>
                <w:sz w:val="6"/>
                <w:szCs w:val="6"/>
                <w:color w:val="auto"/>
              </w:rPr>
            </w:pPr>
          </w:p>
        </w:tc>
        <w:tc>
          <w:tcPr>
            <w:tcW w:w="980" w:type="dxa"/>
            <w:vAlign w:val="bottom"/>
            <w:shd w:val="clear" w:color="auto" w:fill="DBDBDB"/>
          </w:tcPr>
          <w:p>
            <w:pPr>
              <w:spacing w:after="0"/>
              <w:rPr>
                <w:sz w:val="6"/>
                <w:szCs w:val="6"/>
                <w:color w:val="auto"/>
              </w:rPr>
            </w:pPr>
          </w:p>
        </w:tc>
        <w:tc>
          <w:tcPr>
            <w:tcW w:w="220" w:type="dxa"/>
            <w:vAlign w:val="bottom"/>
            <w:shd w:val="clear" w:color="auto" w:fill="DBDBDB"/>
          </w:tcPr>
          <w:p>
            <w:pPr>
              <w:spacing w:after="0"/>
              <w:rPr>
                <w:sz w:val="6"/>
                <w:szCs w:val="6"/>
                <w:color w:val="auto"/>
              </w:rPr>
            </w:pPr>
          </w:p>
        </w:tc>
        <w:tc>
          <w:tcPr>
            <w:tcW w:w="16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440" w:type="dxa"/>
            <w:vAlign w:val="bottom"/>
            <w:shd w:val="clear" w:color="auto" w:fill="DBDBDB"/>
          </w:tcPr>
          <w:p>
            <w:pPr>
              <w:spacing w:after="0"/>
              <w:rPr>
                <w:sz w:val="6"/>
                <w:szCs w:val="6"/>
                <w:color w:val="auto"/>
              </w:rPr>
            </w:pPr>
          </w:p>
        </w:tc>
        <w:tc>
          <w:tcPr>
            <w:tcW w:w="1120" w:type="dxa"/>
            <w:vAlign w:val="bottom"/>
            <w:shd w:val="clear" w:color="auto" w:fill="DBDBDB"/>
          </w:tcPr>
          <w:p>
            <w:pPr>
              <w:spacing w:after="0"/>
              <w:rPr>
                <w:sz w:val="6"/>
                <w:szCs w:val="6"/>
                <w:color w:val="auto"/>
              </w:rPr>
            </w:pPr>
          </w:p>
        </w:tc>
        <w:tc>
          <w:tcPr>
            <w:tcW w:w="400" w:type="dxa"/>
            <w:vAlign w:val="bottom"/>
            <w:shd w:val="clear" w:color="auto" w:fill="DBDBDB"/>
          </w:tcPr>
          <w:p>
            <w:pPr>
              <w:spacing w:after="0"/>
              <w:rPr>
                <w:sz w:val="6"/>
                <w:szCs w:val="6"/>
                <w:color w:val="auto"/>
              </w:rPr>
            </w:pPr>
          </w:p>
        </w:tc>
        <w:tc>
          <w:tcPr>
            <w:tcW w:w="13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Non-Qual. Defined Benefit Pension</w:t>
            </w: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30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320" w:type="dxa"/>
            <w:vAlign w:val="bottom"/>
            <w:vMerge w:val="restart"/>
          </w:tcPr>
          <w:p>
            <w:pPr>
              <w:ind w:left="20"/>
              <w:spacing w:after="0"/>
              <w:rPr>
                <w:sz w:val="20"/>
                <w:szCs w:val="20"/>
                <w:color w:val="auto"/>
              </w:rPr>
            </w:pPr>
            <w:r>
              <w:rPr>
                <w:rFonts w:ascii="Arial" w:cs="Arial" w:eastAsia="Arial" w:hAnsi="Arial"/>
                <w:sz w:val="14"/>
                <w:szCs w:val="14"/>
                <w:color w:val="auto"/>
              </w:rPr>
              <w:t>Plan II</w:t>
            </w: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3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Survivor Benefit Plan</w:t>
            </w:r>
          </w:p>
        </w:tc>
        <w:tc>
          <w:tcPr>
            <w:tcW w:w="2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Arial" w:cs="Arial" w:eastAsia="Arial" w:hAnsi="Arial"/>
                <w:sz w:val="14"/>
                <w:szCs w:val="14"/>
                <w:color w:val="auto"/>
              </w:rPr>
              <w:t>Deferred Compensation (7)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426,340</w:t>
            </w:r>
          </w:p>
        </w:tc>
        <w:tc>
          <w:tcPr>
            <w:tcW w:w="4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9,022,813</w:t>
            </w:r>
          </w:p>
        </w:tc>
        <w:tc>
          <w:tcPr>
            <w:tcW w:w="360" w:type="dxa"/>
            <w:vAlign w:val="bottom"/>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2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9,022,813</w:t>
            </w:r>
          </w:p>
        </w:tc>
        <w:tc>
          <w:tcPr>
            <w:tcW w:w="480" w:type="dxa"/>
            <w:vAlign w:val="bottom"/>
            <w:shd w:val="clear" w:color="auto" w:fill="DBDBDB"/>
          </w:tcPr>
          <w:p>
            <w:pPr>
              <w:ind w:left="40"/>
              <w:spacing w:after="0"/>
              <w:rPr>
                <w:sz w:val="20"/>
                <w:szCs w:val="20"/>
                <w:color w:val="auto"/>
              </w:rPr>
            </w:pPr>
            <w:r>
              <w:rPr>
                <w:rFonts w:ascii="Arial" w:cs="Arial" w:eastAsia="Arial" w:hAnsi="Arial"/>
                <w:sz w:val="14"/>
                <w:szCs w:val="14"/>
                <w:color w:val="auto"/>
              </w:rPr>
              <w:t>(8)</w:t>
            </w:r>
          </w:p>
        </w:tc>
        <w:tc>
          <w:tcPr>
            <w:tcW w:w="9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14,018,959</w:t>
            </w:r>
          </w:p>
        </w:tc>
        <w:tc>
          <w:tcPr>
            <w:tcW w:w="360" w:type="dxa"/>
            <w:vAlign w:val="bottom"/>
          </w:tcPr>
          <w:p>
            <w:pPr>
              <w:ind w:left="40"/>
              <w:spacing w:after="0"/>
              <w:rPr>
                <w:sz w:val="20"/>
                <w:szCs w:val="20"/>
                <w:color w:val="auto"/>
              </w:rPr>
            </w:pPr>
            <w:r>
              <w:rPr>
                <w:rFonts w:ascii="Arial" w:cs="Arial" w:eastAsia="Arial" w:hAnsi="Arial"/>
                <w:sz w:val="14"/>
                <w:szCs w:val="14"/>
                <w:color w:val="auto"/>
              </w:rPr>
              <w:t>(11)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14,018,959</w:t>
            </w:r>
          </w:p>
        </w:tc>
        <w:tc>
          <w:tcPr>
            <w:tcW w:w="480" w:type="dxa"/>
            <w:vAlign w:val="bottom"/>
          </w:tcPr>
          <w:p>
            <w:pPr>
              <w:ind w:left="40"/>
              <w:spacing w:after="0"/>
              <w:rPr>
                <w:sz w:val="20"/>
                <w:szCs w:val="20"/>
                <w:color w:val="auto"/>
              </w:rPr>
            </w:pPr>
            <w:r>
              <w:rPr>
                <w:rFonts w:ascii="Arial" w:cs="Arial" w:eastAsia="Arial" w:hAnsi="Arial"/>
                <w:sz w:val="14"/>
                <w:szCs w:val="14"/>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6,407,296</w:t>
            </w:r>
          </w:p>
        </w:tc>
        <w:tc>
          <w:tcPr>
            <w:tcW w:w="440" w:type="dxa"/>
            <w:vAlign w:val="bottom"/>
          </w:tcPr>
          <w:p>
            <w:pPr>
              <w:ind w:left="40"/>
              <w:spacing w:after="0"/>
              <w:rPr>
                <w:sz w:val="20"/>
                <w:szCs w:val="20"/>
                <w:color w:val="auto"/>
              </w:rPr>
            </w:pPr>
            <w:r>
              <w:rPr>
                <w:rFonts w:ascii="Arial" w:cs="Arial" w:eastAsia="Arial" w:hAnsi="Arial"/>
                <w:sz w:val="14"/>
                <w:szCs w:val="14"/>
                <w:color w:val="auto"/>
              </w:rPr>
              <w:t>(12)</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3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auto"/>
              </w:rPr>
              <w:t>K. M. Flessner Total</w:t>
            </w:r>
          </w:p>
        </w:tc>
        <w:tc>
          <w:tcPr>
            <w:tcW w:w="22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23,069,877</w:t>
            </w:r>
          </w:p>
        </w:tc>
        <w:tc>
          <w:tcPr>
            <w:tcW w:w="36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23,477,376</w:t>
            </w:r>
          </w:p>
        </w:tc>
        <w:tc>
          <w:tcPr>
            <w:tcW w:w="48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20,601</w:t>
            </w: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6,427,181</w:t>
            </w: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19,885</w:t>
            </w: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ind w:left="8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00" w:right="1120" w:hanging="492"/>
        <w:spacing w:after="0" w:line="261"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Templeton was retirement eligible for purposes of TI’s defined benefit pension plans and under the terms of his equity compensation awards as of December 31, 2021.</w:t>
      </w:r>
    </w:p>
    <w:p>
      <w:pPr>
        <w:spacing w:after="0" w:line="89" w:lineRule="exact"/>
        <w:rPr>
          <w:rFonts w:ascii="Arial" w:cs="Arial" w:eastAsia="Arial" w:hAnsi="Arial"/>
          <w:sz w:val="18"/>
          <w:szCs w:val="18"/>
          <w:color w:val="auto"/>
        </w:rPr>
      </w:pPr>
    </w:p>
    <w:p>
      <w:pPr>
        <w:ind w:left="500" w:right="40" w:hanging="492"/>
        <w:spacing w:after="0" w:line="253"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 of December 31, 2021,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2021 and are described in Note 5 to the 2021 pension benefits table.</w:t>
      </w:r>
    </w:p>
    <w:p>
      <w:pPr>
        <w:spacing w:after="0" w:line="97" w:lineRule="exact"/>
        <w:rPr>
          <w:rFonts w:ascii="Arial" w:cs="Arial" w:eastAsia="Arial" w:hAnsi="Arial"/>
          <w:sz w:val="18"/>
          <w:szCs w:val="18"/>
          <w:color w:val="auto"/>
        </w:rPr>
      </w:pPr>
    </w:p>
    <w:p>
      <w:pPr>
        <w:jc w:val="both"/>
        <w:ind w:left="500" w:right="700" w:hanging="492"/>
        <w:spacing w:after="0" w:line="256"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of the participant’s accrued benefit, reduced by the age-applicable joint and 50% survivor factor.</w:t>
      </w:r>
    </w:p>
    <w:p>
      <w:pPr>
        <w:spacing w:after="0" w:line="93" w:lineRule="exact"/>
        <w:rPr>
          <w:rFonts w:ascii="Arial" w:cs="Arial" w:eastAsia="Arial" w:hAnsi="Arial"/>
          <w:sz w:val="18"/>
          <w:szCs w:val="18"/>
          <w:color w:val="auto"/>
        </w:rPr>
      </w:pPr>
    </w:p>
    <w:p>
      <w:pPr>
        <w:ind w:left="500" w:right="560" w:hanging="492"/>
        <w:spacing w:after="0" w:line="261"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2021, calculated as required by the terms of the plans assuming the earliest possible payment date.</w:t>
      </w:r>
    </w:p>
    <w:p>
      <w:pPr>
        <w:spacing w:after="0" w:line="89" w:lineRule="exact"/>
        <w:rPr>
          <w:rFonts w:ascii="Arial" w:cs="Arial" w:eastAsia="Arial" w:hAnsi="Arial"/>
          <w:sz w:val="18"/>
          <w:szCs w:val="18"/>
          <w:color w:val="auto"/>
        </w:rPr>
      </w:pPr>
    </w:p>
    <w:p>
      <w:pPr>
        <w:ind w:left="500" w:right="540" w:hanging="492"/>
        <w:spacing w:after="0" w:line="261"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w:t>
      </w:r>
    </w:p>
    <w:p>
      <w:pPr>
        <w:spacing w:after="0" w:line="89" w:lineRule="exact"/>
        <w:rPr>
          <w:rFonts w:ascii="Arial" w:cs="Arial" w:eastAsia="Arial" w:hAnsi="Arial"/>
          <w:sz w:val="18"/>
          <w:szCs w:val="18"/>
          <w:color w:val="auto"/>
        </w:rPr>
      </w:pPr>
    </w:p>
    <w:p>
      <w:pPr>
        <w:ind w:left="480" w:hanging="472"/>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500" w:right="120" w:hanging="492"/>
        <w:spacing w:after="0" w:line="254"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2021, under the non-qualified deferred compensation plan. For all separation events other than death, balances are distributed in accordance with the participant’s distribution election as discussed in the narrative following the 2021 non-qualified deferred compensation table.</w:t>
      </w:r>
    </w:p>
    <w:p>
      <w:pPr>
        <w:spacing w:after="0" w:line="95" w:lineRule="exact"/>
        <w:rPr>
          <w:rFonts w:ascii="Arial" w:cs="Arial" w:eastAsia="Arial" w:hAnsi="Arial"/>
          <w:sz w:val="18"/>
          <w:szCs w:val="18"/>
          <w:color w:val="auto"/>
        </w:rPr>
      </w:pPr>
    </w:p>
    <w:p>
      <w:pPr>
        <w:ind w:left="480" w:hanging="472"/>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2021</w:t>
      </w:r>
    </w:p>
    <w:p>
      <w:pPr>
        <w:spacing w:after="0" w:line="9" w:lineRule="exact"/>
        <w:rPr>
          <w:rFonts w:ascii="Arial" w:cs="Arial" w:eastAsia="Arial" w:hAnsi="Arial"/>
          <w:sz w:val="18"/>
          <w:szCs w:val="18"/>
          <w:color w:val="auto"/>
        </w:rPr>
      </w:pPr>
    </w:p>
    <w:p>
      <w:pPr>
        <w:jc w:val="both"/>
        <w:ind w:left="500" w:right="300"/>
        <w:spacing w:after="0" w:line="278" w:lineRule="auto"/>
        <w:rPr>
          <w:rFonts w:ascii="Arial" w:cs="Arial" w:eastAsia="Arial" w:hAnsi="Arial"/>
          <w:sz w:val="18"/>
          <w:szCs w:val="18"/>
          <w:color w:val="auto"/>
        </w:rPr>
      </w:pPr>
      <w:r>
        <w:rPr>
          <w:rFonts w:ascii="Arial" w:cs="Arial" w:eastAsia="Arial" w:hAnsi="Arial"/>
          <w:sz w:val="17"/>
          <w:szCs w:val="17"/>
          <w:color w:val="auto"/>
        </w:rPr>
        <w:t>($188.47). In the event of termination due to disability or death, all outstanding awards will continue to vest according to their terms. See the first table under “Outstanding equity awards at fiscal year-end 2021” for the number of unvested RSUs as of December 31, 2021, and the related discussion following that table of an additional outstanding RSU award held by Mr. Templeton.</w:t>
      </w:r>
    </w:p>
    <w:p>
      <w:pPr>
        <w:spacing w:after="0" w:line="76" w:lineRule="exact"/>
        <w:rPr>
          <w:rFonts w:ascii="Arial" w:cs="Arial" w:eastAsia="Arial" w:hAnsi="Arial"/>
          <w:sz w:val="18"/>
          <w:szCs w:val="18"/>
          <w:color w:val="auto"/>
        </w:rPr>
      </w:pPr>
    </w:p>
    <w:p>
      <w:pPr>
        <w:ind w:left="500" w:right="100" w:hanging="492"/>
        <w:spacing w:after="0" w:line="261" w:lineRule="auto"/>
        <w:tabs>
          <w:tab w:leader="none" w:pos="4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31, 2021 ($188.47).</w:t>
      </w:r>
    </w:p>
    <w:p>
      <w:pPr>
        <w:spacing w:after="0" w:line="89" w:lineRule="exact"/>
        <w:rPr>
          <w:rFonts w:ascii="Arial" w:cs="Arial" w:eastAsia="Arial" w:hAnsi="Arial"/>
          <w:sz w:val="18"/>
          <w:szCs w:val="18"/>
          <w:color w:val="auto"/>
        </w:rPr>
      </w:pPr>
    </w:p>
    <w:p>
      <w:pPr>
        <w:ind w:left="500" w:right="160" w:hanging="492"/>
        <w:spacing w:after="0" w:line="256" w:lineRule="auto"/>
        <w:tabs>
          <w:tab w:leader="none" w:pos="4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31, 2021 ($188.47). RSU awards stay in effect and pay out shares according to the vesting schedule.</w:t>
      </w:r>
    </w:p>
    <w:p>
      <w:pPr>
        <w:spacing w:after="0" w:line="93" w:lineRule="exact"/>
        <w:rPr>
          <w:rFonts w:ascii="Arial" w:cs="Arial" w:eastAsia="Arial" w:hAnsi="Arial"/>
          <w:sz w:val="18"/>
          <w:szCs w:val="18"/>
          <w:color w:val="auto"/>
        </w:rPr>
      </w:pPr>
    </w:p>
    <w:p>
      <w:pPr>
        <w:ind w:left="500" w:right="120" w:hanging="492"/>
        <w:spacing w:after="0" w:line="261" w:lineRule="auto"/>
        <w:tabs>
          <w:tab w:leader="none" w:pos="4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31, 2021 ($188.47), multiplied by the number of shares under such options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49</w:t>
      </w:r>
    </w:p>
    <w:p>
      <w:pPr>
        <w:sectPr>
          <w:pgSz w:w="11900" w:h="16838" w:orient="portrait"/>
          <w:cols w:equalWidth="0" w:num="1">
            <w:col w:w="11220"/>
          </w:cols>
          <w:pgMar w:left="320" w:top="828" w:right="359" w:bottom="1440" w:gutter="0" w:footer="0" w:header="0"/>
        </w:sectPr>
      </w:pPr>
    </w:p>
    <w:bookmarkStart w:id="50" w:name="page51"/>
    <w:bookmarkEnd w:id="50"/>
    <w:p>
      <w:pPr>
        <w:ind w:left="500" w:right="80" w:hanging="492"/>
        <w:spacing w:after="0" w:line="261" w:lineRule="auto"/>
        <w:tabs>
          <w:tab w:leader="none" w:pos="4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31, 2021 ($188.47), multiplied by the number of shares under such options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2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2021, the median of annual total compensation of all employees of our company (other than our CEO), was $69,407. The annual total compensation of our CEO was $19,221,055. Based on this information, the ratio of the annual total compensation of our CEO to the median of the annual total compensation of all employees was approximately 277:1.</w:t>
      </w:r>
    </w:p>
    <w:p>
      <w:pPr>
        <w:spacing w:after="0" w:line="2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w:t>
      </w:r>
    </w:p>
    <w:p>
      <w:pPr>
        <w:spacing w:after="0" w:line="198"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selected October 26, 2020, as the date upon which we would identify the “median employee.”</w:t>
      </w:r>
    </w:p>
    <w:p>
      <w:pPr>
        <w:spacing w:after="0" w:line="6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29,568 individuals working at the company and consolidated subsidiaries, excluding employees on leaves of absence who are not expected to return to work.</w:t>
      </w:r>
    </w:p>
    <w:p>
      <w:pPr>
        <w:spacing w:after="0" w:line="35" w:lineRule="exact"/>
        <w:rPr>
          <w:rFonts w:ascii="Arial" w:cs="Arial" w:eastAsia="Arial" w:hAnsi="Arial"/>
          <w:sz w:val="18"/>
          <w:szCs w:val="18"/>
          <w:color w:val="auto"/>
        </w:rPr>
      </w:pPr>
    </w:p>
    <w:p>
      <w:pPr>
        <w:ind w:left="660" w:right="440" w:hanging="328"/>
        <w:spacing w:after="0" w:line="256"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2021 in accordance with the requirements of Item 402(c)(2)(x) of Regulation S-K, including the value of the employee’s health and welfare benefits (estimated for the employee and the employee’s eligible dependents) and retirement-related benefits.</w:t>
      </w:r>
    </w:p>
    <w:p>
      <w:pPr>
        <w:spacing w:after="0" w:line="39"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annual total compensation of our CEO is the amount reported in the “Total” column of our 2021 summary compensation table, adding in the value of health and welfare benefits (estimated for our CEO and his eligible dependents) and retirement-related benefits. This resulted in annual total compensation for purposes of determining the ratio in the amount of $19,221,055.</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9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committee has received the written disclosures and the letter from the independent registered public accounting firm required by the applicable requirements of the Public Company Accounting Oversight Board,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242424"/>
        </w:rPr>
        <w:t>2022 PROXY STATEMENT • PAGE 50</w:t>
      </w:r>
    </w:p>
    <w:p>
      <w:pPr>
        <w:sectPr>
          <w:pgSz w:w="11900" w:h="16838" w:orient="portrait"/>
          <w:cols w:equalWidth="0" w:num="1">
            <w:col w:w="11160"/>
          </w:cols>
          <w:pgMar w:left="320" w:top="895" w:right="419" w:bottom="1440" w:gutter="0" w:footer="0" w:header="0"/>
        </w:sectPr>
      </w:pPr>
    </w:p>
    <w:bookmarkStart w:id="51" w:name="page52"/>
    <w:bookmarkEnd w:id="51"/>
    <w:p>
      <w:pPr>
        <w:spacing w:after="0" w:line="261" w:lineRule="auto"/>
        <w:rPr>
          <w:sz w:val="20"/>
          <w:szCs w:val="20"/>
          <w:color w:val="auto"/>
        </w:rPr>
      </w:pPr>
      <w:r>
        <w:rPr>
          <w:rFonts w:ascii="Arial" w:cs="Arial" w:eastAsia="Arial" w:hAnsi="Arial"/>
          <w:sz w:val="18"/>
          <w:szCs w:val="18"/>
          <w:color w:val="auto"/>
        </w:rPr>
        <w:t>independent registered public accounting firm’s communications with the Audit Committee concerning independence, and has discussed with Ernst &amp; Young the firm’s independence.</w:t>
      </w:r>
    </w:p>
    <w:p>
      <w:pPr>
        <w:spacing w:after="0" w:line="19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2021 for filing with the SEC.</w:t>
      </w:r>
    </w:p>
    <w:p>
      <w:pPr>
        <w:spacing w:after="0" w:line="144" w:lineRule="exact"/>
        <w:rPr>
          <w:sz w:val="20"/>
          <w:szCs w:val="20"/>
          <w:color w:val="auto"/>
        </w:rPr>
      </w:pPr>
    </w:p>
    <w:p>
      <w:pPr>
        <w:ind w:left="1060"/>
        <w:spacing w:after="0"/>
        <w:tabs>
          <w:tab w:leader="none" w:pos="4980" w:val="left"/>
          <w:tab w:leader="none" w:pos="8720" w:val="left"/>
        </w:tabs>
        <w:rPr>
          <w:sz w:val="20"/>
          <w:szCs w:val="20"/>
          <w:color w:val="auto"/>
        </w:rPr>
      </w:pPr>
      <w:r>
        <w:rPr>
          <w:rFonts w:ascii="Arial" w:cs="Arial" w:eastAsia="Arial" w:hAnsi="Arial"/>
          <w:sz w:val="18"/>
          <w:szCs w:val="18"/>
          <w:color w:val="auto"/>
        </w:rPr>
        <w:t>Janet F. Clark, Chair</w:t>
      </w:r>
      <w:r>
        <w:rPr>
          <w:sz w:val="20"/>
          <w:szCs w:val="20"/>
          <w:color w:val="auto"/>
        </w:rPr>
        <w:tab/>
      </w:r>
      <w:r>
        <w:rPr>
          <w:rFonts w:ascii="Arial" w:cs="Arial" w:eastAsia="Arial" w:hAnsi="Arial"/>
          <w:sz w:val="18"/>
          <w:szCs w:val="18"/>
          <w:color w:val="auto"/>
        </w:rPr>
        <w:t>Jean M. Hobby</w:t>
      </w:r>
      <w:r>
        <w:rPr>
          <w:sz w:val="20"/>
          <w:szCs w:val="20"/>
          <w:color w:val="auto"/>
        </w:rPr>
        <w:tab/>
      </w:r>
      <w:r>
        <w:rPr>
          <w:rFonts w:ascii="Arial" w:cs="Arial" w:eastAsia="Arial" w:hAnsi="Arial"/>
          <w:sz w:val="17"/>
          <w:szCs w:val="17"/>
          <w:color w:val="auto"/>
        </w:rPr>
        <w:t>Michael D. Hsu</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2022.</w:t>
      </w:r>
    </w:p>
    <w:p>
      <w:pPr>
        <w:spacing w:after="0" w:line="20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65 years. In order to assure continuing auditor independence, the Audit Committee periodically considers whether the annual audit of TI’s financial statements should be conducted by another firm.</w:t>
      </w:r>
    </w:p>
    <w:p>
      <w:pPr>
        <w:spacing w:after="0" w:line="20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9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2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50"/>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Audit</w:t>
            </w:r>
          </w:p>
        </w:tc>
        <w:tc>
          <w:tcPr>
            <w:tcW w:w="38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134"/>
              <w:spacing w:after="0"/>
              <w:rPr>
                <w:sz w:val="20"/>
                <w:szCs w:val="20"/>
                <w:color w:val="auto"/>
              </w:rPr>
            </w:pPr>
            <w:r>
              <w:rPr>
                <w:rFonts w:ascii="Arial" w:cs="Arial" w:eastAsia="Arial" w:hAnsi="Arial"/>
                <w:sz w:val="18"/>
                <w:szCs w:val="18"/>
                <w:color w:val="auto"/>
              </w:rPr>
              <w:t>9,797,000</w:t>
            </w:r>
          </w:p>
        </w:tc>
        <w:tc>
          <w:tcPr>
            <w:tcW w:w="4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9,884,000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Audit-Related</w:t>
            </w:r>
          </w:p>
        </w:tc>
        <w:tc>
          <w:tcPr>
            <w:tcW w:w="3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780,000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763,000</w:t>
            </w:r>
          </w:p>
        </w:tc>
      </w:tr>
      <w:tr>
        <w:trPr>
          <w:trHeight w:val="27"/>
        </w:trPr>
        <w:tc>
          <w:tcPr>
            <w:tcW w:w="4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Tax</w:t>
            </w:r>
          </w:p>
        </w:tc>
        <w:tc>
          <w:tcPr>
            <w:tcW w:w="384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ind w:right="134"/>
              <w:spacing w:after="0"/>
              <w:rPr>
                <w:sz w:val="20"/>
                <w:szCs w:val="20"/>
                <w:color w:val="auto"/>
              </w:rPr>
            </w:pPr>
            <w:r>
              <w:rPr>
                <w:rFonts w:ascii="Arial" w:cs="Arial" w:eastAsia="Arial" w:hAnsi="Arial"/>
                <w:sz w:val="18"/>
                <w:szCs w:val="18"/>
                <w:color w:val="auto"/>
              </w:rPr>
              <w:t>1,405,000</w:t>
            </w:r>
          </w:p>
        </w:tc>
        <w:tc>
          <w:tcPr>
            <w:tcW w:w="4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2,372,000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38,000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services provided were as follows:</w:t>
      </w:r>
    </w:p>
    <w:p>
      <w:pPr>
        <w:spacing w:after="0" w:line="22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9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Other: TI Foundation audit and training.</w:t>
      </w:r>
    </w:p>
    <w:p>
      <w:pPr>
        <w:spacing w:after="0" w:line="22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51</w:t>
      </w:r>
    </w:p>
    <w:p>
      <w:pPr>
        <w:sectPr>
          <w:pgSz w:w="11900" w:h="16838" w:orient="portrait"/>
          <w:cols w:equalWidth="0" w:num="1">
            <w:col w:w="11240"/>
          </w:cols>
          <w:pgMar w:left="320" w:top="1003" w:right="339" w:bottom="1440" w:gutter="0" w:footer="0" w:header="0"/>
          <w:type w:val="continuous"/>
        </w:sectPr>
      </w:pPr>
    </w:p>
    <w:bookmarkStart w:id="52" w:name="page53"/>
    <w:bookmarkEnd w:id="52"/>
    <w:p>
      <w:pPr>
        <w:spacing w:after="0" w:line="252"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or its Chair pre-approved all services provided by Ernst &amp; Young during 2021.</w:t>
      </w:r>
    </w:p>
    <w:p>
      <w:pPr>
        <w:spacing w:after="0" w:line="203"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2022.</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 regarding right to call a special meeting</w:t>
      </w:r>
    </w:p>
    <w:p>
      <w:pPr>
        <w:spacing w:after="0" w:line="2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Mr. John Chevedden, 2215 Nelson Avenue #205, Redondo Beach, CA 90278-2453, the beneficial owner of more than $2,000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2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Proxies solicited by management will be voted against the stockholder proposal below unless stockholders specify a contrary choice in their proxies.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applicable rules of the SEC, we have set forth Mr. Chevedden’s proposal below.</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Adopt a Mainstream Shareholder Right - Shareholder Ability to Call a Special Meeting</w:t>
      </w:r>
    </w:p>
    <w:p>
      <w:pPr>
        <w:spacing w:after="0" w:line="24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Shareholders ask our board to take the steps necessary to amend the appropriate company governing documents to give the owners of a combined 10% of our outstanding common stock the power to call a special shareholder meeting. This would give shareholders the same power that our directors now have.</w:t>
      </w:r>
    </w:p>
    <w:p>
      <w:pPr>
        <w:spacing w:after="0" w:line="202"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This proposal is all the more important because Texas Instruments shareholders do not have the right to act by written consent. Texas Instruments shareholder gave impressive 78%-support to a 2021 shareholder proposal calling for a right to act by written consent.</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response to our overwhelming 78%-vote management may be tempted to provide for a so restricted Catch-22 right to act by written consent that no group of shareholders in their right mind would ever attempt to use it at any company in the universe. Our 78%-vote did not support an overly restricted right to act by written consent.</w:t>
      </w:r>
    </w:p>
    <w:p>
      <w:pPr>
        <w:spacing w:after="0" w:line="20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Management at other companies have adopted a Catch-22 version of written consent that required the backing of 25% of all shares in existence to do so little as to ask for record date to start the written consent process.</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Once the record date is set then these owners of 25% stock are on a tight schedule to obtain the backing of 60% of the shares that vote at an annual meeting in order to get the backing of 51% of shares outstanding. It would hopeless to try to get the backing of the shares that do not even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2022 PROXY STATEMENT • PAGE 52</w:t>
      </w:r>
    </w:p>
    <w:p>
      <w:pPr>
        <w:sectPr>
          <w:pgSz w:w="11900" w:h="16838" w:orient="portrait"/>
          <w:cols w:equalWidth="0" w:num="1">
            <w:col w:w="11200"/>
          </w:cols>
          <w:pgMar w:left="320" w:top="787" w:right="379" w:bottom="1440" w:gutter="0" w:footer="0" w:header="0"/>
        </w:sectPr>
      </w:pPr>
    </w:p>
    <w:bookmarkStart w:id="53" w:name="page54"/>
    <w:bookmarkEnd w:id="53"/>
    <w:p>
      <w:pPr>
        <w:ind w:right="380"/>
        <w:spacing w:after="0" w:line="256" w:lineRule="auto"/>
        <w:rPr>
          <w:sz w:val="20"/>
          <w:szCs w:val="20"/>
          <w:color w:val="auto"/>
        </w:rPr>
      </w:pPr>
      <w:r>
        <w:rPr>
          <w:rFonts w:ascii="Arial" w:cs="Arial" w:eastAsia="Arial" w:hAnsi="Arial"/>
          <w:sz w:val="18"/>
          <w:szCs w:val="18"/>
          <w:color w:val="auto"/>
        </w:rPr>
        <w:t>Meanwhile in order to get a record date to initiate written consent the owners of 25% of shares outstanding have to disclose their contact information to management. With shareholder contact information management gets a head start and can use shareholder money to bombard the owners of 25% of shares with glossy materials in an attempt to get them to change their mind on acting by written consent.</w:t>
      </w:r>
    </w:p>
    <w:p>
      <w:pPr>
        <w:spacing w:after="0" w:line="20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This is not an attractive situation for any group of shareholders thinking of acting by written consent. Shareholder acting by written consent need to rapidly expand their base and meanwhile management gives itself an easy way to attack their base.</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need a shareholder right to call a special shareholder meeting because 65% of Standard &amp; Poor 500 companies have such a right. We also need a genuine shareholder right to call a special shareholder meeting in case management is tempted to give us a Catch-22 version of a right to act by written consent after our outstanding 78%-vote of support.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Please vote yes: </w:t>
      </w:r>
      <w:r>
        <w:rPr>
          <w:rFonts w:ascii="Arial" w:cs="Arial" w:eastAsia="Arial" w:hAnsi="Arial"/>
          <w:sz w:val="18"/>
          <w:szCs w:val="18"/>
          <w:b w:val="1"/>
          <w:bCs w:val="1"/>
          <w:color w:val="auto"/>
        </w:rPr>
        <w:t>Adopt a Mainstream Shareholder Right – Shareholder Ability to Call a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this proposal for the following reasons:</w:t>
      </w:r>
    </w:p>
    <w:p>
      <w:pPr>
        <w:spacing w:after="0" w:line="225" w:lineRule="exact"/>
        <w:rPr>
          <w:sz w:val="20"/>
          <w:szCs w:val="20"/>
          <w:color w:val="auto"/>
        </w:rPr>
      </w:pPr>
    </w:p>
    <w:p>
      <w:pPr>
        <w:ind w:left="660" w:right="40" w:hanging="328"/>
        <w:spacing w:after="0" w:line="281" w:lineRule="auto"/>
        <w:tabs>
          <w:tab w:leader="none" w:pos="655"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already have a meaningful right to call a special meeting. </w:t>
      </w:r>
      <w:r>
        <w:rPr>
          <w:rFonts w:ascii="Arial" w:cs="Arial" w:eastAsia="Arial" w:hAnsi="Arial"/>
          <w:sz w:val="17"/>
          <w:szCs w:val="17"/>
          <w:color w:val="auto"/>
        </w:rPr>
        <w:t>The board understands it is important to stockholders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ability to act in between annual meeting meetings, and has engaged in extensive stockholder outreach in this regard since the 2021 annual meeting. Following this outreach, and in response to stockholder feedback, the board amended the company’s by-laws to permit stockholders with net long ownership of 25% or more of our outstanding common stock to call special meetings.</w:t>
      </w:r>
    </w:p>
    <w:p>
      <w:pPr>
        <w:spacing w:after="0" w:line="2" w:lineRule="exact"/>
        <w:rPr>
          <w:rFonts w:ascii="Arial" w:cs="Arial" w:eastAsia="Arial" w:hAnsi="Arial"/>
          <w:sz w:val="17"/>
          <w:szCs w:val="17"/>
          <w:b w:val="1"/>
          <w:bCs w:val="1"/>
          <w:color w:val="auto"/>
        </w:rPr>
      </w:pPr>
    </w:p>
    <w:p>
      <w:pPr>
        <w:ind w:left="66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The current ownership threshold appropriately balances the interests of all stockholders. </w:t>
      </w:r>
      <w:r>
        <w:rPr>
          <w:rFonts w:ascii="Arial" w:cs="Arial" w:eastAsia="Arial" w:hAnsi="Arial"/>
          <w:sz w:val="18"/>
          <w:szCs w:val="18"/>
          <w:color w:val="auto"/>
        </w:rPr>
        <w:t>The company’s stockholders have</w:t>
      </w:r>
      <w:r>
        <w:rPr>
          <w:rFonts w:ascii="Arial" w:cs="Arial" w:eastAsia="Arial" w:hAnsi="Arial"/>
          <w:sz w:val="18"/>
          <w:szCs w:val="18"/>
          <w:b w:val="1"/>
          <w:bCs w:val="1"/>
          <w:color w:val="auto"/>
        </w:rPr>
        <w:t xml:space="preserve"> </w:t>
      </w:r>
      <w:r>
        <w:rPr>
          <w:rFonts w:ascii="Arial" w:cs="Arial" w:eastAsia="Arial" w:hAnsi="Arial"/>
          <w:sz w:val="18"/>
          <w:szCs w:val="18"/>
          <w:color w:val="auto"/>
        </w:rPr>
        <w:t>disparate views on the right to call special meetings and the conditions to exercise that right. Through engagement with stockholders, the company learned that some stockholders believe a special meeting right is not necessary or advisable. Others indicated that a threshold less than 25% would increase the risk of special meetings being called by a few stockholders focused on short-term interests. In the view of those stockholders and our board, enabling holders of less than 25% of our common stock to call special meetings could subject the company to disruption from stockholder special interest groups or activists with an agenda not in the best interest of the company or our long-term stockholders.</w:t>
      </w:r>
    </w:p>
    <w:p>
      <w:pPr>
        <w:spacing w:after="0" w:line="42" w:lineRule="exact"/>
        <w:rPr>
          <w:rFonts w:ascii="Arial" w:cs="Arial" w:eastAsia="Arial" w:hAnsi="Arial"/>
          <w:sz w:val="18"/>
          <w:szCs w:val="18"/>
          <w:color w:val="auto"/>
        </w:rPr>
      </w:pPr>
    </w:p>
    <w:p>
      <w:pPr>
        <w:ind w:left="660" w:right="400"/>
        <w:spacing w:after="0" w:line="254" w:lineRule="auto"/>
        <w:rPr>
          <w:rFonts w:ascii="Arial" w:cs="Arial" w:eastAsia="Arial" w:hAnsi="Arial"/>
          <w:sz w:val="18"/>
          <w:szCs w:val="18"/>
          <w:color w:val="auto"/>
        </w:rPr>
      </w:pPr>
      <w:r>
        <w:rPr>
          <w:rFonts w:ascii="Arial" w:cs="Arial" w:eastAsia="Arial" w:hAnsi="Arial"/>
          <w:sz w:val="18"/>
          <w:szCs w:val="18"/>
          <w:color w:val="auto"/>
        </w:rPr>
        <w:t>Prior to amending the company’s by-laws to adopt a shareholder right to call special meetings, the company reached out to stockholders of approximately two-thirds of the company’s outstanding common stock, to determine, among other things, the appropriate threshold to set for a special meeting right. Approximately half of the stockholders with whom management engaged supported the 25% ownership threshold. No other threshold received a comparable level of support.</w:t>
      </w:r>
    </w:p>
    <w:p>
      <w:pPr>
        <w:spacing w:after="0" w:line="19"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Special meetings require substantial company resources and time</w:t>
      </w:r>
      <w:r>
        <w:rPr>
          <w:rFonts w:ascii="Arial" w:cs="Arial" w:eastAsia="Arial" w:hAnsi="Arial"/>
          <w:sz w:val="18"/>
          <w:szCs w:val="18"/>
          <w:color w:val="auto"/>
        </w:rPr>
        <w:t>. The expense and disruption of a special meeting can be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including the costs of preparing and distributing proxy materials and the diversion of board and management attention from the oversight and management of our business. The proposed 10% threshold could be reached by a single non-majority stockholder. Given that special meetings require a considerable investment in resources, they should be limited to circumstances where a meaningful number of stockholders believe a matter is sufficiently urgent or extraordinary that it must be addressed between annual meetings. The board believes a 25% threshold strikes the necessary balance between enhancing our stockholders’ ability to act on important matters in between annual meetings and protecting the company and other stockholders by allowing only a meaningful group of stockholders to exercise the right.</w:t>
      </w:r>
    </w:p>
    <w:p>
      <w:pPr>
        <w:spacing w:after="0" w:line="22"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Stockholders already have several methods through which they can influence company practices without lowering the special meeting threshold</w:t>
      </w:r>
      <w:r>
        <w:rPr>
          <w:rFonts w:ascii="Arial" w:cs="Arial" w:eastAsia="Arial" w:hAnsi="Arial"/>
          <w:sz w:val="18"/>
          <w:szCs w:val="18"/>
          <w:color w:val="auto"/>
        </w:rPr>
        <w:t>. The company has other corporate governance practices in place that protect stockholder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meaningful avenues for all stockholders, no matter the size, to effectively voice their opinions, including through the company’s robust stockholder engagement throughout the year. Additionally, our annual stockholder meeting provides an opportunity for stockholders to provide direct feedback by voting on director nominees, executive compensation, auditor selection and other matters that come before the meeting, or to ask questions of management. Stockholders also may bring specific items of business before the company and other stockholders by submitting proposals for inclusion in the company’s proxy materials to be voted on at the meeting, or to be voted on at the meeting without being included in company proxy materials. Company by-laws also allow stockholders to nominate directors at the annual meeting or use proxy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53</w:t>
      </w:r>
    </w:p>
    <w:p>
      <w:pPr>
        <w:sectPr>
          <w:pgSz w:w="11900" w:h="16838" w:orient="portrait"/>
          <w:cols w:equalWidth="0" w:num="1">
            <w:col w:w="11240"/>
          </w:cols>
          <w:pgMar w:left="320" w:top="787" w:right="339" w:bottom="1440" w:gutter="0" w:footer="0" w:header="0"/>
        </w:sectPr>
      </w:pPr>
    </w:p>
    <w:bookmarkStart w:id="54" w:name="page55"/>
    <w:bookmarkEnd w:id="54"/>
    <w:p>
      <w:pPr>
        <w:spacing w:after="0" w:line="253" w:lineRule="auto"/>
        <w:rPr>
          <w:sz w:val="20"/>
          <w:szCs w:val="20"/>
          <w:color w:val="auto"/>
        </w:rPr>
      </w:pPr>
      <w:r>
        <w:rPr>
          <w:rFonts w:ascii="Arial" w:cs="Arial" w:eastAsia="Arial" w:hAnsi="Arial"/>
          <w:sz w:val="18"/>
          <w:szCs w:val="18"/>
          <w:color w:val="auto"/>
        </w:rPr>
        <w:t>The company regularly solicits stockholder views outside the context of formal stockholder meetings, considers that input and takes appropriate actions where the long -term interests of all our stockholders are best served. The recent amendment of the company’s by-laws to provide stockholders a right to call special meetings is only one such example. The company maintains its commitment to continue monitoring developments on this topic as part of its consideration of broader governance issues, and our board will continue to foster an open dialogue with our stockholders regarding the company’s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the board of directors recommends a vote “AGAINST” this proposal.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securities</w:t>
      </w:r>
    </w:p>
    <w:p>
      <w:pPr>
        <w:spacing w:after="0" w:line="24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stated in the notice of annual meeting, holders of record of the common stock at the close of business on March 2, 2022, may vote at the meeting or any adjournment of the meeting. As of March 2, 2022, 922,877,542 shares of TI common stock were outstanding. This is the only class of capital stock entitled to vote at the meeting. Each holder of common stock has one vote for each share held.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4720" w:type="dxa"/>
            <w:vAlign w:val="bottom"/>
          </w:tcPr>
          <w:p>
            <w:pPr>
              <w:jc w:val="center"/>
              <w:ind w:left="2879"/>
              <w:spacing w:after="0"/>
              <w:rPr>
                <w:sz w:val="20"/>
                <w:szCs w:val="20"/>
                <w:color w:val="auto"/>
              </w:rPr>
            </w:pPr>
            <w:r>
              <w:rPr>
                <w:rFonts w:ascii="Arial" w:cs="Arial" w:eastAsia="Arial" w:hAnsi="Arial"/>
                <w:sz w:val="14"/>
                <w:szCs w:val="14"/>
                <w:b w:val="1"/>
                <w:bCs w:val="1"/>
                <w:color w:val="auto"/>
              </w:rPr>
              <w:t>Shares Owned at</w:t>
            </w:r>
          </w:p>
        </w:tc>
        <w:tc>
          <w:tcPr>
            <w:tcW w:w="1520" w:type="dxa"/>
            <w:vAlign w:val="bottom"/>
          </w:tcPr>
          <w:p>
            <w:pPr>
              <w:spacing w:after="0"/>
              <w:rPr>
                <w:sz w:val="14"/>
                <w:szCs w:val="14"/>
                <w:color w:val="auto"/>
              </w:rPr>
            </w:pPr>
          </w:p>
        </w:tc>
      </w:tr>
      <w:tr>
        <w:trPr>
          <w:trHeight w:val="19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4720" w:type="dxa"/>
            <w:vAlign w:val="bottom"/>
            <w:tcBorders>
              <w:bottom w:val="single" w:sz="8" w:color="auto"/>
            </w:tcBorders>
          </w:tcPr>
          <w:p>
            <w:pPr>
              <w:jc w:val="center"/>
              <w:ind w:left="2859"/>
              <w:spacing w:after="0"/>
              <w:rPr>
                <w:sz w:val="20"/>
                <w:szCs w:val="20"/>
                <w:color w:val="auto"/>
              </w:rPr>
            </w:pPr>
            <w:r>
              <w:rPr>
                <w:rFonts w:ascii="Arial" w:cs="Arial" w:eastAsia="Arial" w:hAnsi="Arial"/>
                <w:sz w:val="14"/>
                <w:szCs w:val="14"/>
                <w:b w:val="1"/>
                <w:bCs w:val="1"/>
                <w:color w:val="auto"/>
              </w:rPr>
              <w:t>December 31, 2021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 of Class</w:t>
            </w:r>
          </w:p>
        </w:tc>
      </w:tr>
      <w:tr>
        <w:trPr>
          <w:trHeight w:val="242"/>
        </w:trPr>
        <w:tc>
          <w:tcPr>
            <w:tcW w:w="490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47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100 Vanguard Blvd.</w:t>
            </w:r>
          </w:p>
        </w:tc>
        <w:tc>
          <w:tcPr>
            <w:tcW w:w="47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Malvern, PA 19355</w:t>
            </w:r>
          </w:p>
        </w:tc>
        <w:tc>
          <w:tcPr>
            <w:tcW w:w="4720" w:type="dxa"/>
            <w:vAlign w:val="bottom"/>
          </w:tcPr>
          <w:p>
            <w:pPr>
              <w:jc w:val="center"/>
              <w:ind w:left="2879"/>
              <w:spacing w:after="0"/>
              <w:rPr>
                <w:sz w:val="20"/>
                <w:szCs w:val="20"/>
                <w:color w:val="auto"/>
              </w:rPr>
            </w:pPr>
            <w:r>
              <w:rPr>
                <w:rFonts w:ascii="Arial" w:cs="Arial" w:eastAsia="Arial" w:hAnsi="Arial"/>
                <w:sz w:val="18"/>
                <w:szCs w:val="18"/>
                <w:color w:val="auto"/>
                <w:w w:val="99"/>
              </w:rPr>
              <w:t>84,942,678 (1)</w:t>
            </w:r>
          </w:p>
        </w:tc>
        <w:tc>
          <w:tcPr>
            <w:tcW w:w="1520" w:type="dxa"/>
            <w:vAlign w:val="bottom"/>
          </w:tcPr>
          <w:p>
            <w:pPr>
              <w:jc w:val="center"/>
              <w:spacing w:after="0"/>
              <w:rPr>
                <w:sz w:val="20"/>
                <w:szCs w:val="20"/>
                <w:color w:val="auto"/>
              </w:rPr>
            </w:pPr>
            <w:r>
              <w:rPr>
                <w:rFonts w:ascii="Arial" w:cs="Arial" w:eastAsia="Arial" w:hAnsi="Arial"/>
                <w:sz w:val="18"/>
                <w:szCs w:val="18"/>
                <w:color w:val="auto"/>
              </w:rPr>
              <w:t>9.20%</w:t>
            </w:r>
          </w:p>
        </w:tc>
      </w:tr>
      <w:tr>
        <w:trPr>
          <w:trHeight w:val="269"/>
        </w:trPr>
        <w:tc>
          <w:tcPr>
            <w:tcW w:w="490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47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55 East 52</w:t>
            </w:r>
            <w:r>
              <w:rPr>
                <w:rFonts w:ascii="Arial" w:cs="Arial" w:eastAsia="Arial" w:hAnsi="Arial"/>
                <w:sz w:val="16"/>
                <w:szCs w:val="16"/>
                <w:color w:val="auto"/>
              </w:rPr>
              <w:t>nd</w:t>
            </w:r>
            <w:r>
              <w:rPr>
                <w:rFonts w:ascii="Arial" w:cs="Arial" w:eastAsia="Arial" w:hAnsi="Arial"/>
                <w:sz w:val="18"/>
                <w:szCs w:val="18"/>
                <w:color w:val="auto"/>
              </w:rPr>
              <w:t xml:space="preserve"> Street</w:t>
            </w:r>
          </w:p>
        </w:tc>
        <w:tc>
          <w:tcPr>
            <w:tcW w:w="47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New York, NY 10055</w:t>
            </w:r>
          </w:p>
        </w:tc>
        <w:tc>
          <w:tcPr>
            <w:tcW w:w="4720" w:type="dxa"/>
            <w:vAlign w:val="bottom"/>
          </w:tcPr>
          <w:p>
            <w:pPr>
              <w:jc w:val="center"/>
              <w:ind w:left="2879"/>
              <w:spacing w:after="0"/>
              <w:rPr>
                <w:sz w:val="20"/>
                <w:szCs w:val="20"/>
                <w:color w:val="auto"/>
              </w:rPr>
            </w:pPr>
            <w:r>
              <w:rPr>
                <w:rFonts w:ascii="Arial" w:cs="Arial" w:eastAsia="Arial" w:hAnsi="Arial"/>
                <w:sz w:val="18"/>
                <w:szCs w:val="18"/>
                <w:color w:val="auto"/>
                <w:w w:val="99"/>
              </w:rPr>
              <w:t>73,785,201 (2)</w:t>
            </w:r>
          </w:p>
        </w:tc>
        <w:tc>
          <w:tcPr>
            <w:tcW w:w="1520" w:type="dxa"/>
            <w:vAlign w:val="bottom"/>
          </w:tcPr>
          <w:p>
            <w:pPr>
              <w:jc w:val="center"/>
              <w:spacing w:after="0"/>
              <w:rPr>
                <w:sz w:val="20"/>
                <w:szCs w:val="20"/>
                <w:color w:val="auto"/>
              </w:rPr>
            </w:pPr>
            <w:r>
              <w:rPr>
                <w:rFonts w:ascii="Arial" w:cs="Arial" w:eastAsia="Arial" w:hAnsi="Arial"/>
                <w:sz w:val="18"/>
                <w:szCs w:val="18"/>
                <w:color w:val="auto"/>
              </w:rPr>
              <w:t>8.00%</w:t>
            </w:r>
          </w:p>
        </w:tc>
      </w:tr>
    </w:tbl>
    <w:p>
      <w:pPr>
        <w:spacing w:after="0" w:line="337" w:lineRule="exact"/>
        <w:rPr>
          <w:sz w:val="20"/>
          <w:szCs w:val="20"/>
          <w:color w:val="auto"/>
        </w:rPr>
      </w:pPr>
    </w:p>
    <w:p>
      <w:pPr>
        <w:ind w:left="500" w:right="640" w:hanging="492"/>
        <w:spacing w:after="0" w:line="261"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According to its Form 13G filing, The Vanguard Group has shared voting power for 1,524,771 shares, sole dispositive power for 81,080,965 shares and shared dispositive power for 3,861,713 shares.</w:t>
      </w:r>
    </w:p>
    <w:p>
      <w:pPr>
        <w:spacing w:after="0" w:line="89" w:lineRule="exact"/>
        <w:rPr>
          <w:rFonts w:ascii="Arial" w:cs="Arial" w:eastAsia="Arial" w:hAnsi="Arial"/>
          <w:sz w:val="18"/>
          <w:szCs w:val="18"/>
          <w:color w:val="auto"/>
        </w:rPr>
      </w:pPr>
    </w:p>
    <w:p>
      <w:pPr>
        <w:ind w:left="500" w:right="900" w:hanging="492"/>
        <w:spacing w:after="0" w:line="261" w:lineRule="auto"/>
        <w:tabs>
          <w:tab w:leader="none" w:pos="4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According to its Form 13G filing, BlackRock, Inc. has sole voting power for 64,573,940 shares and sole dispositive power for 73,785,201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54</w:t>
      </w:r>
    </w:p>
    <w:p>
      <w:pPr>
        <w:sectPr>
          <w:pgSz w:w="11900" w:h="16838" w:orient="portrait"/>
          <w:cols w:equalWidth="0" w:num="1">
            <w:col w:w="11240"/>
          </w:cols>
          <w:pgMar w:left="320" w:top="787"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760" w:type="dxa"/>
            <w:vAlign w:val="bottom"/>
          </w:tcPr>
          <w:p>
            <w:pPr>
              <w:jc w:val="right"/>
              <w:ind w:right="392"/>
              <w:spacing w:after="0"/>
              <w:rPr>
                <w:sz w:val="20"/>
                <w:szCs w:val="20"/>
                <w:color w:val="auto"/>
              </w:rPr>
            </w:pPr>
            <w:r>
              <w:rPr>
                <w:rFonts w:ascii="Arial" w:cs="Arial" w:eastAsia="Arial" w:hAnsi="Arial"/>
                <w:sz w:val="14"/>
                <w:szCs w:val="14"/>
                <w:b w:val="1"/>
                <w:bCs w:val="1"/>
                <w:color w:val="auto"/>
              </w:rPr>
              <w:t>Shares Owned at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09"/>
        </w:trPr>
        <w:tc>
          <w:tcPr>
            <w:tcW w:w="5980" w:type="dxa"/>
            <w:vAlign w:val="bottom"/>
            <w:vMerge w:val="continue"/>
          </w:tcPr>
          <w:p>
            <w:pPr>
              <w:spacing w:after="0"/>
              <w:rPr>
                <w:sz w:val="9"/>
                <w:szCs w:val="9"/>
                <w:color w:val="auto"/>
              </w:rPr>
            </w:pPr>
          </w:p>
        </w:tc>
        <w:tc>
          <w:tcPr>
            <w:tcW w:w="37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December 31, 2021</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87"/>
        </w:trPr>
        <w:tc>
          <w:tcPr>
            <w:tcW w:w="598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vMerge w:val="continue"/>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Directors (1)</w:t>
            </w:r>
          </w:p>
        </w:tc>
        <w:tc>
          <w:tcPr>
            <w:tcW w:w="376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Mark A. Blinn (2)</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40,823</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Todd M. Bluedorn</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15,494</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Janet F. Clark</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41,828</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Carrie S. Cox</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64,163</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Martin S. Craighead</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27,356</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Jean M. Hobby</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20,420</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Michael D. Hsu (3)</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4,845</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343,437</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Ronald Kirk</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66,684</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Pamela H. Patsley</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134,875</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Robert E. Sanchez</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78,111</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Richard K. Templeton (4)</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3,084,579</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Management (5)</w:t>
            </w:r>
          </w:p>
        </w:tc>
        <w:tc>
          <w:tcPr>
            <w:tcW w:w="376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Rafael R. Lizardi</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154,584</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3760" w:type="dxa"/>
            <w:vAlign w:val="bottom"/>
            <w:tcBorders>
              <w:bottom w:val="single" w:sz="8" w:color="DBDBDB"/>
            </w:tcBorders>
            <w:shd w:val="clear" w:color="auto" w:fill="DBDBDB"/>
          </w:tcPr>
          <w:p>
            <w:pPr>
              <w:jc w:val="right"/>
              <w:ind w:right="412"/>
              <w:spacing w:after="0"/>
              <w:rPr>
                <w:sz w:val="20"/>
                <w:szCs w:val="20"/>
                <w:color w:val="auto"/>
              </w:rPr>
            </w:pPr>
            <w:r>
              <w:rPr>
                <w:rFonts w:ascii="Arial" w:cs="Arial" w:eastAsia="Arial" w:hAnsi="Arial"/>
                <w:sz w:val="18"/>
                <w:szCs w:val="18"/>
                <w:color w:val="auto"/>
              </w:rPr>
              <w:t>89,629</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Kyle M. Flessner</w:t>
            </w:r>
          </w:p>
        </w:tc>
        <w:tc>
          <w:tcPr>
            <w:tcW w:w="3760" w:type="dxa"/>
            <w:vAlign w:val="bottom"/>
          </w:tcPr>
          <w:p>
            <w:pPr>
              <w:jc w:val="right"/>
              <w:ind w:right="412"/>
              <w:spacing w:after="0"/>
              <w:rPr>
                <w:sz w:val="20"/>
                <w:szCs w:val="20"/>
                <w:color w:val="auto"/>
              </w:rPr>
            </w:pPr>
            <w:r>
              <w:rPr>
                <w:rFonts w:ascii="Arial" w:cs="Arial" w:eastAsia="Arial" w:hAnsi="Arial"/>
                <w:sz w:val="18"/>
                <w:szCs w:val="18"/>
                <w:color w:val="auto"/>
              </w:rPr>
              <w:t>197,928</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 executive officers and directors as a group (6)</w:t>
            </w:r>
          </w:p>
        </w:tc>
        <w:tc>
          <w:tcPr>
            <w:tcW w:w="3760" w:type="dxa"/>
            <w:vAlign w:val="bottom"/>
            <w:shd w:val="clear" w:color="auto" w:fill="DBDBDB"/>
          </w:tcPr>
          <w:p>
            <w:pPr>
              <w:jc w:val="right"/>
              <w:ind w:right="412"/>
              <w:spacing w:after="0"/>
              <w:rPr>
                <w:sz w:val="20"/>
                <w:szCs w:val="20"/>
                <w:color w:val="auto"/>
              </w:rPr>
            </w:pPr>
            <w:r>
              <w:rPr>
                <w:rFonts w:ascii="Arial" w:cs="Arial" w:eastAsia="Arial" w:hAnsi="Arial"/>
                <w:sz w:val="18"/>
                <w:szCs w:val="18"/>
                <w:color w:val="auto"/>
              </w:rPr>
              <w:t>5,001,153</w:t>
            </w:r>
          </w:p>
        </w:tc>
        <w:tc>
          <w:tcPr>
            <w:tcW w:w="14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
        </w:trPr>
        <w:tc>
          <w:tcPr>
            <w:tcW w:w="5980" w:type="dxa"/>
            <w:vAlign w:val="bottom"/>
            <w:shd w:val="clear" w:color="auto" w:fill="DBDBDB"/>
          </w:tcPr>
          <w:p>
            <w:pPr>
              <w:spacing w:after="0"/>
              <w:rPr>
                <w:sz w:val="2"/>
                <w:szCs w:val="2"/>
                <w:color w:val="auto"/>
              </w:rPr>
            </w:pPr>
          </w:p>
        </w:tc>
        <w:tc>
          <w:tcPr>
            <w:tcW w:w="376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420" w:hanging="412"/>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jc w:val="center"/>
              <w:ind w:left="41"/>
              <w:spacing w:after="0"/>
              <w:rPr>
                <w:sz w:val="20"/>
                <w:szCs w:val="20"/>
                <w:color w:val="auto"/>
              </w:rPr>
            </w:pPr>
            <w:r>
              <w:rPr>
                <w:rFonts w:ascii="Arial" w:cs="Arial" w:eastAsia="Arial" w:hAnsi="Arial"/>
                <w:sz w:val="14"/>
                <w:szCs w:val="14"/>
                <w:b w:val="1"/>
                <w:bCs w:val="1"/>
                <w:color w:val="auto"/>
              </w:rPr>
              <w:t>Shares</w:t>
            </w:r>
          </w:p>
        </w:tc>
      </w:tr>
      <w:tr>
        <w:trPr>
          <w:trHeight w:val="162"/>
        </w:trPr>
        <w:tc>
          <w:tcPr>
            <w:tcW w:w="35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jc w:val="center"/>
              <w:ind w:left="21"/>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35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jc w:val="center"/>
              <w:ind w:left="21"/>
              <w:spacing w:after="0"/>
              <w:rPr>
                <w:sz w:val="20"/>
                <w:szCs w:val="20"/>
                <w:color w:val="auto"/>
              </w:rPr>
            </w:pPr>
            <w:r>
              <w:rPr>
                <w:rFonts w:ascii="Arial" w:cs="Arial" w:eastAsia="Arial" w:hAnsi="Arial"/>
                <w:sz w:val="14"/>
                <w:szCs w:val="14"/>
                <w:b w:val="1"/>
                <w:bCs w:val="1"/>
                <w:color w:val="auto"/>
              </w:rPr>
              <w:t>to Deferred</w:t>
            </w:r>
          </w:p>
        </w:tc>
      </w:tr>
      <w:tr>
        <w:trPr>
          <w:trHeight w:val="162"/>
        </w:trPr>
        <w:tc>
          <w:tcPr>
            <w:tcW w:w="3520" w:type="dxa"/>
            <w:vAlign w:val="bottom"/>
          </w:tcPr>
          <w:p>
            <w:pPr>
              <w:spacing w:after="0"/>
              <w:rPr>
                <w:sz w:val="14"/>
                <w:szCs w:val="14"/>
                <w:color w:val="auto"/>
              </w:rPr>
            </w:pPr>
          </w:p>
        </w:tc>
        <w:tc>
          <w:tcPr>
            <w:tcW w:w="3420" w:type="dxa"/>
            <w:vAlign w:val="bottom"/>
          </w:tcPr>
          <w:p>
            <w:pPr>
              <w:jc w:val="right"/>
              <w:ind w:right="293"/>
              <w:spacing w:after="0"/>
              <w:rPr>
                <w:sz w:val="20"/>
                <w:szCs w:val="20"/>
                <w:color w:val="auto"/>
              </w:rPr>
            </w:pPr>
            <w:r>
              <w:rPr>
                <w:rFonts w:ascii="Arial" w:cs="Arial" w:eastAsia="Arial" w:hAnsi="Arial"/>
                <w:sz w:val="14"/>
                <w:szCs w:val="14"/>
                <w:b w:val="1"/>
                <w:bCs w:val="1"/>
                <w:color w:val="auto"/>
              </w:rPr>
              <w:t>Shares Obtainable</w:t>
            </w:r>
          </w:p>
        </w:tc>
        <w:tc>
          <w:tcPr>
            <w:tcW w:w="1660" w:type="dxa"/>
            <w:vAlign w:val="bottom"/>
          </w:tcPr>
          <w:p>
            <w:pPr>
              <w:jc w:val="right"/>
              <w:ind w:right="533"/>
              <w:spacing w:after="0"/>
              <w:rPr>
                <w:sz w:val="20"/>
                <w:szCs w:val="20"/>
                <w:color w:val="auto"/>
              </w:rPr>
            </w:pPr>
            <w:r>
              <w:rPr>
                <w:rFonts w:ascii="Arial" w:cs="Arial" w:eastAsia="Arial" w:hAnsi="Arial"/>
                <w:sz w:val="14"/>
                <w:szCs w:val="14"/>
                <w:b w:val="1"/>
                <w:bCs w:val="1"/>
                <w:color w:val="auto"/>
              </w:rPr>
              <w:t>RSUs</w:t>
            </w:r>
          </w:p>
        </w:tc>
        <w:tc>
          <w:tcPr>
            <w:tcW w:w="1560" w:type="dxa"/>
            <w:vAlign w:val="bottom"/>
          </w:tcPr>
          <w:p>
            <w:pPr>
              <w:jc w:val="center"/>
              <w:ind w:left="41"/>
              <w:spacing w:after="0"/>
              <w:rPr>
                <w:sz w:val="20"/>
                <w:szCs w:val="20"/>
                <w:color w:val="auto"/>
              </w:rPr>
            </w:pPr>
            <w:r>
              <w:rPr>
                <w:rFonts w:ascii="Arial" w:cs="Arial" w:eastAsia="Arial" w:hAnsi="Arial"/>
                <w:sz w:val="14"/>
                <w:szCs w:val="14"/>
                <w:b w:val="1"/>
                <w:bCs w:val="1"/>
                <w:color w:val="auto"/>
              </w:rPr>
              <w:t>Compensation</w:t>
            </w:r>
          </w:p>
        </w:tc>
      </w:tr>
      <w:tr>
        <w:trPr>
          <w:trHeight w:val="19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Directors</w:t>
            </w:r>
          </w:p>
        </w:tc>
        <w:tc>
          <w:tcPr>
            <w:tcW w:w="34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within 60 Days</w:t>
            </w:r>
          </w:p>
        </w:tc>
        <w:tc>
          <w:tcPr>
            <w:tcW w:w="1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 Shares) (a)</w:t>
            </w:r>
          </w:p>
        </w:tc>
        <w:tc>
          <w:tcPr>
            <w:tcW w:w="156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rPr>
              <w:t>Accounts (b)</w:t>
            </w: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Mark A. Blinn</w:t>
            </w:r>
          </w:p>
        </w:tc>
        <w:tc>
          <w:tcPr>
            <w:tcW w:w="3420" w:type="dxa"/>
            <w:vAlign w:val="bottom"/>
            <w:tcBorders>
              <w:bottom w:val="single" w:sz="8" w:color="DBDBDB"/>
            </w:tcBorders>
            <w:shd w:val="clear" w:color="auto" w:fill="DBDBDB"/>
          </w:tcPr>
          <w:p>
            <w:pPr>
              <w:jc w:val="right"/>
              <w:ind w:right="413"/>
              <w:spacing w:after="0"/>
              <w:rPr>
                <w:sz w:val="20"/>
                <w:szCs w:val="20"/>
                <w:color w:val="auto"/>
              </w:rPr>
            </w:pPr>
            <w:r>
              <w:rPr>
                <w:rFonts w:ascii="Arial" w:cs="Arial" w:eastAsia="Arial" w:hAnsi="Arial"/>
                <w:sz w:val="18"/>
                <w:szCs w:val="18"/>
                <w:color w:val="auto"/>
              </w:rPr>
              <w:t>3,802</w:t>
            </w:r>
          </w:p>
        </w:tc>
        <w:tc>
          <w:tcPr>
            <w:tcW w:w="166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12,491</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9,484</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Todd M. Bluedorn</w:t>
            </w:r>
          </w:p>
        </w:tc>
        <w:tc>
          <w:tcPr>
            <w:tcW w:w="3420" w:type="dxa"/>
            <w:vAlign w:val="bottom"/>
          </w:tcPr>
          <w:p>
            <w:pPr>
              <w:jc w:val="right"/>
              <w:ind w:right="413"/>
              <w:spacing w:after="0"/>
              <w:rPr>
                <w:sz w:val="20"/>
                <w:szCs w:val="20"/>
                <w:color w:val="auto"/>
              </w:rPr>
            </w:pPr>
            <w:r>
              <w:rPr>
                <w:rFonts w:ascii="Arial" w:cs="Arial" w:eastAsia="Arial" w:hAnsi="Arial"/>
                <w:sz w:val="18"/>
                <w:szCs w:val="18"/>
                <w:color w:val="auto"/>
              </w:rPr>
              <w:t>10,274</w:t>
            </w:r>
          </w:p>
        </w:tc>
        <w:tc>
          <w:tcPr>
            <w:tcW w:w="1660" w:type="dxa"/>
            <w:vAlign w:val="bottom"/>
          </w:tcPr>
          <w:p>
            <w:pPr>
              <w:jc w:val="right"/>
              <w:ind w:right="253"/>
              <w:spacing w:after="0"/>
              <w:rPr>
                <w:sz w:val="20"/>
                <w:szCs w:val="20"/>
                <w:color w:val="auto"/>
              </w:rPr>
            </w:pPr>
            <w:r>
              <w:rPr>
                <w:rFonts w:ascii="Arial" w:cs="Arial" w:eastAsia="Arial" w:hAnsi="Arial"/>
                <w:sz w:val="18"/>
                <w:szCs w:val="18"/>
                <w:color w:val="auto"/>
              </w:rPr>
              <w:t>3,220</w:t>
            </w:r>
          </w:p>
        </w:tc>
        <w:tc>
          <w:tcPr>
            <w:tcW w:w="1560" w:type="dxa"/>
            <w:vAlign w:val="bottom"/>
          </w:tcPr>
          <w:p>
            <w:pPr>
              <w:jc w:val="right"/>
              <w:ind w:right="241"/>
              <w:spacing w:after="0"/>
              <w:rPr>
                <w:sz w:val="20"/>
                <w:szCs w:val="20"/>
                <w:color w:val="auto"/>
              </w:rPr>
            </w:pPr>
            <w:r>
              <w:rPr>
                <w:rFonts w:ascii="Arial" w:cs="Arial" w:eastAsia="Arial" w:hAnsi="Arial"/>
                <w:sz w:val="14"/>
                <w:szCs w:val="14"/>
                <w:color w:val="auto"/>
              </w:rPr>
              <w:t>—</w:t>
            </w:r>
          </w:p>
        </w:tc>
      </w:tr>
      <w:tr>
        <w:trPr>
          <w:trHeight w:val="27"/>
        </w:trPr>
        <w:tc>
          <w:tcPr>
            <w:tcW w:w="3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Janet F. Clark</w:t>
            </w:r>
          </w:p>
        </w:tc>
        <w:tc>
          <w:tcPr>
            <w:tcW w:w="3420" w:type="dxa"/>
            <w:vAlign w:val="bottom"/>
            <w:tcBorders>
              <w:bottom w:val="single" w:sz="8" w:color="DBDBDB"/>
            </w:tcBorders>
            <w:shd w:val="clear" w:color="auto" w:fill="DBDBDB"/>
          </w:tcPr>
          <w:p>
            <w:pPr>
              <w:jc w:val="right"/>
              <w:ind w:right="413"/>
              <w:spacing w:after="0"/>
              <w:rPr>
                <w:sz w:val="20"/>
                <w:szCs w:val="20"/>
                <w:color w:val="auto"/>
              </w:rPr>
            </w:pPr>
            <w:r>
              <w:rPr>
                <w:rFonts w:ascii="Arial" w:cs="Arial" w:eastAsia="Arial" w:hAnsi="Arial"/>
                <w:sz w:val="18"/>
                <w:szCs w:val="18"/>
                <w:color w:val="auto"/>
              </w:rPr>
              <w:t>26,329</w:t>
            </w:r>
          </w:p>
        </w:tc>
        <w:tc>
          <w:tcPr>
            <w:tcW w:w="166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8,370</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7,129</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Carrie S. Cox</w:t>
            </w:r>
          </w:p>
        </w:tc>
        <w:tc>
          <w:tcPr>
            <w:tcW w:w="3420" w:type="dxa"/>
            <w:vAlign w:val="bottom"/>
          </w:tcPr>
          <w:p>
            <w:pPr>
              <w:jc w:val="right"/>
              <w:ind w:right="413"/>
              <w:spacing w:after="0"/>
              <w:rPr>
                <w:sz w:val="20"/>
                <w:szCs w:val="20"/>
                <w:color w:val="auto"/>
              </w:rPr>
            </w:pPr>
            <w:r>
              <w:rPr>
                <w:rFonts w:ascii="Arial" w:cs="Arial" w:eastAsia="Arial" w:hAnsi="Arial"/>
                <w:sz w:val="18"/>
                <w:szCs w:val="18"/>
                <w:color w:val="auto"/>
              </w:rPr>
              <w:t>26,329</w:t>
            </w:r>
          </w:p>
        </w:tc>
        <w:tc>
          <w:tcPr>
            <w:tcW w:w="1660" w:type="dxa"/>
            <w:vAlign w:val="bottom"/>
          </w:tcPr>
          <w:p>
            <w:pPr>
              <w:jc w:val="right"/>
              <w:ind w:right="253"/>
              <w:spacing w:after="0"/>
              <w:rPr>
                <w:sz w:val="20"/>
                <w:szCs w:val="20"/>
                <w:color w:val="auto"/>
              </w:rPr>
            </w:pPr>
            <w:r>
              <w:rPr>
                <w:rFonts w:ascii="Arial" w:cs="Arial" w:eastAsia="Arial" w:hAnsi="Arial"/>
                <w:sz w:val="18"/>
                <w:szCs w:val="18"/>
                <w:color w:val="auto"/>
              </w:rPr>
              <w:t>31,516</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3,179</w:t>
            </w:r>
          </w:p>
        </w:tc>
      </w:tr>
      <w:tr>
        <w:trPr>
          <w:trHeight w:val="27"/>
        </w:trPr>
        <w:tc>
          <w:tcPr>
            <w:tcW w:w="3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Martin S. Craighead</w:t>
            </w:r>
          </w:p>
        </w:tc>
        <w:tc>
          <w:tcPr>
            <w:tcW w:w="3420" w:type="dxa"/>
            <w:vAlign w:val="bottom"/>
            <w:tcBorders>
              <w:bottom w:val="single" w:sz="8" w:color="DBDBDB"/>
            </w:tcBorders>
            <w:shd w:val="clear" w:color="auto" w:fill="DBDBDB"/>
          </w:tcPr>
          <w:p>
            <w:pPr>
              <w:jc w:val="right"/>
              <w:ind w:right="413"/>
              <w:spacing w:after="0"/>
              <w:rPr>
                <w:sz w:val="20"/>
                <w:szCs w:val="20"/>
                <w:color w:val="auto"/>
              </w:rPr>
            </w:pPr>
            <w:r>
              <w:rPr>
                <w:rFonts w:ascii="Arial" w:cs="Arial" w:eastAsia="Arial" w:hAnsi="Arial"/>
                <w:sz w:val="18"/>
                <w:szCs w:val="18"/>
                <w:color w:val="auto"/>
              </w:rPr>
              <w:t>5,968</w:t>
            </w:r>
          </w:p>
        </w:tc>
        <w:tc>
          <w:tcPr>
            <w:tcW w:w="166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4,313</w:t>
            </w:r>
          </w:p>
        </w:tc>
        <w:tc>
          <w:tcPr>
            <w:tcW w:w="1560" w:type="dxa"/>
            <w:vAlign w:val="bottom"/>
            <w:tcBorders>
              <w:bottom w:val="single" w:sz="8" w:color="DBDBDB"/>
            </w:tcBorders>
            <w:shd w:val="clear" w:color="auto" w:fill="DBDBDB"/>
          </w:tcPr>
          <w:p>
            <w:pPr>
              <w:jc w:val="right"/>
              <w:ind w:right="241"/>
              <w:spacing w:after="0"/>
              <w:rPr>
                <w:sz w:val="20"/>
                <w:szCs w:val="20"/>
                <w:color w:val="auto"/>
              </w:rPr>
            </w:pPr>
            <w:r>
              <w:rPr>
                <w:rFonts w:ascii="Arial" w:cs="Arial" w:eastAsia="Arial" w:hAnsi="Arial"/>
                <w:sz w:val="14"/>
                <w:szCs w:val="14"/>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Jean M. Hobby</w:t>
            </w:r>
          </w:p>
        </w:tc>
        <w:tc>
          <w:tcPr>
            <w:tcW w:w="3420" w:type="dxa"/>
            <w:vAlign w:val="bottom"/>
          </w:tcPr>
          <w:p>
            <w:pPr>
              <w:jc w:val="right"/>
              <w:ind w:right="413"/>
              <w:spacing w:after="0"/>
              <w:rPr>
                <w:sz w:val="20"/>
                <w:szCs w:val="20"/>
                <w:color w:val="auto"/>
              </w:rPr>
            </w:pPr>
            <w:r>
              <w:rPr>
                <w:rFonts w:ascii="Arial" w:cs="Arial" w:eastAsia="Arial" w:hAnsi="Arial"/>
                <w:sz w:val="18"/>
                <w:szCs w:val="18"/>
                <w:color w:val="auto"/>
              </w:rPr>
              <w:t>16,339</w:t>
            </w:r>
          </w:p>
        </w:tc>
        <w:tc>
          <w:tcPr>
            <w:tcW w:w="1660" w:type="dxa"/>
            <w:vAlign w:val="bottom"/>
          </w:tcPr>
          <w:p>
            <w:pPr>
              <w:jc w:val="right"/>
              <w:ind w:right="253"/>
              <w:spacing w:after="0"/>
              <w:rPr>
                <w:sz w:val="20"/>
                <w:szCs w:val="20"/>
                <w:color w:val="auto"/>
              </w:rPr>
            </w:pPr>
            <w:r>
              <w:rPr>
                <w:rFonts w:ascii="Arial" w:cs="Arial" w:eastAsia="Arial" w:hAnsi="Arial"/>
                <w:sz w:val="18"/>
                <w:szCs w:val="18"/>
                <w:color w:val="auto"/>
              </w:rPr>
              <w:t>3,220</w:t>
            </w:r>
          </w:p>
        </w:tc>
        <w:tc>
          <w:tcPr>
            <w:tcW w:w="1560" w:type="dxa"/>
            <w:vAlign w:val="bottom"/>
          </w:tcPr>
          <w:p>
            <w:pPr>
              <w:jc w:val="right"/>
              <w:ind w:right="241"/>
              <w:spacing w:after="0"/>
              <w:rPr>
                <w:sz w:val="20"/>
                <w:szCs w:val="20"/>
                <w:color w:val="auto"/>
              </w:rPr>
            </w:pPr>
            <w:r>
              <w:rPr>
                <w:rFonts w:ascii="Arial" w:cs="Arial" w:eastAsia="Arial" w:hAnsi="Arial"/>
                <w:sz w:val="14"/>
                <w:szCs w:val="14"/>
                <w:color w:val="auto"/>
              </w:rPr>
              <w:t>—</w:t>
            </w:r>
          </w:p>
        </w:tc>
      </w:tr>
      <w:tr>
        <w:trPr>
          <w:trHeight w:val="27"/>
        </w:trPr>
        <w:tc>
          <w:tcPr>
            <w:tcW w:w="3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Michael D. Hsu</w:t>
            </w:r>
          </w:p>
        </w:tc>
        <w:tc>
          <w:tcPr>
            <w:tcW w:w="3420" w:type="dxa"/>
            <w:vAlign w:val="bottom"/>
            <w:tcBorders>
              <w:bottom w:val="single" w:sz="8" w:color="DBDBDB"/>
            </w:tcBorders>
            <w:shd w:val="clear" w:color="auto" w:fill="DBDBDB"/>
          </w:tcPr>
          <w:p>
            <w:pPr>
              <w:jc w:val="right"/>
              <w:ind w:right="413"/>
              <w:spacing w:after="0"/>
              <w:rPr>
                <w:sz w:val="20"/>
                <w:szCs w:val="20"/>
                <w:color w:val="auto"/>
              </w:rPr>
            </w:pPr>
            <w:r>
              <w:rPr>
                <w:rFonts w:ascii="Arial" w:cs="Arial" w:eastAsia="Arial" w:hAnsi="Arial"/>
                <w:sz w:val="18"/>
                <w:szCs w:val="18"/>
                <w:color w:val="auto"/>
              </w:rPr>
              <w:t>614</w:t>
            </w:r>
          </w:p>
        </w:tc>
        <w:tc>
          <w:tcPr>
            <w:tcW w:w="166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2,654</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1,292</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Haviv Ilan</w:t>
            </w:r>
          </w:p>
        </w:tc>
        <w:tc>
          <w:tcPr>
            <w:tcW w:w="3420" w:type="dxa"/>
            <w:vAlign w:val="bottom"/>
          </w:tcPr>
          <w:p>
            <w:pPr>
              <w:jc w:val="right"/>
              <w:ind w:right="413"/>
              <w:spacing w:after="0"/>
              <w:rPr>
                <w:sz w:val="20"/>
                <w:szCs w:val="20"/>
                <w:color w:val="auto"/>
              </w:rPr>
            </w:pPr>
            <w:r>
              <w:rPr>
                <w:rFonts w:ascii="Arial" w:cs="Arial" w:eastAsia="Arial" w:hAnsi="Arial"/>
                <w:sz w:val="18"/>
                <w:szCs w:val="18"/>
                <w:color w:val="auto"/>
              </w:rPr>
              <w:t>270,068</w:t>
            </w:r>
          </w:p>
        </w:tc>
        <w:tc>
          <w:tcPr>
            <w:tcW w:w="1660" w:type="dxa"/>
            <w:vAlign w:val="bottom"/>
          </w:tcPr>
          <w:p>
            <w:pPr>
              <w:jc w:val="right"/>
              <w:ind w:right="253"/>
              <w:spacing w:after="0"/>
              <w:rPr>
                <w:sz w:val="20"/>
                <w:szCs w:val="20"/>
                <w:color w:val="auto"/>
              </w:rPr>
            </w:pPr>
            <w:r>
              <w:rPr>
                <w:rFonts w:ascii="Arial" w:cs="Arial" w:eastAsia="Arial" w:hAnsi="Arial"/>
                <w:sz w:val="18"/>
                <w:szCs w:val="18"/>
                <w:color w:val="auto"/>
              </w:rPr>
              <w:t>73,369</w:t>
            </w:r>
          </w:p>
        </w:tc>
        <w:tc>
          <w:tcPr>
            <w:tcW w:w="1560" w:type="dxa"/>
            <w:vAlign w:val="bottom"/>
          </w:tcPr>
          <w:p>
            <w:pPr>
              <w:jc w:val="right"/>
              <w:ind w:right="241"/>
              <w:spacing w:after="0"/>
              <w:rPr>
                <w:sz w:val="20"/>
                <w:szCs w:val="20"/>
                <w:color w:val="auto"/>
              </w:rPr>
            </w:pPr>
            <w:r>
              <w:rPr>
                <w:rFonts w:ascii="Arial" w:cs="Arial" w:eastAsia="Arial" w:hAnsi="Arial"/>
                <w:sz w:val="14"/>
                <w:szCs w:val="14"/>
                <w:color w:val="auto"/>
              </w:rPr>
              <w:t>—</w:t>
            </w:r>
          </w:p>
        </w:tc>
      </w:tr>
      <w:tr>
        <w:trPr>
          <w:trHeight w:val="27"/>
        </w:trPr>
        <w:tc>
          <w:tcPr>
            <w:tcW w:w="3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Ronald Kirk</w:t>
            </w:r>
          </w:p>
        </w:tc>
        <w:tc>
          <w:tcPr>
            <w:tcW w:w="3420" w:type="dxa"/>
            <w:vAlign w:val="bottom"/>
            <w:tcBorders>
              <w:bottom w:val="single" w:sz="8" w:color="DBDBDB"/>
            </w:tcBorders>
            <w:shd w:val="clear" w:color="auto" w:fill="DBDBDB"/>
          </w:tcPr>
          <w:p>
            <w:pPr>
              <w:jc w:val="right"/>
              <w:ind w:right="413"/>
              <w:spacing w:after="0"/>
              <w:rPr>
                <w:sz w:val="20"/>
                <w:szCs w:val="20"/>
                <w:color w:val="auto"/>
              </w:rPr>
            </w:pPr>
            <w:r>
              <w:rPr>
                <w:rFonts w:ascii="Arial" w:cs="Arial" w:eastAsia="Arial" w:hAnsi="Arial"/>
                <w:sz w:val="18"/>
                <w:szCs w:val="18"/>
                <w:color w:val="auto"/>
              </w:rPr>
              <w:t>49,167</w:t>
            </w:r>
          </w:p>
        </w:tc>
        <w:tc>
          <w:tcPr>
            <w:tcW w:w="166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3,220</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5,026</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Pamela H. Patsley</w:t>
            </w:r>
          </w:p>
        </w:tc>
        <w:tc>
          <w:tcPr>
            <w:tcW w:w="3420" w:type="dxa"/>
            <w:vAlign w:val="bottom"/>
          </w:tcPr>
          <w:p>
            <w:pPr>
              <w:jc w:val="right"/>
              <w:ind w:right="413"/>
              <w:spacing w:after="0"/>
              <w:rPr>
                <w:sz w:val="20"/>
                <w:szCs w:val="20"/>
                <w:color w:val="auto"/>
              </w:rPr>
            </w:pPr>
            <w:r>
              <w:rPr>
                <w:rFonts w:ascii="Arial" w:cs="Arial" w:eastAsia="Arial" w:hAnsi="Arial"/>
                <w:sz w:val="18"/>
                <w:szCs w:val="18"/>
                <w:color w:val="auto"/>
              </w:rPr>
              <w:t>49,167</w:t>
            </w:r>
          </w:p>
        </w:tc>
        <w:tc>
          <w:tcPr>
            <w:tcW w:w="1660" w:type="dxa"/>
            <w:vAlign w:val="bottom"/>
          </w:tcPr>
          <w:p>
            <w:pPr>
              <w:jc w:val="right"/>
              <w:ind w:right="253"/>
              <w:spacing w:after="0"/>
              <w:rPr>
                <w:sz w:val="20"/>
                <w:szCs w:val="20"/>
                <w:color w:val="auto"/>
              </w:rPr>
            </w:pPr>
            <w:r>
              <w:rPr>
                <w:rFonts w:ascii="Arial" w:cs="Arial" w:eastAsia="Arial" w:hAnsi="Arial"/>
                <w:sz w:val="18"/>
                <w:szCs w:val="18"/>
                <w:color w:val="auto"/>
              </w:rPr>
              <w:t>5,220</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54,192</w:t>
            </w:r>
          </w:p>
        </w:tc>
      </w:tr>
      <w:tr>
        <w:trPr>
          <w:trHeight w:val="27"/>
        </w:trPr>
        <w:tc>
          <w:tcPr>
            <w:tcW w:w="3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Robert E. Sanchez</w:t>
            </w:r>
          </w:p>
        </w:tc>
        <w:tc>
          <w:tcPr>
            <w:tcW w:w="3420" w:type="dxa"/>
            <w:vAlign w:val="bottom"/>
            <w:tcBorders>
              <w:bottom w:val="single" w:sz="8" w:color="DBDBDB"/>
            </w:tcBorders>
            <w:shd w:val="clear" w:color="auto" w:fill="DBDBDB"/>
          </w:tcPr>
          <w:p>
            <w:pPr>
              <w:jc w:val="right"/>
              <w:ind w:right="413"/>
              <w:spacing w:after="0"/>
              <w:rPr>
                <w:sz w:val="20"/>
                <w:szCs w:val="20"/>
                <w:color w:val="auto"/>
              </w:rPr>
            </w:pPr>
            <w:r>
              <w:rPr>
                <w:rFonts w:ascii="Arial" w:cs="Arial" w:eastAsia="Arial" w:hAnsi="Arial"/>
                <w:sz w:val="18"/>
                <w:szCs w:val="18"/>
                <w:color w:val="auto"/>
              </w:rPr>
              <w:t>49,167</w:t>
            </w:r>
          </w:p>
        </w:tc>
        <w:tc>
          <w:tcPr>
            <w:tcW w:w="1660" w:type="dxa"/>
            <w:vAlign w:val="bottom"/>
            <w:tcBorders>
              <w:bottom w:val="single" w:sz="8" w:color="DBDBDB"/>
            </w:tcBorders>
            <w:shd w:val="clear" w:color="auto" w:fill="DBDBDB"/>
          </w:tcPr>
          <w:p>
            <w:pPr>
              <w:jc w:val="right"/>
              <w:ind w:right="253"/>
              <w:spacing w:after="0"/>
              <w:rPr>
                <w:sz w:val="20"/>
                <w:szCs w:val="20"/>
                <w:color w:val="auto"/>
              </w:rPr>
            </w:pPr>
            <w:r>
              <w:rPr>
                <w:rFonts w:ascii="Arial" w:cs="Arial" w:eastAsia="Arial" w:hAnsi="Arial"/>
                <w:sz w:val="18"/>
                <w:szCs w:val="18"/>
                <w:color w:val="auto"/>
              </w:rPr>
              <w:t>8,223</w:t>
            </w:r>
          </w:p>
        </w:tc>
        <w:tc>
          <w:tcPr>
            <w:tcW w:w="1560" w:type="dxa"/>
            <w:vAlign w:val="bottom"/>
            <w:tcBorders>
              <w:bottom w:val="single" w:sz="8" w:color="DBDBDB"/>
            </w:tcBorders>
            <w:shd w:val="clear" w:color="auto" w:fill="DBDBDB"/>
          </w:tcPr>
          <w:p>
            <w:pPr>
              <w:jc w:val="right"/>
              <w:ind w:right="201"/>
              <w:spacing w:after="0"/>
              <w:rPr>
                <w:sz w:val="20"/>
                <w:szCs w:val="20"/>
                <w:color w:val="auto"/>
              </w:rPr>
            </w:pPr>
            <w:r>
              <w:rPr>
                <w:rFonts w:ascii="Arial" w:cs="Arial" w:eastAsia="Arial" w:hAnsi="Arial"/>
                <w:sz w:val="18"/>
                <w:szCs w:val="18"/>
                <w:color w:val="auto"/>
              </w:rPr>
              <w:t>10,315</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3420" w:type="dxa"/>
            <w:vAlign w:val="bottom"/>
          </w:tcPr>
          <w:p>
            <w:pPr>
              <w:jc w:val="right"/>
              <w:ind w:right="413"/>
              <w:spacing w:after="0"/>
              <w:rPr>
                <w:sz w:val="20"/>
                <w:szCs w:val="20"/>
                <w:color w:val="auto"/>
              </w:rPr>
            </w:pPr>
            <w:r>
              <w:rPr>
                <w:rFonts w:ascii="Arial" w:cs="Arial" w:eastAsia="Arial" w:hAnsi="Arial"/>
                <w:sz w:val="18"/>
                <w:szCs w:val="18"/>
                <w:color w:val="auto"/>
              </w:rPr>
              <w:t>1,986,019</w:t>
            </w:r>
          </w:p>
        </w:tc>
        <w:tc>
          <w:tcPr>
            <w:tcW w:w="1660" w:type="dxa"/>
            <w:vAlign w:val="bottom"/>
          </w:tcPr>
          <w:p>
            <w:pPr>
              <w:jc w:val="right"/>
              <w:ind w:right="253"/>
              <w:spacing w:after="0"/>
              <w:rPr>
                <w:sz w:val="20"/>
                <w:szCs w:val="20"/>
                <w:color w:val="auto"/>
              </w:rPr>
            </w:pPr>
            <w:r>
              <w:rPr>
                <w:rFonts w:ascii="Arial" w:cs="Arial" w:eastAsia="Arial" w:hAnsi="Arial"/>
                <w:sz w:val="18"/>
                <w:szCs w:val="18"/>
                <w:color w:val="auto"/>
              </w:rPr>
              <w:t>324,938</w:t>
            </w:r>
          </w:p>
        </w:tc>
        <w:tc>
          <w:tcPr>
            <w:tcW w:w="1560" w:type="dxa"/>
            <w:vAlign w:val="bottom"/>
          </w:tcPr>
          <w:p>
            <w:pPr>
              <w:jc w:val="right"/>
              <w:ind w:right="241"/>
              <w:spacing w:after="0"/>
              <w:rPr>
                <w:sz w:val="20"/>
                <w:szCs w:val="20"/>
                <w:color w:val="auto"/>
              </w:rPr>
            </w:pPr>
            <w:r>
              <w:rPr>
                <w:rFonts w:ascii="Arial" w:cs="Arial" w:eastAsia="Arial" w:hAnsi="Arial"/>
                <w:sz w:val="14"/>
                <w:szCs w:val="14"/>
                <w:color w:val="auto"/>
              </w:rPr>
              <w:t>—</w:t>
            </w:r>
          </w:p>
        </w:tc>
      </w:tr>
    </w:tbl>
    <w:p>
      <w:pPr>
        <w:spacing w:after="0" w:line="323" w:lineRule="exact"/>
        <w:rPr>
          <w:sz w:val="20"/>
          <w:szCs w:val="20"/>
          <w:color w:val="auto"/>
        </w:rPr>
      </w:pPr>
    </w:p>
    <w:p>
      <w:pPr>
        <w:ind w:left="980" w:right="20" w:hanging="486"/>
        <w:spacing w:after="0" w:line="256" w:lineRule="auto"/>
        <w:tabs>
          <w:tab w:leader="none" w:pos="97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ectPr>
          <w:pgSz w:w="11900" w:h="16838" w:orient="portrait"/>
          <w:cols w:equalWidth="0" w:num="1">
            <w:col w:w="11220"/>
          </w:cols>
          <w:pgMar w:left="320" w:top="9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55</w:t>
      </w:r>
    </w:p>
    <w:p>
      <w:pPr>
        <w:sectPr>
          <w:pgSz w:w="11900" w:h="16838" w:orient="portrait"/>
          <w:cols w:equalWidth="0" w:num="1">
            <w:col w:w="11220"/>
          </w:cols>
          <w:pgMar w:left="320" w:top="976" w:right="359" w:bottom="1440" w:gutter="0" w:footer="0" w:header="0"/>
          <w:type w:val="continuous"/>
        </w:sectPr>
      </w:pPr>
    </w:p>
    <w:bookmarkStart w:id="56" w:name="page57"/>
    <w:bookmarkEnd w:id="56"/>
    <w:p>
      <w:pPr>
        <w:ind w:left="980" w:hanging="486"/>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1,200 shares held in trusts for which Mr. Blinn shares voting and investment power.</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285 shares held in a trust for which Mr. Hsu shares voting and investment power.</w:t>
      </w:r>
    </w:p>
    <w:p>
      <w:pPr>
        <w:spacing w:after="0" w:line="117" w:lineRule="exact"/>
        <w:rPr>
          <w:rFonts w:ascii="Arial" w:cs="Arial" w:eastAsia="Arial" w:hAnsi="Arial"/>
          <w:sz w:val="18"/>
          <w:szCs w:val="18"/>
          <w:color w:val="auto"/>
        </w:rPr>
      </w:pPr>
    </w:p>
    <w:p>
      <w:pPr>
        <w:ind w:left="500" w:right="80" w:hanging="492"/>
        <w:spacing w:after="0" w:line="256" w:lineRule="auto"/>
        <w:tabs>
          <w:tab w:leader="none" w:pos="4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12,981 shares credited to Mr. Templeton’s 401(k) and profit sharing accounts. Also includes 48,285 shares held in trusts and 627,612 shares held by the Richard and Mary Templeton Foundation, a charitable foundation, for each of which Mr. Templeton shares voting and investment power. Mr. Templeton has no pecuniary interest in the Foundation’s shares.</w:t>
      </w:r>
    </w:p>
    <w:p>
      <w:pPr>
        <w:spacing w:after="0" w:line="93" w:lineRule="exact"/>
        <w:rPr>
          <w:rFonts w:ascii="Arial" w:cs="Arial" w:eastAsia="Arial" w:hAnsi="Arial"/>
          <w:sz w:val="18"/>
          <w:szCs w:val="18"/>
          <w:color w:val="auto"/>
        </w:rPr>
      </w:pPr>
    </w:p>
    <w:p>
      <w:pPr>
        <w:ind w:left="420" w:hanging="412"/>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15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3660" w:type="dxa"/>
            <w:vAlign w:val="bottom"/>
          </w:tcPr>
          <w:p>
            <w:pPr>
              <w:jc w:val="right"/>
              <w:ind w:right="317"/>
              <w:spacing w:after="0"/>
              <w:rPr>
                <w:sz w:val="20"/>
                <w:szCs w:val="20"/>
                <w:color w:val="auto"/>
              </w:rPr>
            </w:pPr>
            <w:r>
              <w:rPr>
                <w:rFonts w:ascii="Arial" w:cs="Arial" w:eastAsia="Arial" w:hAnsi="Arial"/>
                <w:sz w:val="14"/>
                <w:szCs w:val="14"/>
                <w:b w:val="1"/>
                <w:bCs w:val="1"/>
                <w:color w:val="auto"/>
              </w:rPr>
              <w:t>Shares Obtainable</w:t>
            </w:r>
          </w:p>
        </w:tc>
        <w:tc>
          <w:tcPr>
            <w:tcW w:w="1540" w:type="dxa"/>
            <w:vAlign w:val="bottom"/>
          </w:tcPr>
          <w:p>
            <w:pPr>
              <w:jc w:val="center"/>
              <w:ind w:right="37"/>
              <w:spacing w:after="0"/>
              <w:rPr>
                <w:sz w:val="20"/>
                <w:szCs w:val="20"/>
                <w:color w:val="auto"/>
              </w:rPr>
            </w:pPr>
            <w:r>
              <w:rPr>
                <w:rFonts w:ascii="Arial" w:cs="Arial" w:eastAsia="Arial" w:hAnsi="Arial"/>
                <w:sz w:val="14"/>
                <w:szCs w:val="14"/>
                <w:b w:val="1"/>
                <w:bCs w:val="1"/>
                <w:color w:val="auto"/>
              </w:rPr>
              <w:t>Shares Credited</w:t>
            </w:r>
          </w:p>
        </w:tc>
        <w:tc>
          <w:tcPr>
            <w:tcW w:w="1580" w:type="dxa"/>
            <w:vAlign w:val="bottom"/>
          </w:tcPr>
          <w:p>
            <w:pPr>
              <w:spacing w:after="0"/>
              <w:rPr>
                <w:sz w:val="14"/>
                <w:szCs w:val="14"/>
                <w:color w:val="auto"/>
              </w:rPr>
            </w:pPr>
          </w:p>
        </w:tc>
      </w:tr>
      <w:tr>
        <w:trPr>
          <w:trHeight w:val="19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36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within 60 Days</w:t>
            </w:r>
          </w:p>
        </w:tc>
        <w:tc>
          <w:tcPr>
            <w:tcW w:w="1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to 401(k) Account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RSUs (in Shares)</w:t>
            </w:r>
          </w:p>
        </w:tc>
      </w:tr>
      <w:tr>
        <w:trPr>
          <w:trHeight w:val="250"/>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3660" w:type="dxa"/>
            <w:vAlign w:val="bottom"/>
            <w:tcBorders>
              <w:bottom w:val="single" w:sz="8" w:color="DBDBDB"/>
            </w:tcBorders>
            <w:shd w:val="clear" w:color="auto" w:fill="DBDBDB"/>
          </w:tcPr>
          <w:p>
            <w:pPr>
              <w:jc w:val="right"/>
              <w:ind w:right="57"/>
              <w:spacing w:after="0"/>
              <w:rPr>
                <w:sz w:val="20"/>
                <w:szCs w:val="20"/>
                <w:color w:val="auto"/>
              </w:rPr>
            </w:pPr>
            <w:r>
              <w:rPr>
                <w:rFonts w:ascii="Arial" w:cs="Arial" w:eastAsia="Arial" w:hAnsi="Arial"/>
                <w:sz w:val="18"/>
                <w:szCs w:val="18"/>
                <w:color w:val="auto"/>
              </w:rPr>
              <w:t>72,353</w:t>
            </w: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47,655</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Hagop H. Kozanian</w:t>
            </w:r>
          </w:p>
        </w:tc>
        <w:tc>
          <w:tcPr>
            <w:tcW w:w="3660" w:type="dxa"/>
            <w:vAlign w:val="bottom"/>
          </w:tcPr>
          <w:p>
            <w:pPr>
              <w:jc w:val="right"/>
              <w:ind w:right="57"/>
              <w:spacing w:after="0"/>
              <w:rPr>
                <w:sz w:val="20"/>
                <w:szCs w:val="20"/>
                <w:color w:val="auto"/>
              </w:rPr>
            </w:pPr>
            <w:r>
              <w:rPr>
                <w:rFonts w:ascii="Arial" w:cs="Arial" w:eastAsia="Arial" w:hAnsi="Arial"/>
                <w:sz w:val="18"/>
                <w:szCs w:val="18"/>
                <w:color w:val="auto"/>
              </w:rPr>
              <w:t>43,054</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46,575</w:t>
            </w:r>
          </w:p>
        </w:tc>
      </w:tr>
      <w:tr>
        <w:trPr>
          <w:trHeight w:val="27"/>
        </w:trPr>
        <w:tc>
          <w:tcPr>
            <w:tcW w:w="35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Kyle M. Flessner</w:t>
            </w:r>
          </w:p>
        </w:tc>
        <w:tc>
          <w:tcPr>
            <w:tcW w:w="3660" w:type="dxa"/>
            <w:vAlign w:val="bottom"/>
            <w:shd w:val="clear" w:color="auto" w:fill="DBDBDB"/>
          </w:tcPr>
          <w:p>
            <w:pPr>
              <w:jc w:val="right"/>
              <w:ind w:right="57"/>
              <w:spacing w:after="0"/>
              <w:rPr>
                <w:sz w:val="20"/>
                <w:szCs w:val="20"/>
                <w:color w:val="auto"/>
              </w:rPr>
            </w:pPr>
            <w:r>
              <w:rPr>
                <w:rFonts w:ascii="Arial" w:cs="Arial" w:eastAsia="Arial" w:hAnsi="Arial"/>
                <w:sz w:val="18"/>
                <w:szCs w:val="18"/>
                <w:color w:val="auto"/>
              </w:rPr>
              <w:t>140,349</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47,874</w:t>
            </w:r>
          </w:p>
        </w:tc>
      </w:tr>
      <w:tr>
        <w:trPr>
          <w:trHeight w:val="27"/>
        </w:trPr>
        <w:tc>
          <w:tcPr>
            <w:tcW w:w="3580" w:type="dxa"/>
            <w:vAlign w:val="bottom"/>
            <w:shd w:val="clear" w:color="auto" w:fill="DBDBDB"/>
          </w:tcPr>
          <w:p>
            <w:pPr>
              <w:spacing w:after="0"/>
              <w:rPr>
                <w:sz w:val="2"/>
                <w:szCs w:val="2"/>
                <w:color w:val="auto"/>
              </w:rPr>
            </w:pPr>
          </w:p>
        </w:tc>
        <w:tc>
          <w:tcPr>
            <w:tcW w:w="366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r>
    </w:tbl>
    <w:p>
      <w:pPr>
        <w:spacing w:after="0" w:line="337"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3,189,865 shares obtainable within 60 days;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13,601 shares credited to 401(k) accounts;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786,450 shares subject to RSU awards; for the terms of these RSUs, see pages 20 and 40-41; and</w:t>
      </w:r>
    </w:p>
    <w:p>
      <w:pPr>
        <w:spacing w:after="0" w:line="117" w:lineRule="exact"/>
        <w:rPr>
          <w:rFonts w:ascii="Arial" w:cs="Arial" w:eastAsia="Arial" w:hAnsi="Arial"/>
          <w:sz w:val="18"/>
          <w:szCs w:val="18"/>
          <w:color w:val="auto"/>
        </w:rPr>
      </w:pPr>
    </w:p>
    <w:p>
      <w:pPr>
        <w:ind w:left="980" w:right="260" w:hanging="486"/>
        <w:spacing w:after="0" w:line="261" w:lineRule="auto"/>
        <w:tabs>
          <w:tab w:leader="none" w:pos="970" w:val="left"/>
        </w:tabs>
        <w:numPr>
          <w:ilvl w:val="1"/>
          <w:numId w:val="88"/>
        </w:numPr>
        <w:rPr>
          <w:rFonts w:ascii="Arial" w:cs="Arial" w:eastAsia="Arial" w:hAnsi="Arial"/>
          <w:sz w:val="18"/>
          <w:szCs w:val="18"/>
          <w:color w:val="auto"/>
        </w:rPr>
      </w:pPr>
      <w:r>
        <w:rPr>
          <w:rFonts w:ascii="Arial" w:cs="Arial" w:eastAsia="Arial" w:hAnsi="Arial"/>
          <w:sz w:val="18"/>
          <w:szCs w:val="18"/>
          <w:color w:val="auto"/>
        </w:rPr>
        <w:t>90,618 shares credited to certain non-employee directors’ deferred compensation accounts; shares in deferred compensation accounts are issued following a director’s termination of service.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spacing w:after="0" w:line="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202" w:lineRule="exact"/>
        <w:rPr>
          <w:sz w:val="20"/>
          <w:szCs w:val="20"/>
          <w:color w:val="auto"/>
        </w:rPr>
      </w:pPr>
    </w:p>
    <w:p>
      <w:pPr>
        <w:ind w:left="840" w:hanging="346"/>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63" w:lineRule="exact"/>
        <w:rPr>
          <w:rFonts w:ascii="Arial" w:cs="Arial" w:eastAsia="Arial" w:hAnsi="Arial"/>
          <w:sz w:val="18"/>
          <w:szCs w:val="18"/>
          <w:color w:val="auto"/>
        </w:rPr>
      </w:pPr>
    </w:p>
    <w:p>
      <w:pPr>
        <w:ind w:left="840" w:hanging="346"/>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63" w:lineRule="exact"/>
        <w:rPr>
          <w:rFonts w:ascii="Arial" w:cs="Arial" w:eastAsia="Arial" w:hAnsi="Arial"/>
          <w:sz w:val="18"/>
          <w:szCs w:val="18"/>
          <w:color w:val="auto"/>
        </w:rPr>
      </w:pPr>
    </w:p>
    <w:p>
      <w:pPr>
        <w:ind w:left="1460" w:hanging="480"/>
        <w:spacing w:after="0"/>
        <w:tabs>
          <w:tab w:leader="none" w:pos="1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63" w:lineRule="exact"/>
        <w:rPr>
          <w:rFonts w:ascii="Arial" w:cs="Arial" w:eastAsia="Arial" w:hAnsi="Arial"/>
          <w:sz w:val="18"/>
          <w:szCs w:val="18"/>
          <w:color w:val="auto"/>
        </w:rPr>
      </w:pPr>
    </w:p>
    <w:p>
      <w:pPr>
        <w:ind w:left="1460" w:right="80" w:hanging="480"/>
        <w:spacing w:after="0" w:line="254" w:lineRule="auto"/>
        <w:tabs>
          <w:tab w:leader="none" w:pos="14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41" w:lineRule="exact"/>
        <w:rPr>
          <w:rFonts w:ascii="Arial" w:cs="Arial" w:eastAsia="Arial" w:hAnsi="Arial"/>
          <w:sz w:val="18"/>
          <w:szCs w:val="18"/>
          <w:color w:val="auto"/>
        </w:rPr>
      </w:pPr>
    </w:p>
    <w:p>
      <w:pPr>
        <w:ind w:left="1460" w:right="240" w:hanging="480"/>
        <w:spacing w:after="0" w:line="261" w:lineRule="auto"/>
        <w:tabs>
          <w:tab w:leader="none" w:pos="145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or greater ownership interest, by which someone listed in (a) is employed, or of which someone listed in (a) is a director, principal or partner.</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20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2022 PROXY STATEMENT • PAGE 56</w:t>
      </w:r>
    </w:p>
    <w:p>
      <w:pPr>
        <w:sectPr>
          <w:pgSz w:w="11900" w:h="16838" w:orient="portrait"/>
          <w:cols w:equalWidth="0" w:num="1">
            <w:col w:w="11200"/>
          </w:cols>
          <w:pgMar w:left="320" w:top="895"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required approvals are as follows:</w:t>
      </w:r>
    </w:p>
    <w:p>
      <w:pPr>
        <w:spacing w:after="0" w:line="267" w:lineRule="exact"/>
        <w:rPr>
          <w:sz w:val="20"/>
          <w:szCs w:val="20"/>
          <w:color w:val="auto"/>
        </w:rPr>
      </w:pPr>
    </w:p>
    <w:tbl>
      <w:tblPr>
        <w:tblLayout w:type="fixed"/>
        <w:tblInd w:w="900" w:type="dxa"/>
        <w:tblCellMar>
          <w:top w:w="0" w:type="dxa"/>
          <w:left w:w="0" w:type="dxa"/>
          <w:bottom w:w="0" w:type="dxa"/>
          <w:right w:w="0" w:type="dxa"/>
        </w:tblCellMar>
      </w:tblPr>
      <w:tr>
        <w:trPr>
          <w:trHeight w:val="19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Arrangement Involving:</w:t>
            </w: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Approval Required by:</w:t>
            </w:r>
          </w:p>
        </w:tc>
      </w:tr>
      <w:tr>
        <w:trPr>
          <w:trHeight w:val="201"/>
        </w:trPr>
        <w:tc>
          <w:tcPr>
            <w:tcW w:w="6400" w:type="dxa"/>
            <w:vAlign w:val="bottom"/>
            <w:shd w:val="clear" w:color="auto" w:fill="DBDBDB"/>
          </w:tcPr>
          <w:p>
            <w:pPr>
              <w:ind w:left="20"/>
              <w:spacing w:after="0" w:line="201" w:lineRule="exact"/>
              <w:rPr>
                <w:sz w:val="20"/>
                <w:szCs w:val="20"/>
                <w:color w:val="auto"/>
              </w:rPr>
            </w:pPr>
            <w:r>
              <w:rPr>
                <w:rFonts w:ascii="Arial" w:cs="Arial" w:eastAsia="Arial" w:hAnsi="Arial"/>
                <w:sz w:val="18"/>
                <w:szCs w:val="18"/>
                <w:color w:val="auto"/>
              </w:rPr>
              <w:t>Executive officer who is also a member of the TI board, an Immediate Family</w:t>
            </w:r>
          </w:p>
        </w:tc>
        <w:tc>
          <w:tcPr>
            <w:tcW w:w="3060" w:type="dxa"/>
            <w:vAlign w:val="bottom"/>
            <w:shd w:val="clear" w:color="auto" w:fill="DBDBDB"/>
          </w:tcPr>
          <w:p>
            <w:pPr>
              <w:ind w:left="40"/>
              <w:spacing w:after="0" w:line="201"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Member of such person, or an entity in which any of the foregoing has a 5% or</w:t>
            </w:r>
          </w:p>
        </w:tc>
        <w:tc>
          <w:tcPr>
            <w:tcW w:w="3060" w:type="dxa"/>
            <w:vAlign w:val="bottom"/>
            <w:shd w:val="clear" w:color="auto" w:fill="DBDBDB"/>
          </w:tcPr>
          <w:p>
            <w:pPr>
              <w:spacing w:after="0"/>
              <w:rPr>
                <w:sz w:val="16"/>
                <w:szCs w:val="16"/>
                <w:color w:val="auto"/>
              </w:rPr>
            </w:pPr>
          </w:p>
        </w:tc>
      </w:tr>
      <w:tr>
        <w:trPr>
          <w:trHeight w:val="230"/>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greater ownership interest</w:t>
            </w:r>
          </w:p>
        </w:tc>
        <w:tc>
          <w:tcPr>
            <w:tcW w:w="3060" w:type="dxa"/>
            <w:vAlign w:val="bottom"/>
            <w:shd w:val="clear" w:color="auto" w:fill="DBDBDB"/>
          </w:tcPr>
          <w:p>
            <w:pPr>
              <w:spacing w:after="0"/>
              <w:rPr>
                <w:sz w:val="20"/>
                <w:szCs w:val="20"/>
                <w:color w:val="auto"/>
              </w:rPr>
            </w:pPr>
          </w:p>
        </w:tc>
      </w:tr>
      <w:tr>
        <w:trPr>
          <w:trHeight w:val="202"/>
        </w:trPr>
        <w:tc>
          <w:tcPr>
            <w:tcW w:w="6400" w:type="dxa"/>
            <w:vAlign w:val="bottom"/>
          </w:tcPr>
          <w:p>
            <w:pPr>
              <w:ind w:left="20"/>
              <w:spacing w:after="0" w:line="201" w:lineRule="exact"/>
              <w:rPr>
                <w:sz w:val="20"/>
                <w:szCs w:val="20"/>
                <w:color w:val="auto"/>
              </w:rPr>
            </w:pPr>
            <w:r>
              <w:rPr>
                <w:rFonts w:ascii="Arial" w:cs="Arial" w:eastAsia="Arial" w:hAnsi="Arial"/>
                <w:sz w:val="18"/>
                <w:szCs w:val="18"/>
                <w:color w:val="auto"/>
              </w:rPr>
              <w:t>Chair of the GSR Committee, chief compliance officer, any of his or her</w:t>
            </w:r>
          </w:p>
        </w:tc>
        <w:tc>
          <w:tcPr>
            <w:tcW w:w="3060" w:type="dxa"/>
            <w:vAlign w:val="bottom"/>
          </w:tcPr>
          <w:p>
            <w:pPr>
              <w:ind w:left="40"/>
              <w:spacing w:after="0" w:line="201" w:lineRule="exact"/>
              <w:rPr>
                <w:sz w:val="20"/>
                <w:szCs w:val="20"/>
                <w:color w:val="auto"/>
              </w:rPr>
            </w:pPr>
            <w:r>
              <w:rPr>
                <w:rFonts w:ascii="Arial" w:cs="Arial" w:eastAsia="Arial" w:hAnsi="Arial"/>
                <w:sz w:val="18"/>
                <w:szCs w:val="18"/>
                <w:color w:val="auto"/>
              </w:rPr>
              <w:t>GSR Committee</w:t>
            </w: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8"/>
                <w:szCs w:val="18"/>
                <w:color w:val="auto"/>
              </w:rPr>
              <w:t>Immediate Family Members, or an entity in which any of the foregoing has a 5%</w:t>
            </w:r>
          </w:p>
        </w:tc>
        <w:tc>
          <w:tcPr>
            <w:tcW w:w="3060" w:type="dxa"/>
            <w:vAlign w:val="bottom"/>
          </w:tcPr>
          <w:p>
            <w:pPr>
              <w:spacing w:after="0"/>
              <w:rPr>
                <w:sz w:val="16"/>
                <w:szCs w:val="16"/>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8"/>
                <w:szCs w:val="18"/>
                <w:color w:val="auto"/>
              </w:rPr>
              <w:t>or greater ownership interest</w:t>
            </w:r>
          </w:p>
        </w:tc>
        <w:tc>
          <w:tcPr>
            <w:tcW w:w="3060" w:type="dxa"/>
            <w:vAlign w:val="bottom"/>
          </w:tcPr>
          <w:p>
            <w:pPr>
              <w:spacing w:after="0"/>
              <w:rPr>
                <w:sz w:val="19"/>
                <w:szCs w:val="19"/>
                <w:color w:val="auto"/>
              </w:rPr>
            </w:pPr>
          </w:p>
        </w:tc>
      </w:tr>
      <w:tr>
        <w:trPr>
          <w:trHeight w:val="24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Any other director or executive officer, an Immediate Family Member of such</w:t>
            </w:r>
          </w:p>
        </w:tc>
        <w:tc>
          <w:tcPr>
            <w:tcW w:w="3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Chief compliance officer</w:t>
            </w:r>
          </w:p>
        </w:tc>
      </w:tr>
      <w:tr>
        <w:trPr>
          <w:trHeight w:val="189"/>
        </w:trPr>
        <w:tc>
          <w:tcPr>
            <w:tcW w:w="9460" w:type="dxa"/>
            <w:vAlign w:val="bottom"/>
            <w:gridSpan w:val="2"/>
            <w:shd w:val="clear" w:color="auto" w:fill="DBDBDB"/>
          </w:tcPr>
          <w:p>
            <w:pPr>
              <w:ind w:left="20"/>
              <w:spacing w:after="0" w:line="189" w:lineRule="exact"/>
              <w:rPr>
                <w:sz w:val="20"/>
                <w:szCs w:val="20"/>
                <w:color w:val="auto"/>
              </w:rPr>
            </w:pPr>
            <w:r>
              <w:rPr>
                <w:rFonts w:ascii="Arial" w:cs="Arial" w:eastAsia="Arial" w:hAnsi="Arial"/>
                <w:sz w:val="18"/>
                <w:szCs w:val="18"/>
                <w:color w:val="auto"/>
              </w:rPr>
              <w:t>person, or an entity in which any of the foregoing has a 5% or greater ownership in consultation with the</w:t>
            </w:r>
          </w:p>
        </w:tc>
      </w:tr>
      <w:tr>
        <w:trPr>
          <w:trHeight w:val="251"/>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w:t>
            </w:r>
          </w:p>
        </w:tc>
        <w:tc>
          <w:tcPr>
            <w:tcW w:w="30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Chair of the GSR Committee</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 5% holder</w:t>
            </w:r>
          </w:p>
        </w:tc>
        <w:tc>
          <w:tcPr>
            <w:tcW w:w="3060" w:type="dxa"/>
            <w:vAlign w:val="bottom"/>
          </w:tcPr>
          <w:p>
            <w:pPr>
              <w:ind w:left="40"/>
              <w:spacing w:after="0"/>
              <w:rPr>
                <w:sz w:val="20"/>
                <w:szCs w:val="20"/>
                <w:color w:val="auto"/>
              </w:rPr>
            </w:pPr>
            <w:r>
              <w:rPr>
                <w:rFonts w:ascii="Arial" w:cs="Arial" w:eastAsia="Arial" w:hAnsi="Arial"/>
                <w:sz w:val="18"/>
                <w:szCs w:val="18"/>
                <w:color w:val="auto"/>
              </w:rPr>
              <w:t>GSR Committee</w:t>
            </w:r>
          </w:p>
        </w:tc>
      </w:tr>
    </w:tbl>
    <w:p>
      <w:pPr>
        <w:spacing w:after="0" w:line="33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20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98" w:lineRule="exact"/>
        <w:rPr>
          <w:sz w:val="20"/>
          <w:szCs w:val="20"/>
          <w:color w:val="auto"/>
        </w:rPr>
      </w:pPr>
    </w:p>
    <w:p>
      <w:pPr>
        <w:ind w:left="660" w:right="4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holder is their position as such;</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35"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spacing w:after="0" w:line="63" w:lineRule="exact"/>
        <w:rPr>
          <w:rFonts w:ascii="Arial" w:cs="Arial" w:eastAsia="Arial" w:hAnsi="Arial"/>
          <w:sz w:val="18"/>
          <w:szCs w:val="18"/>
          <w:color w:val="auto"/>
        </w:rPr>
      </w:pPr>
    </w:p>
    <w:p>
      <w:pPr>
        <w:ind w:left="980" w:right="180" w:hanging="324"/>
        <w:spacing w:after="0" w:line="261" w:lineRule="auto"/>
        <w:tabs>
          <w:tab w:leader="none" w:pos="976"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of the outstanding equity of such party;</w:t>
      </w:r>
    </w:p>
    <w:p>
      <w:pPr>
        <w:spacing w:after="0" w:line="35" w:lineRule="exact"/>
        <w:rPr>
          <w:rFonts w:ascii="Arial" w:cs="Arial" w:eastAsia="Arial" w:hAnsi="Arial"/>
          <w:sz w:val="18"/>
          <w:szCs w:val="18"/>
          <w:color w:val="auto"/>
        </w:rPr>
      </w:pPr>
    </w:p>
    <w:p>
      <w:pPr>
        <w:ind w:left="980" w:right="700" w:hanging="324"/>
        <w:spacing w:after="0" w:line="256" w:lineRule="auto"/>
        <w:tabs>
          <w:tab w:leader="none" w:pos="97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2022 PROXY STATEMENT • PAGE 57</w:t>
      </w:r>
    </w:p>
    <w:p>
      <w:pPr>
        <w:sectPr>
          <w:pgSz w:w="11900" w:h="16838" w:orient="portrait"/>
          <w:cols w:equalWidth="0" w:num="1">
            <w:col w:w="11240"/>
          </w:cols>
          <w:pgMar w:left="320" w:top="787" w:right="339" w:bottom="1440" w:gutter="0" w:footer="0" w:header="0"/>
        </w:sectPr>
      </w:pPr>
    </w:p>
    <w:bookmarkStart w:id="58" w:name="page59"/>
    <w:bookmarkEnd w:id="58"/>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their position as a director of another corporation or organization;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ownership of TI stock and all holders of that class of stock receive the same benefit on a pro-rata basis;</w:t>
      </w:r>
    </w:p>
    <w:p>
      <w:pPr>
        <w:spacing w:after="0" w:line="63" w:lineRule="exact"/>
        <w:rPr>
          <w:rFonts w:ascii="Arial" w:cs="Arial" w:eastAsia="Arial" w:hAnsi="Arial"/>
          <w:sz w:val="18"/>
          <w:szCs w:val="18"/>
          <w:color w:val="auto"/>
        </w:rPr>
      </w:pPr>
    </w:p>
    <w:p>
      <w:pPr>
        <w:ind w:left="660" w:right="320" w:hanging="328"/>
        <w:spacing w:after="0" w:line="265"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Transactions in the ordinary course of business where the only relationship of a TI director or executive officer, or their Immediate Family Member, is as an employee (other than an executive officer) and/or less than a 10% beneficial owner of the other entity if</w:t>
      </w:r>
    </w:p>
    <w:p>
      <w:pPr>
        <w:ind w:left="660" w:right="100"/>
        <w:spacing w:after="0" w:line="261" w:lineRule="auto"/>
        <w:rPr>
          <w:rFonts w:ascii="Arial" w:cs="Arial" w:eastAsia="Arial" w:hAnsi="Arial"/>
          <w:sz w:val="17"/>
          <w:szCs w:val="17"/>
          <w:color w:val="auto"/>
        </w:rPr>
      </w:pPr>
      <w:r>
        <w:rPr>
          <w:rFonts w:ascii="Arial" w:cs="Arial" w:eastAsia="Arial" w:hAnsi="Arial"/>
          <w:sz w:val="18"/>
          <w:szCs w:val="18"/>
          <w:color w:val="auto"/>
        </w:rPr>
        <w:t>(i) the TI director or executive officer is not involved in negotiating the terms of the transaction and (ii) amounts involved for the fiscal year do not exceed the greater of $200,000 or 2% of the entity’s consolidated gross revenues for that year;</w:t>
      </w:r>
    </w:p>
    <w:p>
      <w:pPr>
        <w:spacing w:after="0" w:line="35" w:lineRule="exact"/>
        <w:rPr>
          <w:rFonts w:ascii="Arial" w:cs="Arial" w:eastAsia="Arial" w:hAnsi="Arial"/>
          <w:sz w:val="17"/>
          <w:szCs w:val="17"/>
          <w:color w:val="auto"/>
        </w:rPr>
      </w:pPr>
    </w:p>
    <w:p>
      <w:pPr>
        <w:ind w:left="660" w:hanging="328"/>
        <w:spacing w:after="0" w:line="25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43"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2021, Messrs. Craighead and Blinn and Mses. Cox and Patsley served on the Compensation Committee. No committee member</w:t>
      </w:r>
    </w:p>
    <w:p>
      <w:pPr>
        <w:spacing w:after="0" w:line="9" w:lineRule="exact"/>
        <w:rPr>
          <w:sz w:val="20"/>
          <w:szCs w:val="20"/>
          <w:color w:val="auto"/>
        </w:rPr>
      </w:pPr>
    </w:p>
    <w:p>
      <w:pPr>
        <w:ind w:right="200" w:firstLine="8"/>
        <w:spacing w:after="0" w:line="254" w:lineRule="auto"/>
        <w:tabs>
          <w:tab w:leader="none" w:pos="2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solicitation</w:t>
      </w:r>
    </w:p>
    <w:p>
      <w:pPr>
        <w:spacing w:after="0" w:line="2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$12,500 plus out-of-pocket expenses.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proposals and nominations for 2023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51"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Other Proposals/Nominees to be</w:t>
            </w:r>
          </w:p>
        </w:tc>
      </w:tr>
      <w:tr>
        <w:trPr>
          <w:trHeight w:val="162"/>
        </w:trPr>
        <w:tc>
          <w:tcPr>
            <w:tcW w:w="218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Director Nominees for Inclusion</w:t>
            </w: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Presented at 2023 Annual Meeting</w:t>
            </w:r>
          </w:p>
        </w:tc>
      </w:tr>
      <w:tr>
        <w:trPr>
          <w:trHeight w:val="162"/>
        </w:trPr>
        <w:tc>
          <w:tcPr>
            <w:tcW w:w="2180" w:type="dxa"/>
            <w:vAlign w:val="bottom"/>
          </w:tcPr>
          <w:p>
            <w:pPr>
              <w:jc w:val="center"/>
              <w:ind w:right="348"/>
              <w:spacing w:after="0"/>
              <w:rPr>
                <w:sz w:val="20"/>
                <w:szCs w:val="20"/>
                <w:color w:val="auto"/>
              </w:rPr>
            </w:pPr>
            <w:r>
              <w:rPr>
                <w:rFonts w:ascii="Arial" w:cs="Arial" w:eastAsia="Arial" w:hAnsi="Arial"/>
                <w:sz w:val="14"/>
                <w:szCs w:val="14"/>
                <w:b w:val="1"/>
                <w:bCs w:val="1"/>
                <w:color w:val="auto"/>
              </w:rPr>
              <w:t>Proposals for Inclusion in</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in 2023 Proxy Materials</w:t>
            </w: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(and Not for Inclusion in</w:t>
            </w:r>
          </w:p>
        </w:tc>
      </w:tr>
      <w:tr>
        <w:trPr>
          <w:trHeight w:val="190"/>
        </w:trPr>
        <w:tc>
          <w:tcPr>
            <w:tcW w:w="2180" w:type="dxa"/>
            <w:vAlign w:val="bottom"/>
          </w:tcPr>
          <w:p>
            <w:pPr>
              <w:jc w:val="center"/>
              <w:ind w:right="348"/>
              <w:spacing w:after="0"/>
              <w:rPr>
                <w:sz w:val="20"/>
                <w:szCs w:val="20"/>
                <w:color w:val="auto"/>
              </w:rPr>
            </w:pPr>
            <w:r>
              <w:rPr>
                <w:rFonts w:ascii="Arial" w:cs="Arial" w:eastAsia="Arial" w:hAnsi="Arial"/>
                <w:sz w:val="14"/>
                <w:szCs w:val="14"/>
                <w:b w:val="1"/>
                <w:bCs w:val="1"/>
                <w:color w:val="auto"/>
              </w:rPr>
              <w:t>2023 Proxy Materials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(Proxy Access)</w:t>
            </w:r>
          </w:p>
        </w:tc>
        <w:tc>
          <w:tcPr>
            <w:tcW w:w="2740" w:type="dxa"/>
            <w:vAlign w:val="bottom"/>
          </w:tcPr>
          <w:p>
            <w:pPr>
              <w:jc w:val="center"/>
              <w:ind w:left="328"/>
              <w:spacing w:after="0"/>
              <w:rPr>
                <w:sz w:val="20"/>
                <w:szCs w:val="20"/>
                <w:color w:val="auto"/>
              </w:rPr>
            </w:pPr>
            <w:r>
              <w:rPr>
                <w:rFonts w:ascii="Arial" w:cs="Arial" w:eastAsia="Arial" w:hAnsi="Arial"/>
                <w:sz w:val="14"/>
                <w:szCs w:val="14"/>
                <w:b w:val="1"/>
                <w:bCs w:val="1"/>
                <w:color w:val="auto"/>
              </w:rPr>
              <w:t>Proxy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8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When proposal must</w:t>
            </w:r>
          </w:p>
        </w:tc>
        <w:tc>
          <w:tcPr>
            <w:tcW w:w="2560" w:type="dxa"/>
            <w:vAlign w:val="bottom"/>
          </w:tcPr>
          <w:p>
            <w:pPr>
              <w:ind w:left="500"/>
              <w:spacing w:after="0"/>
              <w:rPr>
                <w:sz w:val="20"/>
                <w:szCs w:val="20"/>
                <w:color w:val="auto"/>
              </w:rPr>
            </w:pPr>
            <w:r>
              <w:rPr>
                <w:rFonts w:ascii="Arial" w:cs="Arial" w:eastAsia="Arial" w:hAnsi="Arial"/>
                <w:sz w:val="18"/>
                <w:szCs w:val="18"/>
                <w:color w:val="auto"/>
              </w:rPr>
              <w:t>On or before</w:t>
            </w:r>
          </w:p>
        </w:tc>
        <w:tc>
          <w:tcPr>
            <w:tcW w:w="3120" w:type="dxa"/>
            <w:vAlign w:val="bottom"/>
          </w:tcPr>
          <w:p>
            <w:pPr>
              <w:ind w:left="460"/>
              <w:spacing w:after="0"/>
              <w:rPr>
                <w:sz w:val="20"/>
                <w:szCs w:val="20"/>
                <w:color w:val="auto"/>
              </w:rPr>
            </w:pPr>
            <w:r>
              <w:rPr>
                <w:rFonts w:ascii="Arial" w:cs="Arial" w:eastAsia="Arial" w:hAnsi="Arial"/>
                <w:sz w:val="18"/>
                <w:szCs w:val="18"/>
                <w:color w:val="auto"/>
                <w:w w:val="98"/>
              </w:rPr>
              <w:t>No earlier than October 16, 2022,</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be received by</w:t>
            </w:r>
          </w:p>
        </w:tc>
        <w:tc>
          <w:tcPr>
            <w:tcW w:w="2560" w:type="dxa"/>
            <w:vAlign w:val="bottom"/>
          </w:tcPr>
          <w:p>
            <w:pPr>
              <w:ind w:left="500"/>
              <w:spacing w:after="0"/>
              <w:rPr>
                <w:sz w:val="20"/>
                <w:szCs w:val="20"/>
                <w:color w:val="auto"/>
              </w:rPr>
            </w:pPr>
            <w:r>
              <w:rPr>
                <w:rFonts w:ascii="Arial" w:cs="Arial" w:eastAsia="Arial" w:hAnsi="Arial"/>
                <w:sz w:val="18"/>
                <w:szCs w:val="18"/>
                <w:color w:val="auto"/>
              </w:rPr>
              <w:t>November 15, 2022</w:t>
            </w:r>
          </w:p>
        </w:tc>
        <w:tc>
          <w:tcPr>
            <w:tcW w:w="3120" w:type="dxa"/>
            <w:vAlign w:val="bottom"/>
          </w:tcPr>
          <w:p>
            <w:pPr>
              <w:ind w:left="460"/>
              <w:spacing w:after="0"/>
              <w:rPr>
                <w:sz w:val="20"/>
                <w:szCs w:val="20"/>
                <w:color w:val="auto"/>
              </w:rPr>
            </w:pPr>
            <w:r>
              <w:rPr>
                <w:rFonts w:ascii="Arial" w:cs="Arial" w:eastAsia="Arial" w:hAnsi="Arial"/>
                <w:sz w:val="18"/>
                <w:szCs w:val="18"/>
                <w:color w:val="auto"/>
              </w:rPr>
              <w:t>and no later than November 15,</w:t>
            </w: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Texas Instruments</w:t>
            </w:r>
          </w:p>
        </w:tc>
        <w:tc>
          <w:tcPr>
            <w:tcW w:w="2560" w:type="dxa"/>
            <w:vAlign w:val="bottom"/>
          </w:tcPr>
          <w:p>
            <w:pPr>
              <w:spacing w:after="0"/>
              <w:rPr>
                <w:sz w:val="18"/>
                <w:szCs w:val="18"/>
                <w:color w:val="auto"/>
              </w:rPr>
            </w:pPr>
          </w:p>
        </w:tc>
        <w:tc>
          <w:tcPr>
            <w:tcW w:w="3120" w:type="dxa"/>
            <w:vAlign w:val="bottom"/>
          </w:tcPr>
          <w:p>
            <w:pPr>
              <w:ind w:left="460"/>
              <w:spacing w:after="0"/>
              <w:rPr>
                <w:sz w:val="20"/>
                <w:szCs w:val="20"/>
                <w:color w:val="auto"/>
              </w:rPr>
            </w:pPr>
            <w:r>
              <w:rPr>
                <w:rFonts w:ascii="Arial" w:cs="Arial" w:eastAsia="Arial" w:hAnsi="Arial"/>
                <w:sz w:val="18"/>
                <w:szCs w:val="18"/>
                <w:color w:val="auto"/>
              </w:rPr>
              <w:t>2022</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No earlier than December 29, 2022, and no later than January 28, 2023</w:t>
      </w:r>
    </w:p>
    <w:p>
      <w:pPr>
        <w:spacing w:after="0" w:line="374" w:lineRule="exact"/>
        <w:rPr>
          <w:sz w:val="20"/>
          <w:szCs w:val="20"/>
          <w:color w:val="auto"/>
        </w:rPr>
      </w:pPr>
    </w:p>
    <w:p>
      <w:pPr>
        <w:sectPr>
          <w:pgSz w:w="11900" w:h="16838" w:orient="portrait"/>
          <w:cols w:equalWidth="0" w:num="2">
            <w:col w:w="7860" w:space="340"/>
            <w:col w:w="3040"/>
          </w:cols>
          <w:pgMar w:left="320" w:top="841"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Proposals are to be sent to: Texas Instruments Incorporated, 12500 TI Boulevard, MS 8658, Dallas, TX 75243, Attn: Secretary.</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58</w:t>
      </w:r>
    </w:p>
    <w:p>
      <w:pPr>
        <w:sectPr>
          <w:pgSz w:w="11900" w:h="16838" w:orient="portrait"/>
          <w:cols w:equalWidth="0" w:num="1">
            <w:col w:w="11240"/>
          </w:cols>
          <w:pgMar w:left="320" w:top="841"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Benefit plan voting</w:t>
      </w:r>
    </w:p>
    <w:p>
      <w:pPr>
        <w:spacing w:after="0" w:line="24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25, 2022, in the manner described in the notice of annual meeting.</w:t>
      </w:r>
    </w:p>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25, 2022, will be voted in the same proportions as the shares in the plans for which voting instructions have been received by that date unless otherwise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16(a) of the Securities Exchange Act requires certain persons, including the company's directors and Section 16 officers, to file reports with the SEC regarding beneficial ownership of certain equity securities of the company. Due to an administrative error, there was one late filing for Ahmad Bahai with respect to a sale of shares. The company believes that all other reports during 2021 were timely filed by its directors and Section 16 officers.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Telephone and internet voting</w:t>
      </w:r>
    </w:p>
    <w:p>
      <w:pPr>
        <w:spacing w:after="0" w:line="24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20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Broadridge, Householding Department, 51 Mercedes Way, Edgewood, NY 11717.</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Electronic delivery of proxy materials and copies of our Form 10-K</w:t>
      </w: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may request electronic delivery by visiting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59</w:t>
      </w:r>
    </w:p>
    <w:p>
      <w:pPr>
        <w:sectPr>
          <w:pgSz w:w="11900" w:h="16838" w:orient="portrait"/>
          <w:cols w:equalWidth="0" w:num="1">
            <w:col w:w="11240"/>
          </w:cols>
          <w:pgMar w:left="320" w:top="976" w:right="339" w:bottom="1440" w:gutter="0" w:footer="0" w:header="0"/>
        </w:sectPr>
      </w:pPr>
    </w:p>
    <w:bookmarkStart w:id="60" w:name="page61"/>
    <w:bookmarkEnd w:id="60"/>
    <w:p>
      <w:pPr>
        <w:ind w:right="200"/>
        <w:spacing w:after="0" w:line="287"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28, 2022. This 2022 proxy statement and the company’s 2021 annual report are accessible at: www.proxyvote.com.</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company’s annual report on Form 10-K for the year ended December 31, 2021, which contains consolidated financial statements, accompanies this proxy statement. </w:t>
      </w:r>
      <w:r>
        <w:rPr>
          <w:rFonts w:ascii="Arial" w:cs="Arial" w:eastAsia="Arial" w:hAnsi="Arial"/>
          <w:sz w:val="18"/>
          <w:szCs w:val="18"/>
          <w:b w:val="1"/>
          <w:bCs w:val="1"/>
          <w:color w:val="auto"/>
        </w:rPr>
        <w:t>You may also obtain a copy of the company’s 2021 Form 10-K, including a list of exhibits and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exhibit specifically requested,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 The contents posted on our website are not incorporated by reference into this proxy statement.</w:t>
      </w:r>
    </w:p>
    <w:p>
      <w:pPr>
        <w:spacing w:after="0" w:line="2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23495</wp:posOffset>
            </wp:positionV>
            <wp:extent cx="2202815" cy="754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028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Cynthia Hoff Trochu</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Secretary and General Counsel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2021. The forward-looking statements included in this proxy statement are made only as of the date of this proxy statement,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242424"/>
        </w:rPr>
        <w:t>2022 PROXY STATEMENT • PAGE 60</w:t>
      </w:r>
    </w:p>
    <w:p>
      <w:pPr>
        <w:sectPr>
          <w:pgSz w:w="11900" w:h="16838" w:orient="portrait"/>
          <w:cols w:equalWidth="0" w:num="1">
            <w:col w:w="11220"/>
          </w:cols>
          <w:pgMar w:left="320" w:top="765" w:right="35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Directions and other annual meeting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Directions</w:t>
      </w:r>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From DFW airport</w:t>
      </w:r>
      <w:r>
        <w:rPr>
          <w:rFonts w:ascii="Arial" w:cs="Arial" w:eastAsia="Arial" w:hAnsi="Arial"/>
          <w:sz w:val="18"/>
          <w:szCs w:val="18"/>
          <w:color w:val="auto"/>
        </w:rPr>
        <w:t>: Take the North Airport exit to IH-635E. Take IH-635E to the Greenville Avenue exit. Turn right (South) on Greenville. Turn</w:t>
      </w:r>
      <w:r>
        <w:rPr>
          <w:rFonts w:ascii="Arial" w:cs="Arial" w:eastAsia="Arial" w:hAnsi="Arial"/>
          <w:sz w:val="18"/>
          <w:szCs w:val="18"/>
          <w:i w:val="1"/>
          <w:iCs w:val="1"/>
          <w:color w:val="auto"/>
        </w:rPr>
        <w:t xml:space="preserve"> </w:t>
      </w:r>
      <w:r>
        <w:rPr>
          <w:rFonts w:ascii="Arial" w:cs="Arial" w:eastAsia="Arial" w:hAnsi="Arial"/>
          <w:sz w:val="18"/>
          <w:szCs w:val="18"/>
          <w:color w:val="auto"/>
        </w:rPr>
        <w:t>right (West) on Forest Lane. Texas Instruments will be on your right at the second traffic light.</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From Love Field airport</w:t>
      </w:r>
      <w:r>
        <w:rPr>
          <w:rFonts w:ascii="Arial" w:cs="Arial" w:eastAsia="Arial" w:hAnsi="Arial"/>
          <w:sz w:val="18"/>
          <w:szCs w:val="18"/>
          <w:color w:val="auto"/>
        </w:rPr>
        <w:t>: Take Mockingbird Lane East to US-75N (Central Expressway). Travel North on 75N to the Forest Lane exit. Turn</w:t>
      </w:r>
      <w:r>
        <w:rPr>
          <w:rFonts w:ascii="Arial" w:cs="Arial" w:eastAsia="Arial" w:hAnsi="Arial"/>
          <w:sz w:val="18"/>
          <w:szCs w:val="18"/>
          <w:i w:val="1"/>
          <w:iCs w:val="1"/>
          <w:color w:val="auto"/>
        </w:rPr>
        <w:t xml:space="preserve"> </w:t>
      </w:r>
      <w:r>
        <w:rPr>
          <w:rFonts w:ascii="Arial" w:cs="Arial" w:eastAsia="Arial" w:hAnsi="Arial"/>
          <w:sz w:val="18"/>
          <w:szCs w:val="18"/>
          <w:color w:val="auto"/>
        </w:rPr>
        <w:t>right (East) on Forest Lane. You will pass two traffic lights. At the third light, the entrance to Texas Instruments will be on your left.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Parking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visitors should park at the South Lobby, where reserved parking will be available.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w:t>
      </w:r>
    </w:p>
    <w:p>
      <w:pPr>
        <w:spacing w:after="0" w:line="24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Be advised that TI's security policy forbids weapons, cameras and audio/video recording devices inside TI buildings. All buildings will be subject to search upon entry into the building.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Attendance</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additional information about attending the annual meeting, see the discussion under “Attendance and instructions for the annual meeting” on 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42424"/>
        </w:rPr>
        <w:t>2022 PROXY STATEMENT • PAGE 61</w:t>
      </w:r>
    </w:p>
    <w:p>
      <w:pPr>
        <w:sectPr>
          <w:pgSz w:w="11900" w:h="16838" w:orient="portrait"/>
          <w:cols w:equalWidth="0" w:num="1">
            <w:col w:w="11240"/>
          </w:cols>
          <w:pgMar w:left="320" w:top="985"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Appendix 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reconciliations</w:t>
      </w: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9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Free Cash Flow as a Percentage of Revenue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10"/>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b w:val="1"/>
                <w:bCs w:val="1"/>
                <w:color w:val="auto"/>
              </w:rPr>
              <w:t>8,756</w:t>
            </w:r>
          </w:p>
        </w:tc>
        <w:tc>
          <w:tcPr>
            <w:tcW w:w="38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213"/>
              <w:spacing w:after="0"/>
              <w:rPr>
                <w:sz w:val="20"/>
                <w:szCs w:val="20"/>
                <w:color w:val="auto"/>
              </w:rPr>
            </w:pPr>
            <w:r>
              <w:rPr>
                <w:rFonts w:ascii="Arial" w:cs="Arial" w:eastAsia="Arial" w:hAnsi="Arial"/>
                <w:sz w:val="18"/>
                <w:szCs w:val="18"/>
                <w:color w:val="auto"/>
              </w:rPr>
              <w:t>6,139</w:t>
            </w:r>
          </w:p>
        </w:tc>
        <w:tc>
          <w:tcPr>
            <w:tcW w:w="44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133"/>
              <w:spacing w:after="0"/>
              <w:rPr>
                <w:sz w:val="20"/>
                <w:szCs w:val="20"/>
                <w:color w:val="auto"/>
              </w:rPr>
            </w:pPr>
            <w:r>
              <w:rPr>
                <w:rFonts w:ascii="Arial" w:cs="Arial" w:eastAsia="Arial" w:hAnsi="Arial"/>
                <w:sz w:val="18"/>
                <w:szCs w:val="18"/>
                <w:color w:val="auto"/>
              </w:rPr>
              <w:t>6,649</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DBDBDB"/>
            </w:tcBorders>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21,544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40" w:type="dxa"/>
            <w:vAlign w:val="bottom"/>
          </w:tcPr>
          <w:p>
            <w:pPr>
              <w:jc w:val="right"/>
              <w:ind w:right="135"/>
              <w:spacing w:after="0"/>
              <w:rPr>
                <w:sz w:val="20"/>
                <w:szCs w:val="20"/>
                <w:color w:val="auto"/>
              </w:rPr>
            </w:pPr>
            <w:r>
              <w:rPr>
                <w:rFonts w:ascii="Arial" w:cs="Arial" w:eastAsia="Arial" w:hAnsi="Arial"/>
                <w:sz w:val="18"/>
                <w:szCs w:val="18"/>
                <w:b w:val="1"/>
                <w:bCs w:val="1"/>
                <w:color w:val="auto"/>
              </w:rPr>
              <w:t>(2,462)</w:t>
            </w:r>
          </w:p>
        </w:tc>
        <w:tc>
          <w:tcPr>
            <w:tcW w:w="38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(649)</w:t>
            </w:r>
          </w:p>
        </w:tc>
        <w:tc>
          <w:tcPr>
            <w:tcW w:w="44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(847)</w:t>
            </w:r>
          </w:p>
        </w:tc>
        <w:tc>
          <w:tcPr>
            <w:tcW w:w="4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b w:val="1"/>
                <w:bCs w:val="1"/>
                <w:color w:val="auto"/>
              </w:rPr>
              <w:t>(3,958)</w:t>
            </w:r>
          </w:p>
        </w:tc>
      </w:tr>
      <w:tr>
        <w:trPr>
          <w:trHeight w:val="27"/>
        </w:trPr>
        <w:tc>
          <w:tcPr>
            <w:tcW w:w="57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8"/>
                <w:szCs w:val="18"/>
                <w:b w:val="1"/>
                <w:bCs w:val="1"/>
                <w:color w:val="auto"/>
              </w:rPr>
              <w:t>6,294</w:t>
            </w:r>
          </w:p>
        </w:tc>
        <w:tc>
          <w:tcPr>
            <w:tcW w:w="38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BDBDB"/>
            </w:tcBorders>
            <w:shd w:val="clear" w:color="auto" w:fill="DBDBDB"/>
          </w:tcPr>
          <w:p>
            <w:pPr>
              <w:jc w:val="right"/>
              <w:ind w:right="213"/>
              <w:spacing w:after="0"/>
              <w:rPr>
                <w:sz w:val="20"/>
                <w:szCs w:val="20"/>
                <w:color w:val="auto"/>
              </w:rPr>
            </w:pPr>
            <w:r>
              <w:rPr>
                <w:rFonts w:ascii="Arial" w:cs="Arial" w:eastAsia="Arial" w:hAnsi="Arial"/>
                <w:sz w:val="18"/>
                <w:szCs w:val="18"/>
                <w:color w:val="auto"/>
              </w:rPr>
              <w:t>5,490</w:t>
            </w:r>
          </w:p>
        </w:tc>
        <w:tc>
          <w:tcPr>
            <w:tcW w:w="44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ind w:right="133"/>
              <w:spacing w:after="0"/>
              <w:rPr>
                <w:sz w:val="20"/>
                <w:szCs w:val="20"/>
                <w:color w:val="auto"/>
              </w:rPr>
            </w:pPr>
            <w:r>
              <w:rPr>
                <w:rFonts w:ascii="Arial" w:cs="Arial" w:eastAsia="Arial" w:hAnsi="Arial"/>
                <w:sz w:val="18"/>
                <w:szCs w:val="18"/>
                <w:color w:val="auto"/>
              </w:rPr>
              <w:t>5,802</w:t>
            </w:r>
          </w:p>
        </w:tc>
        <w:tc>
          <w:tcPr>
            <w:tcW w:w="4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DBDBDB"/>
            </w:tcBorders>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17,586</w:t>
            </w: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8"/>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8"/>
                <w:szCs w:val="18"/>
                <w:b w:val="1"/>
                <w:bCs w:val="1"/>
                <w:color w:val="auto"/>
              </w:rPr>
              <w:t>18,344</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213"/>
              <w:spacing w:after="0"/>
              <w:rPr>
                <w:sz w:val="20"/>
                <w:szCs w:val="20"/>
                <w:color w:val="auto"/>
              </w:rPr>
            </w:pPr>
            <w:r>
              <w:rPr>
                <w:rFonts w:ascii="Arial" w:cs="Arial" w:eastAsia="Arial" w:hAnsi="Arial"/>
                <w:sz w:val="18"/>
                <w:szCs w:val="18"/>
                <w:color w:val="auto"/>
              </w:rPr>
              <w:t>14,461</w:t>
            </w:r>
          </w:p>
        </w:tc>
        <w:tc>
          <w:tcPr>
            <w:tcW w:w="4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14,383</w:t>
            </w:r>
          </w:p>
        </w:tc>
        <w:tc>
          <w:tcPr>
            <w:tcW w:w="42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b w:val="1"/>
                <w:bCs w:val="1"/>
                <w:color w:val="auto"/>
              </w:rPr>
              <w:t>47,188</w:t>
            </w:r>
          </w:p>
        </w:tc>
      </w:tr>
      <w:tr>
        <w:trPr>
          <w:trHeight w:val="20"/>
        </w:trPr>
        <w:tc>
          <w:tcPr>
            <w:tcW w:w="57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r>
        <w:trPr>
          <w:trHeight w:val="223"/>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47.7 %</w:t>
            </w:r>
          </w:p>
        </w:tc>
        <w:tc>
          <w:tcPr>
            <w:tcW w:w="38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42.5 %</w:t>
            </w:r>
          </w:p>
        </w:tc>
        <w:tc>
          <w:tcPr>
            <w:tcW w:w="44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46.2 %</w:t>
            </w:r>
          </w:p>
        </w:tc>
        <w:tc>
          <w:tcPr>
            <w:tcW w:w="42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45.7 %</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34.3 %</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38.0 %</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40.3 %</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242424"/>
        </w:rPr>
        <w:t>A-1</w:t>
      </w:r>
    </w:p>
    <w:p>
      <w:pPr>
        <w:sectPr>
          <w:pgSz w:w="11900" w:h="16838" w:orient="portrait"/>
          <w:cols w:equalWidth="0" w:num="1">
            <w:col w:w="11240"/>
          </w:cols>
          <w:pgMar w:left="320" w:top="1201"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67132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right="720"/>
        <w:spacing w:after="0" w:line="248" w:lineRule="auto"/>
        <w:rPr>
          <w:sz w:val="20"/>
          <w:szCs w:val="20"/>
          <w:color w:val="auto"/>
        </w:rPr>
      </w:pPr>
      <w:r>
        <w:rPr>
          <w:rFonts w:ascii="Arial" w:cs="Arial" w:eastAsia="Arial" w:hAnsi="Arial"/>
          <w:sz w:val="14"/>
          <w:szCs w:val="14"/>
          <w:i w:val="1"/>
          <w:iCs w:val="1"/>
          <w:color w:val="auto"/>
        </w:rPr>
        <w:t>TEXAS INSTRUMENTS INCORPORATED ATTN: ASSISTANT SECRETARY P.O. Box 655474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MS 3999</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both"/>
        <w:ind w:right="200"/>
        <w:spacing w:after="0" w:line="263" w:lineRule="auto"/>
        <w:rPr>
          <w:sz w:val="20"/>
          <w:szCs w:val="20"/>
          <w:color w:val="auto"/>
        </w:rPr>
      </w:pPr>
      <w:r>
        <w:rPr>
          <w:rFonts w:ascii="Arial" w:cs="Arial" w:eastAsia="Arial" w:hAnsi="Arial"/>
          <w:sz w:val="14"/>
          <w:szCs w:val="14"/>
          <w:b w:val="1"/>
          <w:bCs w:val="1"/>
          <w:color w:val="auto"/>
        </w:rPr>
        <w:t xml:space="preserve">For registered shares, your proxy must be received by 11:59 p.m. (Eastern time) on </w:t>
      </w:r>
      <w:r>
        <w:rPr>
          <w:rFonts w:ascii="Arial" w:cs="Arial" w:eastAsia="Arial" w:hAnsi="Arial"/>
          <w:sz w:val="14"/>
          <w:szCs w:val="14"/>
          <w:b w:val="1"/>
          <w:bCs w:val="1"/>
          <w:i w:val="1"/>
          <w:iCs w:val="1"/>
          <w:color w:val="auto"/>
        </w:rPr>
        <w:t>April 27, 2022</w:t>
      </w:r>
      <w:r>
        <w:rPr>
          <w:rFonts w:ascii="Arial" w:cs="Arial" w:eastAsia="Arial" w:hAnsi="Arial"/>
          <w:sz w:val="14"/>
          <w:szCs w:val="14"/>
          <w:b w:val="1"/>
          <w:bCs w:val="1"/>
          <w:color w:val="auto"/>
        </w:rPr>
        <w:t xml:space="preserve">. For shares allocable to a benefit plan account, your proxy must be received by 11:59 p.m. (Eastern time) on </w:t>
      </w:r>
      <w:r>
        <w:rPr>
          <w:rFonts w:ascii="Arial" w:cs="Arial" w:eastAsia="Arial" w:hAnsi="Arial"/>
          <w:sz w:val="14"/>
          <w:szCs w:val="14"/>
          <w:b w:val="1"/>
          <w:bCs w:val="1"/>
          <w:i w:val="1"/>
          <w:iCs w:val="1"/>
          <w:color w:val="auto"/>
        </w:rPr>
        <w:t>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-1012825</wp:posOffset>
            </wp:positionV>
            <wp:extent cx="1851660" cy="471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1660" cy="47180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r>
        <w:rPr>
          <w:rFonts w:ascii="Arial" w:cs="Arial" w:eastAsia="Arial" w:hAnsi="Arial"/>
          <w:sz w:val="14"/>
          <w:szCs w:val="14"/>
          <w:color w:val="auto"/>
        </w:rPr>
        <w:t>–</w:t>
      </w:r>
      <w:r>
        <w:rPr>
          <w:rFonts w:ascii="Arial" w:cs="Arial" w:eastAsia="Arial" w:hAnsi="Arial"/>
          <w:sz w:val="14"/>
          <w:szCs w:val="14"/>
          <w:b w:val="1"/>
          <w:bCs w:val="1"/>
          <w:color w:val="auto"/>
        </w:rPr>
        <w:t xml:space="preserve"> Go to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spacing w:after="0" w:line="19"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ADVANCE REGISTRATION</w:t>
      </w:r>
    </w:p>
    <w:p>
      <w:pPr>
        <w:spacing w:after="0" w:line="19"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color w:val="auto"/>
        </w:rPr>
        <w:t>You must register and print your advance registration form at the stockholder meeting registration site: www.proxyvote.com. If you are unable to print your advance registration form, please call Stockholder Meeting Registration Phone Support (Toll Free) 1-844-318-0137 or (International Toll) 1-925-331-6070.</w:t>
      </w:r>
    </w:p>
    <w:p>
      <w:pPr>
        <w:spacing w:after="0" w:line="106" w:lineRule="exact"/>
        <w:rPr>
          <w:sz w:val="20"/>
          <w:szCs w:val="20"/>
          <w:color w:val="auto"/>
        </w:rPr>
      </w:pPr>
    </w:p>
    <w:p>
      <w:pPr>
        <w:sectPr>
          <w:pgSz w:w="11900" w:h="16838" w:orient="portrait"/>
          <w:cols w:equalWidth="0" w:num="2">
            <w:col w:w="3540" w:space="720"/>
            <w:col w:w="6940"/>
          </w:cols>
          <w:pgMar w:left="320" w:top="1440" w:right="379" w:bottom="1440" w:gutter="0" w:footer="0" w:header="0"/>
        </w:sectPr>
      </w:pPr>
    </w:p>
    <w:p>
      <w:pPr>
        <w:spacing w:after="0"/>
        <w:tabs>
          <w:tab w:leader="none" w:pos="5140" w:val="left"/>
        </w:tabs>
        <w:rPr>
          <w:sz w:val="20"/>
          <w:szCs w:val="20"/>
          <w:color w:val="auto"/>
        </w:rPr>
      </w:pPr>
      <w:r>
        <w:rPr>
          <w:rFonts w:ascii="Arial" w:cs="Arial" w:eastAsia="Arial" w:hAnsi="Arial"/>
          <w:sz w:val="14"/>
          <w:szCs w:val="14"/>
          <w:color w:val="auto"/>
        </w:rPr>
        <w:t>TO VOTE, MARK BLOCKS BELOW IN BLUE OR BLACK INK AS FOLLOWS:</w:t>
        <w:tab/>
        <w:t>KEEP THIS PORTION FOR YOUR RECORDS</w:t>
      </w:r>
    </w:p>
    <w:p>
      <w:pPr>
        <w:spacing w:after="0" w:line="172" w:lineRule="exact"/>
        <w:rPr>
          <w:sz w:val="20"/>
          <w:szCs w:val="20"/>
          <w:color w:val="auto"/>
        </w:rPr>
      </w:pPr>
    </w:p>
    <w:p>
      <w:pPr>
        <w:spacing w:after="0"/>
        <w:tabs>
          <w:tab w:leader="none" w:pos="452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4"/>
          <w:szCs w:val="14"/>
          <w:color w:val="auto"/>
        </w:rPr>
        <w:t>DETACH AND RETURN THIS PORTION ONLY</w:t>
      </w:r>
    </w:p>
    <w:p>
      <w:pPr>
        <w:sectPr>
          <w:pgSz w:w="11900" w:h="16838" w:orient="portrait"/>
          <w:cols w:equalWidth="0" w:num="1">
            <w:col w:w="11200"/>
          </w:cols>
          <w:pgMar w:left="320" w:top="1440" w:right="37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TEXAS INSTRUMENTS INCORPORATED</w:t>
      </w:r>
    </w:p>
    <w:p>
      <w:pPr>
        <w:spacing w:after="0" w:line="55" w:lineRule="exact"/>
        <w:rPr>
          <w:sz w:val="20"/>
          <w:szCs w:val="20"/>
          <w:color w:val="auto"/>
        </w:rPr>
      </w:pPr>
    </w:p>
    <w:p>
      <w:pPr>
        <w:ind w:left="20" w:right="260"/>
        <w:spacing w:after="0" w:line="285" w:lineRule="auto"/>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 director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2 and 3.</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Vote on Directors</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2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Nominees:</w:t>
            </w:r>
          </w:p>
        </w:tc>
        <w:tc>
          <w:tcPr>
            <w:tcW w:w="940" w:type="dxa"/>
            <w:vAlign w:val="bottom"/>
          </w:tcPr>
          <w:p>
            <w:pPr>
              <w:jc w:val="center"/>
              <w:ind w:left="148"/>
              <w:spacing w:after="0"/>
              <w:rPr>
                <w:sz w:val="20"/>
                <w:szCs w:val="20"/>
                <w:color w:val="auto"/>
              </w:rPr>
            </w:pPr>
            <w:r>
              <w:rPr>
                <w:rFonts w:ascii="Arial" w:cs="Arial" w:eastAsia="Arial" w:hAnsi="Arial"/>
                <w:sz w:val="14"/>
                <w:szCs w:val="14"/>
                <w:b w:val="1"/>
                <w:bCs w:val="1"/>
                <w:color w:val="auto"/>
              </w:rPr>
              <w:t>For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80" w:type="dxa"/>
            <w:vAlign w:val="bottom"/>
          </w:tcPr>
          <w:p>
            <w:pPr>
              <w:jc w:val="center"/>
              <w:ind w:left="88"/>
              <w:spacing w:after="0"/>
              <w:rPr>
                <w:sz w:val="20"/>
                <w:szCs w:val="20"/>
                <w:color w:val="auto"/>
              </w:rPr>
            </w:pPr>
            <w:r>
              <w:rPr>
                <w:rFonts w:ascii="Arial" w:cs="Arial" w:eastAsia="Arial" w:hAnsi="Arial"/>
                <w:sz w:val="14"/>
                <w:szCs w:val="14"/>
                <w:b w:val="1"/>
                <w:bCs w:val="1"/>
                <w:color w:val="auto"/>
              </w:rPr>
              <w:t>Abstain</w:t>
            </w:r>
          </w:p>
        </w:tc>
      </w:tr>
      <w:tr>
        <w:trPr>
          <w:trHeight w:val="222"/>
        </w:trPr>
        <w:tc>
          <w:tcPr>
            <w:tcW w:w="380" w:type="dxa"/>
            <w:vAlign w:val="bottom"/>
          </w:tcPr>
          <w:p>
            <w:pPr>
              <w:ind w:left="160"/>
              <w:spacing w:after="0"/>
              <w:rPr>
                <w:sz w:val="20"/>
                <w:szCs w:val="20"/>
                <w:color w:val="auto"/>
              </w:rPr>
            </w:pPr>
            <w:r>
              <w:rPr>
                <w:rFonts w:ascii="Arial" w:cs="Arial" w:eastAsia="Arial" w:hAnsi="Arial"/>
                <w:sz w:val="14"/>
                <w:szCs w:val="14"/>
                <w:color w:val="auto"/>
              </w:rPr>
              <w:t>1a.</w:t>
            </w:r>
          </w:p>
        </w:tc>
        <w:tc>
          <w:tcPr>
            <w:tcW w:w="1840" w:type="dxa"/>
            <w:vAlign w:val="bottom"/>
          </w:tcPr>
          <w:p>
            <w:pPr>
              <w:ind w:left="20"/>
              <w:spacing w:after="0"/>
              <w:rPr>
                <w:sz w:val="20"/>
                <w:szCs w:val="20"/>
                <w:color w:val="auto"/>
              </w:rPr>
            </w:pPr>
            <w:r>
              <w:rPr>
                <w:rFonts w:ascii="Arial" w:cs="Arial" w:eastAsia="Arial" w:hAnsi="Arial"/>
                <w:sz w:val="14"/>
                <w:szCs w:val="14"/>
                <w:color w:val="auto"/>
              </w:rPr>
              <w:t>Mark A. Blinn</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80" w:type="dxa"/>
            <w:vAlign w:val="bottom"/>
          </w:tcPr>
          <w:p>
            <w:pPr>
              <w:ind w:left="160"/>
              <w:spacing w:after="0"/>
              <w:rPr>
                <w:sz w:val="20"/>
                <w:szCs w:val="20"/>
                <w:color w:val="auto"/>
              </w:rPr>
            </w:pPr>
            <w:r>
              <w:rPr>
                <w:rFonts w:ascii="Arial" w:cs="Arial" w:eastAsia="Arial" w:hAnsi="Arial"/>
                <w:sz w:val="14"/>
                <w:szCs w:val="14"/>
                <w:color w:val="auto"/>
              </w:rPr>
              <w:t>1b.</w:t>
            </w:r>
          </w:p>
        </w:tc>
        <w:tc>
          <w:tcPr>
            <w:tcW w:w="1840" w:type="dxa"/>
            <w:vAlign w:val="bottom"/>
          </w:tcPr>
          <w:p>
            <w:pPr>
              <w:ind w:left="20"/>
              <w:spacing w:after="0"/>
              <w:rPr>
                <w:sz w:val="20"/>
                <w:szCs w:val="20"/>
                <w:color w:val="auto"/>
              </w:rPr>
            </w:pPr>
            <w:r>
              <w:rPr>
                <w:rFonts w:ascii="Arial" w:cs="Arial" w:eastAsia="Arial" w:hAnsi="Arial"/>
                <w:sz w:val="14"/>
                <w:szCs w:val="14"/>
                <w:color w:val="auto"/>
              </w:rPr>
              <w:t>Todd M. Bluedorn</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20" w:type="dxa"/>
            <w:vAlign w:val="bottom"/>
            <w:gridSpan w:val="2"/>
          </w:tcPr>
          <w:p>
            <w:pPr>
              <w:ind w:left="160"/>
              <w:spacing w:after="0"/>
              <w:rPr>
                <w:sz w:val="20"/>
                <w:szCs w:val="20"/>
                <w:color w:val="auto"/>
              </w:rPr>
            </w:pPr>
            <w:r>
              <w:rPr>
                <w:rFonts w:ascii="Arial" w:cs="Arial" w:eastAsia="Arial" w:hAnsi="Arial"/>
                <w:sz w:val="14"/>
                <w:szCs w:val="14"/>
                <w:color w:val="auto"/>
              </w:rPr>
              <w:t>1c. Janet F. Clark</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80" w:type="dxa"/>
            <w:vAlign w:val="bottom"/>
          </w:tcPr>
          <w:p>
            <w:pPr>
              <w:ind w:left="160"/>
              <w:spacing w:after="0"/>
              <w:rPr>
                <w:sz w:val="20"/>
                <w:szCs w:val="20"/>
                <w:color w:val="auto"/>
              </w:rPr>
            </w:pPr>
            <w:r>
              <w:rPr>
                <w:rFonts w:ascii="Arial" w:cs="Arial" w:eastAsia="Arial" w:hAnsi="Arial"/>
                <w:sz w:val="14"/>
                <w:szCs w:val="14"/>
                <w:color w:val="auto"/>
              </w:rPr>
              <w:t>1d.</w:t>
            </w:r>
          </w:p>
        </w:tc>
        <w:tc>
          <w:tcPr>
            <w:tcW w:w="1840" w:type="dxa"/>
            <w:vAlign w:val="bottom"/>
          </w:tcPr>
          <w:p>
            <w:pPr>
              <w:ind w:left="20"/>
              <w:spacing w:after="0"/>
              <w:rPr>
                <w:sz w:val="20"/>
                <w:szCs w:val="20"/>
                <w:color w:val="auto"/>
              </w:rPr>
            </w:pPr>
            <w:r>
              <w:rPr>
                <w:rFonts w:ascii="Arial" w:cs="Arial" w:eastAsia="Arial" w:hAnsi="Arial"/>
                <w:sz w:val="14"/>
                <w:szCs w:val="14"/>
                <w:color w:val="auto"/>
              </w:rPr>
              <w:t>Carrie S. Cox</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80" w:type="dxa"/>
            <w:vAlign w:val="bottom"/>
          </w:tcPr>
          <w:p>
            <w:pPr>
              <w:ind w:left="160"/>
              <w:spacing w:after="0"/>
              <w:rPr>
                <w:sz w:val="20"/>
                <w:szCs w:val="20"/>
                <w:color w:val="auto"/>
              </w:rPr>
            </w:pPr>
            <w:r>
              <w:rPr>
                <w:rFonts w:ascii="Arial" w:cs="Arial" w:eastAsia="Arial" w:hAnsi="Arial"/>
                <w:sz w:val="14"/>
                <w:szCs w:val="14"/>
                <w:color w:val="auto"/>
              </w:rPr>
              <w:t>1e.</w:t>
            </w:r>
          </w:p>
        </w:tc>
        <w:tc>
          <w:tcPr>
            <w:tcW w:w="1840" w:type="dxa"/>
            <w:vAlign w:val="bottom"/>
          </w:tcPr>
          <w:p>
            <w:pPr>
              <w:ind w:left="20"/>
              <w:spacing w:after="0"/>
              <w:rPr>
                <w:sz w:val="20"/>
                <w:szCs w:val="20"/>
                <w:color w:val="auto"/>
              </w:rPr>
            </w:pPr>
            <w:r>
              <w:rPr>
                <w:rFonts w:ascii="Arial" w:cs="Arial" w:eastAsia="Arial" w:hAnsi="Arial"/>
                <w:sz w:val="14"/>
                <w:szCs w:val="14"/>
                <w:color w:val="auto"/>
              </w:rPr>
              <w:t>Martin S. Craighead</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20" w:type="dxa"/>
            <w:vAlign w:val="bottom"/>
            <w:gridSpan w:val="2"/>
          </w:tcPr>
          <w:p>
            <w:pPr>
              <w:ind w:left="160"/>
              <w:spacing w:after="0"/>
              <w:rPr>
                <w:sz w:val="20"/>
                <w:szCs w:val="20"/>
                <w:color w:val="auto"/>
              </w:rPr>
            </w:pPr>
            <w:r>
              <w:rPr>
                <w:rFonts w:ascii="Arial" w:cs="Arial" w:eastAsia="Arial" w:hAnsi="Arial"/>
                <w:sz w:val="14"/>
                <w:szCs w:val="14"/>
                <w:color w:val="auto"/>
              </w:rPr>
              <w:t>1f. Jean M. Hobby</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80" w:type="dxa"/>
            <w:vAlign w:val="bottom"/>
          </w:tcPr>
          <w:p>
            <w:pPr>
              <w:ind w:left="160"/>
              <w:spacing w:after="0"/>
              <w:rPr>
                <w:sz w:val="20"/>
                <w:szCs w:val="20"/>
                <w:color w:val="auto"/>
              </w:rPr>
            </w:pPr>
            <w:r>
              <w:rPr>
                <w:rFonts w:ascii="Arial" w:cs="Arial" w:eastAsia="Arial" w:hAnsi="Arial"/>
                <w:sz w:val="14"/>
                <w:szCs w:val="14"/>
                <w:color w:val="auto"/>
              </w:rPr>
              <w:t>1g.</w:t>
            </w:r>
          </w:p>
        </w:tc>
        <w:tc>
          <w:tcPr>
            <w:tcW w:w="1840" w:type="dxa"/>
            <w:vAlign w:val="bottom"/>
          </w:tcPr>
          <w:p>
            <w:pPr>
              <w:ind w:left="20"/>
              <w:spacing w:after="0"/>
              <w:rPr>
                <w:sz w:val="20"/>
                <w:szCs w:val="20"/>
                <w:color w:val="auto"/>
              </w:rPr>
            </w:pPr>
            <w:r>
              <w:rPr>
                <w:rFonts w:ascii="Arial" w:cs="Arial" w:eastAsia="Arial" w:hAnsi="Arial"/>
                <w:sz w:val="14"/>
                <w:szCs w:val="14"/>
                <w:color w:val="auto"/>
              </w:rPr>
              <w:t>Michael D. Hsu</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380" w:type="dxa"/>
            <w:vAlign w:val="bottom"/>
          </w:tcPr>
          <w:p>
            <w:pPr>
              <w:ind w:left="160"/>
              <w:spacing w:after="0"/>
              <w:rPr>
                <w:sz w:val="20"/>
                <w:szCs w:val="20"/>
                <w:color w:val="auto"/>
              </w:rPr>
            </w:pPr>
            <w:r>
              <w:rPr>
                <w:rFonts w:ascii="Arial" w:cs="Arial" w:eastAsia="Arial" w:hAnsi="Arial"/>
                <w:sz w:val="14"/>
                <w:szCs w:val="14"/>
                <w:color w:val="auto"/>
              </w:rPr>
              <w:t>1h.</w:t>
            </w:r>
          </w:p>
        </w:tc>
        <w:tc>
          <w:tcPr>
            <w:tcW w:w="1840" w:type="dxa"/>
            <w:vAlign w:val="bottom"/>
          </w:tcPr>
          <w:p>
            <w:pPr>
              <w:ind w:left="20"/>
              <w:spacing w:after="0"/>
              <w:rPr>
                <w:sz w:val="20"/>
                <w:szCs w:val="20"/>
                <w:color w:val="auto"/>
              </w:rPr>
            </w:pPr>
            <w:r>
              <w:rPr>
                <w:rFonts w:ascii="Arial" w:cs="Arial" w:eastAsia="Arial" w:hAnsi="Arial"/>
                <w:sz w:val="14"/>
                <w:szCs w:val="14"/>
                <w:color w:val="auto"/>
              </w:rPr>
              <w:t>Haviv Ilan</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20" w:type="dxa"/>
            <w:vAlign w:val="bottom"/>
            <w:gridSpan w:val="2"/>
          </w:tcPr>
          <w:p>
            <w:pPr>
              <w:ind w:left="160"/>
              <w:spacing w:after="0"/>
              <w:rPr>
                <w:sz w:val="20"/>
                <w:szCs w:val="20"/>
                <w:color w:val="auto"/>
              </w:rPr>
            </w:pPr>
            <w:r>
              <w:rPr>
                <w:rFonts w:ascii="Arial" w:cs="Arial" w:eastAsia="Arial" w:hAnsi="Arial"/>
                <w:sz w:val="14"/>
                <w:szCs w:val="14"/>
                <w:color w:val="auto"/>
              </w:rPr>
              <w:t>1i. Ronald Kirk</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20" w:type="dxa"/>
            <w:vAlign w:val="bottom"/>
            <w:gridSpan w:val="2"/>
          </w:tcPr>
          <w:p>
            <w:pPr>
              <w:ind w:left="160"/>
              <w:spacing w:after="0"/>
              <w:rPr>
                <w:sz w:val="20"/>
                <w:szCs w:val="20"/>
                <w:color w:val="auto"/>
              </w:rPr>
            </w:pPr>
            <w:r>
              <w:rPr>
                <w:rFonts w:ascii="Arial" w:cs="Arial" w:eastAsia="Arial" w:hAnsi="Arial"/>
                <w:sz w:val="14"/>
                <w:szCs w:val="14"/>
                <w:color w:val="auto"/>
              </w:rPr>
              <w:t>1j. Pamela H. Patsley</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20" w:type="dxa"/>
            <w:vAlign w:val="bottom"/>
            <w:gridSpan w:val="2"/>
          </w:tcPr>
          <w:p>
            <w:pPr>
              <w:ind w:left="160"/>
              <w:spacing w:after="0"/>
              <w:rPr>
                <w:sz w:val="20"/>
                <w:szCs w:val="20"/>
                <w:color w:val="auto"/>
              </w:rPr>
            </w:pPr>
            <w:r>
              <w:rPr>
                <w:rFonts w:ascii="Arial" w:cs="Arial" w:eastAsia="Arial" w:hAnsi="Arial"/>
                <w:sz w:val="14"/>
                <w:szCs w:val="14"/>
                <w:color w:val="auto"/>
              </w:rPr>
              <w:t>1k. Robert E. Sanchez</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20" w:type="dxa"/>
            <w:vAlign w:val="bottom"/>
            <w:gridSpan w:val="2"/>
          </w:tcPr>
          <w:p>
            <w:pPr>
              <w:ind w:left="160"/>
              <w:spacing w:after="0"/>
              <w:rPr>
                <w:sz w:val="20"/>
                <w:szCs w:val="20"/>
                <w:color w:val="auto"/>
              </w:rPr>
            </w:pPr>
            <w:r>
              <w:rPr>
                <w:rFonts w:ascii="Arial" w:cs="Arial" w:eastAsia="Arial" w:hAnsi="Arial"/>
                <w:sz w:val="14"/>
                <w:szCs w:val="14"/>
                <w:color w:val="auto"/>
              </w:rPr>
              <w:t>1l. Richard K. Templeton</w:t>
            </w:r>
          </w:p>
        </w:tc>
        <w:tc>
          <w:tcPr>
            <w:tcW w:w="94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jc w:val="center"/>
              <w:ind w:left="88"/>
              <w:spacing w:after="0"/>
              <w:rPr>
                <w:sz w:val="20"/>
                <w:szCs w:val="20"/>
                <w:color w:val="auto"/>
              </w:rPr>
            </w:pPr>
            <w:r>
              <w:rPr>
                <w:rFonts w:ascii="Arial" w:cs="Arial" w:eastAsia="Arial" w:hAnsi="Arial"/>
                <w:sz w:val="14"/>
                <w:szCs w:val="14"/>
                <w:b w:val="1"/>
                <w:bCs w:val="1"/>
                <w:color w:val="auto"/>
              </w:rPr>
              <w:t>Abstain</w:t>
            </w:r>
          </w:p>
        </w:tc>
      </w:tr>
      <w:tr>
        <w:trPr>
          <w:trHeight w:val="206"/>
        </w:trPr>
        <w:tc>
          <w:tcPr>
            <w:tcW w:w="2600" w:type="dxa"/>
            <w:vAlign w:val="bottom"/>
          </w:tcPr>
          <w:p>
            <w:pPr>
              <w:spacing w:after="0"/>
              <w:rPr>
                <w:sz w:val="20"/>
                <w:szCs w:val="20"/>
                <w:color w:val="auto"/>
              </w:rPr>
            </w:pPr>
            <w:r>
              <w:rPr>
                <w:rFonts w:ascii="Arial" w:cs="Arial" w:eastAsia="Arial" w:hAnsi="Arial"/>
                <w:sz w:val="14"/>
                <w:szCs w:val="14"/>
                <w:color w:val="auto"/>
              </w:rPr>
              <w:t>2. Board proposal regarding advisory</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approval of the Company’s executive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600" w:type="dxa"/>
            <w:vAlign w:val="bottom"/>
          </w:tcPr>
          <w:p>
            <w:pPr>
              <w:spacing w:after="0"/>
              <w:rPr>
                <w:sz w:val="20"/>
                <w:szCs w:val="20"/>
                <w:color w:val="auto"/>
              </w:rPr>
            </w:pPr>
            <w:r>
              <w:rPr>
                <w:rFonts w:ascii="Arial" w:cs="Arial" w:eastAsia="Arial" w:hAnsi="Arial"/>
                <w:sz w:val="14"/>
                <w:szCs w:val="14"/>
                <w:color w:val="auto"/>
              </w:rPr>
              <w:t>compensation.</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19"/>
        </w:trPr>
        <w:tc>
          <w:tcPr>
            <w:tcW w:w="26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jc w:val="center"/>
              <w:ind w:left="88"/>
              <w:spacing w:after="0"/>
              <w:rPr>
                <w:sz w:val="20"/>
                <w:szCs w:val="20"/>
                <w:color w:val="auto"/>
              </w:rPr>
            </w:pPr>
            <w:r>
              <w:rPr>
                <w:rFonts w:ascii="Arial" w:cs="Arial" w:eastAsia="Arial" w:hAnsi="Arial"/>
                <w:sz w:val="14"/>
                <w:szCs w:val="14"/>
                <w:b w:val="1"/>
                <w:bCs w:val="1"/>
                <w:color w:val="auto"/>
              </w:rPr>
              <w:t>Abstain</w:t>
            </w:r>
          </w:p>
        </w:tc>
      </w:tr>
      <w:tr>
        <w:trPr>
          <w:trHeight w:val="206"/>
        </w:trPr>
        <w:tc>
          <w:tcPr>
            <w:tcW w:w="2600" w:type="dxa"/>
            <w:vAlign w:val="bottom"/>
          </w:tcPr>
          <w:p>
            <w:pPr>
              <w:spacing w:after="0"/>
              <w:rPr>
                <w:sz w:val="20"/>
                <w:szCs w:val="20"/>
                <w:color w:val="auto"/>
              </w:rPr>
            </w:pPr>
            <w:r>
              <w:rPr>
                <w:rFonts w:ascii="Arial" w:cs="Arial" w:eastAsia="Arial" w:hAnsi="Arial"/>
                <w:sz w:val="14"/>
                <w:szCs w:val="14"/>
                <w:color w:val="auto"/>
              </w:rPr>
              <w:t>3. Board proposal to ratify the</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appointment of Ernst &amp; Young LLP as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the Company’s independent</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registered public accounting firm for</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600" w:type="dxa"/>
            <w:vAlign w:val="bottom"/>
          </w:tcPr>
          <w:p>
            <w:pPr>
              <w:spacing w:after="0"/>
              <w:rPr>
                <w:sz w:val="20"/>
                <w:szCs w:val="20"/>
                <w:color w:val="auto"/>
              </w:rPr>
            </w:pPr>
            <w:r>
              <w:rPr>
                <w:rFonts w:ascii="Arial" w:cs="Arial" w:eastAsia="Arial" w:hAnsi="Arial"/>
                <w:sz w:val="14"/>
                <w:szCs w:val="14"/>
                <w:color w:val="auto"/>
              </w:rPr>
              <w:t>2022.</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42"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Proposal 4.</w:t>
      </w:r>
    </w:p>
    <w:p>
      <w:pPr>
        <w:spacing w:after="0" w:line="271" w:lineRule="exact"/>
        <w:rPr>
          <w:sz w:val="20"/>
          <w:szCs w:val="20"/>
          <w:color w:val="auto"/>
        </w:rPr>
      </w:pPr>
    </w:p>
    <w:p>
      <w:pPr>
        <w:ind w:left="2780"/>
        <w:spacing w:after="0"/>
        <w:tabs>
          <w:tab w:leader="none" w:pos="3440" w:val="left"/>
          <w:tab w:leader="none" w:pos="42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36" w:lineRule="exact"/>
        <w:rPr>
          <w:sz w:val="20"/>
          <w:szCs w:val="20"/>
          <w:color w:val="auto"/>
        </w:rPr>
      </w:pPr>
    </w:p>
    <w:p>
      <w:pPr>
        <w:spacing w:after="0" w:line="161" w:lineRule="exact"/>
        <w:tabs>
          <w:tab w:leader="none" w:pos="2800" w:val="left"/>
          <w:tab w:leader="none" w:pos="3640" w:val="left"/>
          <w:tab w:leader="none" w:pos="4480" w:val="left"/>
        </w:tabs>
        <w:rPr>
          <w:sz w:val="20"/>
          <w:szCs w:val="20"/>
          <w:color w:val="auto"/>
        </w:rPr>
      </w:pPr>
      <w:r>
        <w:rPr>
          <w:rFonts w:ascii="Arial" w:cs="Arial" w:eastAsia="Arial" w:hAnsi="Arial"/>
          <w:sz w:val="14"/>
          <w:szCs w:val="14"/>
          <w:color w:val="auto"/>
        </w:rPr>
        <w:t>4. Stockholder proposal to permit a</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combined 10% of stockholders to call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special meeting.</w:t>
      </w:r>
    </w:p>
    <w:p>
      <w:pPr>
        <w:spacing w:after="0" w:line="200" w:lineRule="exact"/>
        <w:rPr>
          <w:sz w:val="20"/>
          <w:szCs w:val="20"/>
          <w:color w:val="auto"/>
        </w:rPr>
      </w:pPr>
    </w:p>
    <w:p>
      <w:pPr>
        <w:spacing w:after="0" w:line="377" w:lineRule="exact"/>
        <w:rPr>
          <w:sz w:val="20"/>
          <w:szCs w:val="20"/>
          <w:color w:val="auto"/>
        </w:rPr>
      </w:pPr>
    </w:p>
    <w:p>
      <w:pPr>
        <w:ind w:right="400"/>
        <w:spacing w:after="0" w:line="285"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200" w:lineRule="exact"/>
        <w:rPr>
          <w:sz w:val="20"/>
          <w:szCs w:val="20"/>
          <w:color w:val="auto"/>
        </w:rPr>
      </w:pPr>
    </w:p>
    <w:p>
      <w:pPr>
        <w:sectPr>
          <w:pgSz w:w="11900" w:h="16838" w:orient="portrait"/>
          <w:cols w:equalWidth="0" w:num="2">
            <w:col w:w="5160" w:space="720"/>
            <w:col w:w="5320"/>
          </w:cols>
          <w:pgMar w:left="320" w:top="1440" w:right="37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Please sign exactly as your name(s) appear(s) hereon. When signing as an attorney, executor, administrator, or other fiduciary, please give full title as such. Joint owners should each sign personally. All holders must sign. If a corporation or partnership, please sign in full corporate or partnership name by an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40575" cy="248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24828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3600" w:val="left"/>
          <w:tab w:leader="none" w:pos="6060" w:val="left"/>
          <w:tab w:leader="none" w:pos="9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200"/>
          </w:cols>
          <w:pgMar w:left="320" w:top="1440" w:right="379" w:bottom="1440" w:gutter="0" w:footer="0" w:header="0"/>
          <w:type w:val="continuous"/>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749300</wp:posOffset>
            </wp:positionV>
            <wp:extent cx="167132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671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28, 2022</w:t>
      </w:r>
    </w:p>
    <w:p>
      <w:pPr>
        <w:spacing w:after="0" w:line="242" w:lineRule="exact"/>
        <w:rPr>
          <w:sz w:val="20"/>
          <w:szCs w:val="20"/>
          <w:color w:val="auto"/>
        </w:rPr>
      </w:pPr>
    </w:p>
    <w:p>
      <w:pPr>
        <w:jc w:val="both"/>
        <w:ind w:left="540" w:right="560"/>
        <w:spacing w:after="0" w:line="253" w:lineRule="auto"/>
        <w:rPr>
          <w:sz w:val="20"/>
          <w:szCs w:val="20"/>
          <w:color w:val="auto"/>
        </w:rPr>
      </w:pPr>
      <w:r>
        <w:rPr>
          <w:rFonts w:ascii="Arial" w:cs="Arial" w:eastAsia="Arial" w:hAnsi="Arial"/>
          <w:sz w:val="18"/>
          <w:szCs w:val="18"/>
          <w:color w:val="auto"/>
        </w:rPr>
        <w:t>You are invited to attend the 2022 annual meeting of stockholders on Thursday, April 28, 2022, in the auditorium on our property at 12500 TI Boulevard, Dallas, Texas, at 8:30 a.m. (Central time). At the meeting we will consider the election of directors, advisory approval of the Company’s executive compensation, ratification of the appointment of Ernst &amp; Young LLP as the Company’s independent registered public accounting firm for 2022, a stockholder proposal to permit a combined 10% of stockholders to call a special meeting, and such other matters as may properly come before the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47" w:lineRule="exact"/>
        <w:rPr>
          <w:sz w:val="20"/>
          <w:szCs w:val="20"/>
          <w:color w:val="auto"/>
        </w:rPr>
      </w:pPr>
    </w:p>
    <w:p>
      <w:pPr>
        <w:jc w:val="both"/>
        <w:ind w:left="540" w:right="560"/>
        <w:spacing w:after="0" w:line="256"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 or enroll at https://enroll.icsdelivery.com/TXN.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2022 Notice and Proxy Statement and 2021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199390</wp:posOffset>
            </wp:positionV>
            <wp:extent cx="7132320" cy="390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90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FOR ANNUAL MEETING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28, 2022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undersigned hereby appoints JANET F. CLARK, RONALD KIRK, PAMELA H. PATSLEY, RICHARD K. TEMPLETON, or any one or more of them, the true and lawful attorneys of the undersigned with power of substitution, to vote as proxies for the undersigned at the annual meeting of stockholders of Texas Instruments Incorporated to be held in Dallas, Texas, on April 28, 2022,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 no contrary indication is made, this proxy will be voted FOR the election of each director nominee, FOR Proposals 2</w:t>
      </w:r>
      <w:r>
        <w:rPr>
          <w:rFonts w:ascii="Arial" w:cs="Arial" w:eastAsia="Arial" w:hAnsi="Arial"/>
          <w:sz w:val="18"/>
          <w:szCs w:val="18"/>
          <w:color w:val="auto"/>
        </w:rPr>
        <w:t xml:space="preserve"> </w:t>
      </w:r>
      <w:r>
        <w:rPr>
          <w:rFonts w:ascii="Arial" w:cs="Arial" w:eastAsia="Arial" w:hAnsi="Arial"/>
          <w:sz w:val="18"/>
          <w:szCs w:val="18"/>
          <w:b w:val="1"/>
          <w:bCs w:val="1"/>
          <w:color w:val="auto"/>
        </w:rPr>
        <w:t>and 3, and AGAINST Proposal 4</w:t>
      </w:r>
      <w:r>
        <w:rPr>
          <w:rFonts w:ascii="Arial" w:cs="Arial" w:eastAsia="Arial" w:hAnsi="Arial"/>
          <w:sz w:val="18"/>
          <w:szCs w:val="18"/>
          <w:color w:val="auto"/>
        </w:rPr>
        <w:t>. If other matters come before the meeting, this proxy will be voted in the discretion of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proxies.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25, 2022,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3">
    <w:nsid w:val="77AE35E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4">
    <w:nsid w:val="579BE4F1"/>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5">
    <w:nsid w:val="310C50B3"/>
    <w:multiLevelType w:val="hybridMultilevel"/>
    <w:lvl w:ilvl="0">
      <w:lvlJc w:val="left"/>
      <w:lvlText w:val="%1"/>
      <w:numFmt w:val="upperLetter"/>
      <w:start w:val="1"/>
    </w:lvl>
    <w:lvl w:ilvl="1">
      <w:lvlJc w:val="left"/>
      <w:lvlText w:val="%2."/>
      <w:numFmt w:val="decimal"/>
      <w:start w:val="7"/>
    </w:lvl>
  </w:abstractNum>
  <w:abstractNum w:abstractNumId="36">
    <w:nsid w:val="5FF87E05"/>
    <w:multiLevelType w:val="hybridMultilevel"/>
    <w:lvl w:ilvl="0">
      <w:lvlJc w:val="left"/>
      <w:lvlText w:val="%1."/>
      <w:numFmt w:val="upperLetter"/>
      <w:start w:val="3"/>
    </w:lvl>
    <w:lvl w:ilvl="1">
      <w:lvlJc w:val="left"/>
      <w:lvlText w:val="%2."/>
      <w:numFmt w:val="decimal"/>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lvl w:ilvl="1">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lvl w:ilvl="1">
      <w:lvlJc w:val="left"/>
      <w:lvlText w:val="◦"/>
      <w:numFmt w:val="bullet"/>
      <w:start w:val="1"/>
    </w:lvl>
  </w:abstractNum>
  <w:abstractNum w:abstractNumId="41">
    <w:nsid w:val="1F48EAA1"/>
    <w:multiLevelType w:val="hybridMultilevel"/>
    <w:lvl w:ilvl="0">
      <w:lvlJc w:val="left"/>
      <w:lvlText w:val="•"/>
      <w:numFmt w:val="bullet"/>
      <w:start w:val="1"/>
    </w:lvl>
    <w:lvl w:ilvl="1">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2"/>
    </w:lvl>
  </w:abstractNum>
  <w:abstractNum w:abstractNumId="47">
    <w:nsid w:val="5F5E7FD0"/>
    <w:multiLevelType w:val="hybridMultilevel"/>
    <w:lvl w:ilvl="0">
      <w:lvlJc w:val="left"/>
      <w:lvlText w:val="(%1)"/>
      <w:numFmt w:val="decimal"/>
      <w:start w:val="3"/>
    </w:lvl>
  </w:abstractNum>
  <w:abstractNum w:abstractNumId="48">
    <w:nsid w:val="98A3148"/>
    <w:multiLevelType w:val="hybridMultilevel"/>
    <w:lvl w:ilvl="0">
      <w:lvlJc w:val="left"/>
      <w:lvlText w:val="(%1)"/>
      <w:numFmt w:val="decimal"/>
      <w:start w:val="4"/>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lvl w:ilvl="1">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lvl w:ilvl="1">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lowerRoman"/>
      <w:start w:val="2"/>
    </w:lvl>
  </w:abstractNum>
  <w:abstractNum w:abstractNumId="55">
    <w:nsid w:val="5DC79EA8"/>
    <w:multiLevelType w:val="hybridMultilevel"/>
    <w:lvl w:ilvl="0">
      <w:lvlJc w:val="left"/>
      <w:lvlText w:val="1"/>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lvl w:ilvl="1">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lvl w:ilvl="1">
      <w:lvlJc w:val="left"/>
      <w:lvlText w:val="◦"/>
      <w:numFmt w:val="bullet"/>
      <w:start w:val="1"/>
    </w:lvl>
  </w:abstractNum>
  <w:abstractNum w:abstractNumId="61">
    <w:nsid w:val="11447B73"/>
    <w:multiLevelType w:val="hybridMultilevel"/>
    <w:lvl w:ilvl="0">
      <w:lvlJc w:val="left"/>
      <w:lvlText w:val="•"/>
      <w:numFmt w:val="bullet"/>
      <w:start w:val="1"/>
    </w:lvl>
    <w:lvl w:ilvl="1">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2"/>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9"/>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lowerRoman"/>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lowerRoman"/>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12"/>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decimal"/>
      <w:start w:val="1"/>
    </w:lvl>
    <w:lvl w:ilvl="1">
      <w:lvlJc w:val="left"/>
      <w:lvlText w:val="(%2)"/>
      <w:numFmt w:val="lowerLetter"/>
      <w:start w:val="2"/>
    </w:lvl>
  </w:abstractNum>
  <w:abstractNum w:abstractNumId="86">
    <w:nsid w:val="74DE0EE3"/>
    <w:multiLevelType w:val="hybridMultilevel"/>
    <w:lvl w:ilvl="0">
      <w:lvlJc w:val="left"/>
      <w:lvlText w:val="(%1)"/>
      <w:numFmt w:val="decimal"/>
      <w:start w:val="2"/>
    </w:lvl>
    <w:lvl w:ilvl="1">
      <w:lvlJc w:val="left"/>
      <w:lvlText w:val="%2"/>
      <w:numFmt w:val="lowerLetter"/>
      <w:start w:val="1"/>
    </w:lvl>
  </w:abstractNum>
  <w:abstractNum w:abstractNumId="87">
    <w:nsid w:val="68EBC550"/>
    <w:multiLevelType w:val="hybridMultilevel"/>
    <w:lvl w:ilvl="0">
      <w:lvlJc w:val="left"/>
      <w:lvlText w:val="(%1)"/>
      <w:numFmt w:val="decimal"/>
      <w:start w:val="6"/>
    </w:lvl>
    <w:lvl w:ilvl="1">
      <w:lvlJc w:val="left"/>
      <w:lvlText w:val="(%2)"/>
      <w:numFmt w:val="lowerLetter"/>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
      <w:numFmt w:val="bullet"/>
      <w:start w:val="1"/>
    </w:lvl>
    <w:lvl w:ilvl="1">
      <w:lvlJc w:val="left"/>
      <w:lvlText w:val="◦"/>
      <w:numFmt w:val="bullet"/>
      <w:start w:val="1"/>
    </w:lvl>
  </w:abstractNum>
  <w:abstractNum w:abstractNumId="90">
    <w:nsid w:val="4A2AC315"/>
    <w:multiLevelType w:val="hybridMultilevel"/>
    <w:lvl w:ilvl="0">
      <w:lvlJc w:val="left"/>
      <w:lvlText w:val="•"/>
      <w:numFmt w:val="bullet"/>
      <w:start w:val="1"/>
    </w:lvl>
    <w:lvl w:ilvl="1">
      <w:lvlJc w:val="left"/>
      <w:lvlText w:val="◦"/>
      <w:numFmt w:val="bullet"/>
      <w:start w:val="1"/>
    </w:lvl>
  </w:abstractNum>
  <w:abstractNum w:abstractNumId="91">
    <w:nsid w:val="39EE01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2022-03-15T09:01:09Z</dcterms:created>
  <dcterms:modified xsi:type="dcterms:W3CDTF">2022-03-15T09:01:09Z</dcterms:modified>
</cp:coreProperties>
</file>