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October 24,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68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875665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9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Registrant’s news release dated October 24, 2017, regarding its third-quarter results of operations and financial condition is attached hereto as Exhibit 99.</w:t>
      </w:r>
    </w:p>
    <w:p>
      <w:pPr>
        <w:spacing w:after="0" w:line="24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380"/>
          </w:cols>
          <w:pgMar w:left="240" w:top="557" w:right="279" w:bottom="1440" w:gutter="0" w:footer="0" w:header="0"/>
        </w:sectPr>
      </w:pPr>
    </w:p>
    <w:p>
      <w:pPr>
        <w:spacing w:after="0" w:line="221" w:lineRule="exact"/>
        <w:rPr>
          <w:sz w:val="20"/>
          <w:szCs w:val="20"/>
          <w:color w:val="auto"/>
        </w:rPr>
      </w:pPr>
    </w:p>
    <w:p>
      <w:pPr>
        <w:jc w:val="center"/>
        <w:ind w:left="240"/>
        <w:spacing w:after="0" w:line="425" w:lineRule="auto"/>
        <w:rPr>
          <w:sz w:val="20"/>
          <w:szCs w:val="20"/>
          <w:color w:val="auto"/>
        </w:rPr>
      </w:pPr>
      <w:r>
        <w:rPr>
          <w:rFonts w:ascii="Arial" w:cs="Arial" w:eastAsia="Arial" w:hAnsi="Arial"/>
          <w:sz w:val="12"/>
          <w:szCs w:val="12"/>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1037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920" w:space="360"/>
            <w:col w:w="10100"/>
          </w:cols>
          <w:pgMar w:left="240" w:top="557" w:right="279" w:bottom="1440" w:gutter="0" w:footer="0" w:header="0"/>
          <w:type w:val="continuous"/>
        </w:sectPr>
      </w:pPr>
    </w:p>
    <w:p>
      <w:pPr>
        <w:ind w:left="1280" w:hanging="788"/>
        <w:spacing w:after="0"/>
        <w:tabs>
          <w:tab w:leader="none" w:pos="128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Registrant’s News Release</w:t>
        </w:r>
      </w:hyperlink>
    </w:p>
    <w:p>
      <w:pPr>
        <w:spacing w:after="0" w:line="23" w:lineRule="exact"/>
        <w:rPr>
          <w:rFonts w:ascii="Arial" w:cs="Arial" w:eastAsia="Arial" w:hAnsi="Arial"/>
          <w:sz w:val="18"/>
          <w:szCs w:val="18"/>
          <w:u w:val="single" w:color="auto"/>
          <w:color w:val="0000EE"/>
        </w:rPr>
      </w:pPr>
    </w:p>
    <w:p>
      <w:pPr>
        <w:ind w:left="1280"/>
        <w:spacing w:after="0"/>
        <w:rPr>
          <w:rFonts w:ascii="Arial" w:cs="Arial" w:eastAsia="Arial" w:hAnsi="Arial"/>
          <w:sz w:val="18"/>
          <w:szCs w:val="18"/>
          <w:u w:val="single" w:color="auto"/>
          <w:color w:val="0000EE"/>
        </w:rPr>
      </w:pPr>
      <w:r>
        <w:rPr>
          <w:rFonts w:ascii="Arial" w:cs="Arial" w:eastAsia="Arial" w:hAnsi="Arial"/>
          <w:sz w:val="16"/>
          <w:szCs w:val="16"/>
          <w:color w:val="auto"/>
        </w:rPr>
        <w:t>Dated October 24, 2017 (furnished pursuant to Item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7360" w:type="dxa"/>
            <w:vAlign w:val="bottom"/>
            <w:gridSpan w:val="2"/>
          </w:tcPr>
          <w:p>
            <w:pPr>
              <w:ind w:left="234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Date: October 24, 2017</w:t>
            </w:r>
          </w:p>
        </w:tc>
        <w:tc>
          <w:tcPr>
            <w:tcW w:w="7360" w:type="dxa"/>
            <w:vAlign w:val="bottom"/>
            <w:gridSpan w:val="2"/>
          </w:tcPr>
          <w:p>
            <w:pPr>
              <w:ind w:left="2340"/>
              <w:spacing w:after="0"/>
              <w:rPr>
                <w:sz w:val="20"/>
                <w:szCs w:val="20"/>
                <w:color w:val="auto"/>
              </w:rPr>
            </w:pPr>
            <w:r>
              <w:rPr>
                <w:rFonts w:ascii="Arial" w:cs="Arial" w:eastAsia="Arial" w:hAnsi="Arial"/>
                <w:sz w:val="18"/>
                <w:szCs w:val="18"/>
                <w:color w:val="auto"/>
              </w:rPr>
              <w:t>By:  /s/ Rafael R. Lizardi</w:t>
            </w:r>
          </w:p>
        </w:tc>
      </w:tr>
      <w:tr>
        <w:trPr>
          <w:trHeight w:val="195"/>
        </w:trPr>
        <w:tc>
          <w:tcPr>
            <w:tcW w:w="40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Rafael R. Lizardi</w:t>
            </w:r>
          </w:p>
        </w:tc>
      </w:tr>
      <w:tr>
        <w:trPr>
          <w:trHeight w:val="216"/>
        </w:trPr>
        <w:tc>
          <w:tcPr>
            <w:tcW w:w="4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40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41" w:right="239"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18"/>
          <w:szCs w:val="18"/>
          <w:b w:val="1"/>
          <w:bCs w:val="1"/>
          <w:color w:val="auto"/>
        </w:rPr>
        <w:t>Exhibit 99</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TI reports 3Q17 financial results and shareholder returns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Conference call on TI website at 4 p.m. Central time today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www.ti.com/ir</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DALLAS (Oct. 24, 2017) – Texas Instruments Incorporated (TI) (NASDAQ: TXN) today reported third-quarter revenue of $4.12 billion, net income of $1.29 billion and earnings per share of $1.26. Earnings per share include a 2-cent discrete tax benefit not in the company's original guidance.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237" w:lineRule="exact"/>
        <w:rPr>
          <w:sz w:val="20"/>
          <w:szCs w:val="20"/>
          <w:color w:val="auto"/>
        </w:rPr>
      </w:pPr>
    </w:p>
    <w:p>
      <w:pPr>
        <w:ind w:left="520" w:right="380" w:hanging="512"/>
        <w:spacing w:after="0" w:line="232" w:lineRule="auto"/>
        <w:tabs>
          <w:tab w:leader="none" w:pos="52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“Revenue increased 12 percent from the same quarter a year ago. Demand for our products continued to be strong in the industrial and automotive markets.</w:t>
      </w:r>
    </w:p>
    <w:p>
      <w:pPr>
        <w:spacing w:after="0" w:line="95" w:lineRule="exact"/>
        <w:rPr>
          <w:rFonts w:ascii="Arial" w:cs="Arial" w:eastAsia="Arial" w:hAnsi="Arial"/>
          <w:sz w:val="22"/>
          <w:szCs w:val="22"/>
          <w:color w:val="auto"/>
        </w:rPr>
      </w:pPr>
    </w:p>
    <w:p>
      <w:pPr>
        <w:ind w:left="520" w:right="580" w:hanging="512"/>
        <w:spacing w:after="0" w:line="232" w:lineRule="auto"/>
        <w:tabs>
          <w:tab w:leader="none" w:pos="520" w:val="left"/>
        </w:tabs>
        <w:numPr>
          <w:ilvl w:val="0"/>
          <w:numId w:val="3"/>
        </w:numPr>
        <w:rPr>
          <w:rFonts w:ascii="Arial" w:cs="Arial" w:eastAsia="Arial" w:hAnsi="Arial"/>
          <w:sz w:val="22"/>
          <w:szCs w:val="22"/>
          <w:color w:val="auto"/>
        </w:rPr>
      </w:pPr>
      <w:r>
        <w:rPr>
          <w:rFonts w:ascii="Arial" w:cs="Arial" w:eastAsia="Arial" w:hAnsi="Arial"/>
          <w:sz w:val="18"/>
          <w:szCs w:val="18"/>
          <w:color w:val="auto"/>
        </w:rPr>
        <w:t>“In our core businesses, Analog revenue grew 16 percent and Embedded Processing revenue grew 17 percent from the same quarter a year ago. Operating margin increased in both businesses.</w:t>
      </w:r>
    </w:p>
    <w:p>
      <w:pPr>
        <w:spacing w:after="0" w:line="95" w:lineRule="exact"/>
        <w:rPr>
          <w:rFonts w:ascii="Arial" w:cs="Arial" w:eastAsia="Arial" w:hAnsi="Arial"/>
          <w:sz w:val="22"/>
          <w:szCs w:val="22"/>
          <w:color w:val="auto"/>
        </w:rPr>
      </w:pPr>
    </w:p>
    <w:p>
      <w:pPr>
        <w:ind w:left="520" w:right="480" w:hanging="512"/>
        <w:spacing w:after="0" w:line="232" w:lineRule="auto"/>
        <w:tabs>
          <w:tab w:leader="none" w:pos="520" w:val="left"/>
        </w:tabs>
        <w:numPr>
          <w:ilvl w:val="0"/>
          <w:numId w:val="3"/>
        </w:numPr>
        <w:rPr>
          <w:rFonts w:ascii="Arial" w:cs="Arial" w:eastAsia="Arial" w:hAnsi="Arial"/>
          <w:sz w:val="22"/>
          <w:szCs w:val="22"/>
          <w:color w:val="auto"/>
        </w:rPr>
      </w:pPr>
      <w:r>
        <w:rPr>
          <w:rFonts w:ascii="Arial" w:cs="Arial" w:eastAsia="Arial" w:hAnsi="Arial"/>
          <w:sz w:val="18"/>
          <w:szCs w:val="18"/>
          <w:color w:val="auto"/>
        </w:rPr>
        <w:t>“Gross margin of 64.5 percent reflected the quality of our product portfolio, as well as the efficiency of our manufacturing strategy, including the benefit of 300-millimeter Analog production.</w:t>
      </w:r>
    </w:p>
    <w:p>
      <w:pPr>
        <w:spacing w:after="0" w:line="95" w:lineRule="exact"/>
        <w:rPr>
          <w:rFonts w:ascii="Arial" w:cs="Arial" w:eastAsia="Arial" w:hAnsi="Arial"/>
          <w:sz w:val="22"/>
          <w:szCs w:val="22"/>
          <w:color w:val="auto"/>
        </w:rPr>
      </w:pPr>
    </w:p>
    <w:p>
      <w:pPr>
        <w:ind w:left="520" w:right="120" w:hanging="512"/>
        <w:spacing w:after="0" w:line="232" w:lineRule="auto"/>
        <w:tabs>
          <w:tab w:leader="none" w:pos="52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cash flow from operations of $4.8 billion for the trailing 12 months again underscored the strength of our business model. Free cash flow for the trailing 12 months was $4.2 billion and represents 29.0 percent of revenue.</w:t>
      </w:r>
    </w:p>
    <w:p>
      <w:pPr>
        <w:spacing w:after="0" w:line="95" w:lineRule="exact"/>
        <w:rPr>
          <w:rFonts w:ascii="Arial" w:cs="Arial" w:eastAsia="Arial" w:hAnsi="Arial"/>
          <w:sz w:val="22"/>
          <w:szCs w:val="22"/>
          <w:color w:val="auto"/>
        </w:rPr>
      </w:pPr>
    </w:p>
    <w:p>
      <w:pPr>
        <w:ind w:left="520" w:right="320" w:hanging="512"/>
        <w:spacing w:after="0" w:line="238" w:lineRule="auto"/>
        <w:tabs>
          <w:tab w:leader="none" w:pos="520" w:val="left"/>
        </w:tabs>
        <w:numPr>
          <w:ilvl w:val="0"/>
          <w:numId w:val="3"/>
        </w:numPr>
        <w:rPr>
          <w:rFonts w:ascii="Arial" w:cs="Arial" w:eastAsia="Arial" w:hAnsi="Arial"/>
          <w:sz w:val="22"/>
          <w:szCs w:val="22"/>
          <w:color w:val="auto"/>
        </w:rPr>
      </w:pPr>
      <w:r>
        <w:rPr>
          <w:rFonts w:ascii="Arial" w:cs="Arial" w:eastAsia="Arial" w:hAnsi="Arial"/>
          <w:sz w:val="18"/>
          <w:szCs w:val="18"/>
          <w:color w:val="auto"/>
        </w:rPr>
        <w:t>“We have returned $4.3 billion to owners in the past 12 months through dividends and stock repurchases. In September, we announced we would increase our dividend by 24 percent and also increased our share repurchase authorizations by $6 billion, which together reflect our commitment to return all free cash flow to our owners.</w:t>
      </w:r>
    </w:p>
    <w:p>
      <w:pPr>
        <w:spacing w:after="0" w:line="94" w:lineRule="exact"/>
        <w:rPr>
          <w:rFonts w:ascii="Arial" w:cs="Arial" w:eastAsia="Arial" w:hAnsi="Arial"/>
          <w:sz w:val="22"/>
          <w:szCs w:val="22"/>
          <w:color w:val="auto"/>
        </w:rPr>
      </w:pPr>
    </w:p>
    <w:p>
      <w:pPr>
        <w:ind w:left="520" w:right="580" w:hanging="512"/>
        <w:spacing w:after="0" w:line="232" w:lineRule="auto"/>
        <w:tabs>
          <w:tab w:leader="none" w:pos="520" w:val="left"/>
        </w:tabs>
        <w:numPr>
          <w:ilvl w:val="0"/>
          <w:numId w:val="3"/>
        </w:numPr>
        <w:rPr>
          <w:rFonts w:ascii="Arial" w:cs="Arial" w:eastAsia="Arial" w:hAnsi="Arial"/>
          <w:sz w:val="22"/>
          <w:szCs w:val="22"/>
          <w:color w:val="auto"/>
        </w:rPr>
      </w:pPr>
      <w:r>
        <w:rPr>
          <w:rFonts w:ascii="Arial" w:cs="Arial" w:eastAsia="Arial" w:hAnsi="Arial"/>
          <w:sz w:val="18"/>
          <w:szCs w:val="18"/>
          <w:color w:val="auto"/>
        </w:rPr>
        <w:t>“TI’s fourth-quarter outlook is for revenue in the range of $3.57 billion to $3.87 billion, and earnings per share between $1.01 and $1.15, which includes an estimated $20 million discrete tax benefit.”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is a non-GAAP financial measure. Free cash flow is cash flow from operations less 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amounts in the prior period have been recast to conform to the current presentation.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320" w:type="dxa"/>
            <w:vAlign w:val="bottom"/>
            <w:tcBorders>
              <w:bottom w:val="single" w:sz="8" w:color="CFF0FC"/>
            </w:tcBorders>
          </w:tcPr>
          <w:p>
            <w:pPr>
              <w:spacing w:after="0"/>
              <w:rPr>
                <w:sz w:val="20"/>
                <w:szCs w:val="20"/>
                <w:color w:val="auto"/>
              </w:rPr>
            </w:pPr>
          </w:p>
        </w:tc>
        <w:tc>
          <w:tcPr>
            <w:tcW w:w="19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3Q17</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3Q16</w:t>
            </w:r>
          </w:p>
        </w:tc>
        <w:tc>
          <w:tcPr>
            <w:tcW w:w="22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Change</w:t>
            </w:r>
          </w:p>
        </w:tc>
        <w:tc>
          <w:tcPr>
            <w:tcW w:w="180" w:type="dxa"/>
            <w:vAlign w:val="bottom"/>
            <w:tcBorders>
              <w:bottom w:val="single" w:sz="8" w:color="CFF0FC"/>
            </w:tcBorders>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3,675</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profit</w:t>
            </w:r>
          </w:p>
        </w:tc>
        <w:tc>
          <w:tcPr>
            <w:tcW w:w="21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1,788</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1,408</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1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4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Earnings per share</w:t>
            </w:r>
          </w:p>
        </w:tc>
        <w:tc>
          <w:tcPr>
            <w:tcW w:w="21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0.98</w:t>
            </w:r>
          </w:p>
        </w:tc>
        <w:tc>
          <w:tcPr>
            <w:tcW w:w="2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160" w:type="dxa"/>
            <w:vAlign w:val="bottom"/>
          </w:tcPr>
          <w:p>
            <w:pPr>
              <w:spacing w:after="0"/>
              <w:rPr>
                <w:sz w:val="20"/>
                <w:szCs w:val="20"/>
                <w:color w:val="auto"/>
              </w:rPr>
            </w:pPr>
          </w:p>
        </w:tc>
      </w:tr>
      <w:tr>
        <w:trPr>
          <w:trHeight w:val="357"/>
        </w:trPr>
        <w:tc>
          <w:tcPr>
            <w:tcW w:w="11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080" w:type="dxa"/>
            <w:vAlign w:val="bottom"/>
            <w:gridSpan w:val="4"/>
          </w:tcPr>
          <w:p>
            <w:pPr>
              <w:spacing w:after="0"/>
              <w:rPr>
                <w:sz w:val="20"/>
                <w:szCs w:val="20"/>
                <w:color w:val="auto"/>
              </w:rPr>
            </w:pPr>
            <w:r>
              <w:rPr>
                <w:rFonts w:ascii="Arial" w:cs="Arial" w:eastAsia="Arial" w:hAnsi="Arial"/>
                <w:sz w:val="18"/>
                <w:szCs w:val="18"/>
                <w:b w:val="1"/>
                <w:bCs w:val="1"/>
                <w:color w:val="auto"/>
              </w:rPr>
              <w:t>TI reports 3Q17 financial results and shareholder returns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ind w:left="60"/>
              <w:spacing w:after="0"/>
              <w:rPr>
                <w:sz w:val="20"/>
                <w:szCs w:val="20"/>
                <w:color w:val="auto"/>
              </w:rPr>
            </w:pPr>
            <w:r>
              <w:rPr>
                <w:rFonts w:ascii="Arial" w:cs="Arial" w:eastAsia="Arial" w:hAnsi="Arial"/>
                <w:sz w:val="18"/>
                <w:szCs w:val="18"/>
                <w:b w:val="1"/>
                <w:bCs w:val="1"/>
                <w:color w:val="auto"/>
                <w:w w:val="86"/>
              </w:rPr>
              <w:t>Page 2</w:t>
            </w:r>
          </w:p>
        </w:tc>
      </w:tr>
      <w:tr>
        <w:trPr>
          <w:trHeight w:val="419"/>
        </w:trPr>
        <w:tc>
          <w:tcPr>
            <w:tcW w:w="508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45"/>
        </w:trPr>
        <w:tc>
          <w:tcPr>
            <w:tcW w:w="5080" w:type="dxa"/>
            <w:vAlign w:val="bottom"/>
            <w:gridSpan w:val="4"/>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Trailing 12 Months</w:t>
            </w: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382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5"/>
              </w:rPr>
              <w:t>3Q17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5"/>
              </w:rPr>
              <w:t>3Q17</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3Q16</w:t>
            </w:r>
          </w:p>
        </w:tc>
        <w:tc>
          <w:tcPr>
            <w:tcW w:w="300" w:type="dxa"/>
            <w:vAlign w:val="bottom"/>
            <w:tcBorders>
              <w:bottom w:val="single" w:sz="8" w:color="CFF0FC"/>
            </w:tcBorders>
            <w:gridSpan w:val="3"/>
          </w:tcPr>
          <w:p>
            <w:pPr>
              <w:spacing w:after="0"/>
              <w:rPr>
                <w:sz w:val="19"/>
                <w:szCs w:val="19"/>
                <w:color w:val="auto"/>
              </w:rPr>
            </w:pPr>
          </w:p>
        </w:tc>
        <w:tc>
          <w:tcPr>
            <w:tcW w:w="10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Change</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flow from operations</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4,673</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574</w:t>
            </w:r>
          </w:p>
        </w:tc>
        <w:tc>
          <w:tcPr>
            <w:tcW w:w="140" w:type="dxa"/>
            <w:vAlign w:val="bottom"/>
          </w:tcPr>
          <w:p>
            <w:pPr>
              <w:spacing w:after="0"/>
              <w:rPr>
                <w:sz w:val="19"/>
                <w:szCs w:val="19"/>
                <w:color w:val="auto"/>
              </w:rPr>
            </w:pPr>
          </w:p>
        </w:tc>
        <w:tc>
          <w:tcPr>
            <w:tcW w:w="3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4,247</w:t>
            </w:r>
          </w:p>
        </w:tc>
        <w:tc>
          <w:tcPr>
            <w:tcW w:w="14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4,088</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Free cash flow % of revenue</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39"/>
        </w:trPr>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Cash return</w:t>
            </w:r>
          </w:p>
        </w:tc>
        <w:tc>
          <w:tcPr>
            <w:tcW w:w="41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45"/>
        </w:trPr>
        <w:tc>
          <w:tcPr>
            <w:tcW w:w="5080" w:type="dxa"/>
            <w:vAlign w:val="bottom"/>
            <w:gridSpan w:val="4"/>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color w:val="auto"/>
                <w:w w:val="98"/>
              </w:rPr>
              <w:t>Trailing 12 Months</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382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3Q17</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3Q17</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3Q16</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Change</w:t>
            </w:r>
          </w:p>
        </w:tc>
        <w:tc>
          <w:tcPr>
            <w:tcW w:w="200" w:type="dxa"/>
            <w:vAlign w:val="bottom"/>
            <w:tcBorders>
              <w:bottom w:val="single" w:sz="8" w:color="CFF0FC"/>
            </w:tcBorders>
            <w:gridSpan w:val="2"/>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78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495</w:t>
            </w:r>
          </w:p>
        </w:tc>
        <w:tc>
          <w:tcPr>
            <w:tcW w:w="22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1,992</w:t>
            </w:r>
          </w:p>
        </w:tc>
        <w:tc>
          <w:tcPr>
            <w:tcW w:w="200" w:type="dxa"/>
            <w:vAlign w:val="bottom"/>
            <w:gridSpan w:val="2"/>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1,533</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Stock repurchases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2,325</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2,284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cash returned</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1,145</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4,317</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3,817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r>
      <w:tr>
        <w:trPr>
          <w:trHeight w:val="615"/>
        </w:trPr>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780" w:type="dxa"/>
            <w:vAlign w:val="bottom"/>
            <w:gridSpan w:val="5"/>
          </w:tcPr>
          <w:p>
            <w:pPr>
              <w:spacing w:after="0"/>
              <w:rPr>
                <w:sz w:val="20"/>
                <w:szCs w:val="20"/>
                <w:color w:val="auto"/>
              </w:rPr>
            </w:pPr>
            <w:r>
              <w:rPr>
                <w:rFonts w:ascii="Arial" w:cs="Arial" w:eastAsia="Arial" w:hAnsi="Arial"/>
                <w:sz w:val="18"/>
                <w:szCs w:val="18"/>
                <w:b w:val="1"/>
                <w:bCs w:val="1"/>
                <w:color w:val="auto"/>
              </w:rPr>
              <w:t>TI reports 3Q17 financial results and shareholder returns</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 3</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760" w:type="dxa"/>
            <w:vAlign w:val="bottom"/>
            <w:gridSpan w:val="4"/>
          </w:tcPr>
          <w:p>
            <w:pPr>
              <w:jc w:val="center"/>
              <w:ind w:left="253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420" w:type="dxa"/>
            <w:vAlign w:val="bottom"/>
            <w:gridSpan w:val="3"/>
          </w:tcPr>
          <w:p>
            <w:pPr>
              <w:jc w:val="center"/>
              <w:ind w:right="610"/>
              <w:spacing w:after="0"/>
              <w:rPr>
                <w:sz w:val="20"/>
                <w:szCs w:val="20"/>
                <w:color w:val="auto"/>
              </w:rPr>
            </w:pPr>
            <w:r>
              <w:rPr>
                <w:rFonts w:ascii="Arial" w:cs="Arial" w:eastAsia="Arial" w:hAnsi="Arial"/>
                <w:sz w:val="18"/>
                <w:szCs w:val="18"/>
                <w:b w:val="1"/>
                <w:bCs w:val="1"/>
                <w:color w:val="auto"/>
                <w:w w:val="88"/>
              </w:rPr>
              <w:t>Consolidated Statements of Income</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5420" w:type="dxa"/>
            <w:vAlign w:val="bottom"/>
            <w:gridSpan w:val="3"/>
          </w:tcPr>
          <w:p>
            <w:pPr>
              <w:jc w:val="center"/>
              <w:ind w:right="630"/>
              <w:spacing w:after="0"/>
              <w:rPr>
                <w:sz w:val="20"/>
                <w:szCs w:val="20"/>
                <w:color w:val="auto"/>
              </w:rPr>
            </w:pPr>
            <w:r>
              <w:rPr>
                <w:rFonts w:ascii="Arial" w:cs="Arial" w:eastAsia="Arial" w:hAnsi="Arial"/>
                <w:sz w:val="18"/>
                <w:szCs w:val="18"/>
                <w:b w:val="1"/>
                <w:bCs w:val="1"/>
                <w:color w:val="auto"/>
                <w:w w:val="89"/>
              </w:rPr>
              <w:t>(Millions of dollars, except share and per-share amounts)</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60" w:type="dxa"/>
            <w:vAlign w:val="bottom"/>
            <w:gridSpan w:val="5"/>
          </w:tcPr>
          <w:p>
            <w:pPr>
              <w:jc w:val="right"/>
              <w:ind w:right="245"/>
              <w:spacing w:after="0"/>
              <w:rPr>
                <w:sz w:val="20"/>
                <w:szCs w:val="20"/>
                <w:color w:val="auto"/>
              </w:rPr>
            </w:pPr>
            <w:r>
              <w:rPr>
                <w:rFonts w:ascii="Arial" w:cs="Arial" w:eastAsia="Arial" w:hAnsi="Arial"/>
                <w:sz w:val="18"/>
                <w:szCs w:val="18"/>
                <w:b w:val="1"/>
                <w:bCs w:val="1"/>
                <w:color w:val="auto"/>
              </w:rPr>
              <w:t>For Three Months Ended</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665"/>
              <w:spacing w:after="0"/>
              <w:rPr>
                <w:sz w:val="20"/>
                <w:szCs w:val="20"/>
                <w:color w:val="auto"/>
              </w:rPr>
            </w:pPr>
            <w:r>
              <w:rPr>
                <w:rFonts w:ascii="Arial" w:cs="Arial" w:eastAsia="Arial" w:hAnsi="Arial"/>
                <w:sz w:val="18"/>
                <w:szCs w:val="18"/>
                <w:b w:val="1"/>
                <w:bCs w:val="1"/>
                <w:color w:val="auto"/>
                <w:w w:val="99"/>
              </w:rPr>
              <w:t>September 30,</w:t>
            </w:r>
          </w:p>
        </w:tc>
        <w:tc>
          <w:tcPr>
            <w:tcW w:w="4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340" w:type="dxa"/>
            <w:vAlign w:val="bottom"/>
            <w:gridSpan w:val="2"/>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4340" w:type="dxa"/>
            <w:vAlign w:val="bottom"/>
            <w:tcBorders>
              <w:top w:val="single" w:sz="8" w:color="CFF0FC"/>
            </w:tcBorders>
            <w:gridSpan w:val="2"/>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4,116</w:t>
            </w:r>
          </w:p>
        </w:tc>
        <w:tc>
          <w:tcPr>
            <w:tcW w:w="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3,675</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 (COR)</w:t>
            </w:r>
          </w:p>
        </w:tc>
        <w:tc>
          <w:tcPr>
            <w:tcW w:w="41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1,460</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4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2,656</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4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375</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w w:val="97"/>
              </w:rPr>
              <w:t>Selling, general and administrative (SG&amp;A)</w:t>
            </w:r>
          </w:p>
        </w:tc>
        <w:tc>
          <w:tcPr>
            <w:tcW w:w="4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412</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Acquisition charges</w:t>
            </w:r>
          </w:p>
        </w:tc>
        <w:tc>
          <w:tcPr>
            <w:tcW w:w="4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charges/other</w:t>
            </w:r>
          </w:p>
        </w:tc>
        <w:tc>
          <w:tcPr>
            <w:tcW w:w="4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4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1,788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 (OI&amp;E)</w:t>
            </w:r>
          </w:p>
        </w:tc>
        <w:tc>
          <w:tcPr>
            <w:tcW w:w="4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debt expense</w:t>
            </w:r>
          </w:p>
        </w:tc>
        <w:tc>
          <w:tcPr>
            <w:tcW w:w="41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4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1,789</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41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41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1,285</w:t>
            </w:r>
          </w:p>
        </w:tc>
        <w:tc>
          <w:tcPr>
            <w:tcW w:w="3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1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shd w:val="clear" w:color="auto" w:fill="CFF0FC"/>
          </w:tcPr>
          <w:p>
            <w:pPr>
              <w:spacing w:after="0"/>
              <w:rPr>
                <w:sz w:val="18"/>
                <w:szCs w:val="18"/>
                <w:color w:val="auto"/>
              </w:rPr>
            </w:pPr>
          </w:p>
        </w:tc>
        <w:tc>
          <w:tcPr>
            <w:tcW w:w="4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4160" w:type="dxa"/>
            <w:vAlign w:val="bottom"/>
          </w:tcPr>
          <w:p>
            <w:pPr>
              <w:spacing w:after="0"/>
              <w:rPr>
                <w:sz w:val="19"/>
                <w:szCs w:val="19"/>
                <w:color w:val="auto"/>
              </w:rPr>
            </w:pPr>
          </w:p>
        </w:tc>
        <w:tc>
          <w:tcPr>
            <w:tcW w:w="126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380" w:type="dxa"/>
            <w:vAlign w:val="bottom"/>
          </w:tcPr>
          <w:p>
            <w:pPr>
              <w:spacing w:after="0"/>
              <w:rPr>
                <w:sz w:val="19"/>
                <w:szCs w:val="19"/>
                <w:color w:val="auto"/>
              </w:rPr>
            </w:pPr>
          </w:p>
        </w:tc>
        <w:tc>
          <w:tcPr>
            <w:tcW w:w="1100" w:type="dxa"/>
            <w:vAlign w:val="bottom"/>
            <w:gridSpan w:val="2"/>
          </w:tcPr>
          <w:p>
            <w:pPr>
              <w:jc w:val="right"/>
              <w:ind w:right="92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Average shares outstanding (millions):</w:t>
            </w:r>
          </w:p>
        </w:tc>
        <w:tc>
          <w:tcPr>
            <w:tcW w:w="4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Basic</w:t>
            </w:r>
          </w:p>
        </w:tc>
        <w:tc>
          <w:tcPr>
            <w:tcW w:w="4160" w:type="dxa"/>
            <w:vAlign w:val="bottom"/>
            <w:tcBorders>
              <w:bottom w:val="single" w:sz="8" w:color="CFF0FC"/>
            </w:tcBorders>
          </w:tcPr>
          <w:p>
            <w:pPr>
              <w:spacing w:after="0"/>
              <w:rPr>
                <w:sz w:val="23"/>
                <w:szCs w:val="23"/>
                <w:color w:val="auto"/>
              </w:rPr>
            </w:pPr>
          </w:p>
        </w:tc>
        <w:tc>
          <w:tcPr>
            <w:tcW w:w="180" w:type="dxa"/>
            <w:vAlign w:val="bottom"/>
            <w:tcBorders>
              <w:bottom w:val="single" w:sz="8" w:color="CFF0FC"/>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988</w:t>
            </w:r>
          </w:p>
        </w:tc>
        <w:tc>
          <w:tcPr>
            <w:tcW w:w="38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4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1,008</w:t>
            </w:r>
          </w:p>
        </w:tc>
        <w:tc>
          <w:tcPr>
            <w:tcW w:w="3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shd w:val="clear" w:color="auto" w:fill="CFF0FC"/>
          </w:tcPr>
          <w:p>
            <w:pPr>
              <w:spacing w:after="0"/>
              <w:rPr>
                <w:sz w:val="18"/>
                <w:szCs w:val="18"/>
                <w:color w:val="auto"/>
              </w:rPr>
            </w:pPr>
          </w:p>
        </w:tc>
        <w:tc>
          <w:tcPr>
            <w:tcW w:w="4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94"/>
              </w:rPr>
              <w:t>Cash dividends declared per common share</w:t>
            </w:r>
          </w:p>
        </w:tc>
        <w:tc>
          <w:tcPr>
            <w:tcW w:w="4160" w:type="dxa"/>
            <w:vAlign w:val="bottom"/>
          </w:tcPr>
          <w:p>
            <w:pPr>
              <w:spacing w:after="0"/>
              <w:rPr>
                <w:sz w:val="19"/>
                <w:szCs w:val="19"/>
                <w:color w:val="auto"/>
              </w:rPr>
            </w:pPr>
          </w:p>
        </w:tc>
        <w:tc>
          <w:tcPr>
            <w:tcW w:w="126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380" w:type="dxa"/>
            <w:vAlign w:val="bottom"/>
          </w:tcPr>
          <w:p>
            <w:pPr>
              <w:spacing w:after="0"/>
              <w:rPr>
                <w:sz w:val="19"/>
                <w:szCs w:val="19"/>
                <w:color w:val="auto"/>
              </w:rPr>
            </w:pPr>
          </w:p>
        </w:tc>
        <w:tc>
          <w:tcPr>
            <w:tcW w:w="1100" w:type="dxa"/>
            <w:vAlign w:val="bottom"/>
            <w:gridSpan w:val="2"/>
          </w:tcPr>
          <w:p>
            <w:pPr>
              <w:jc w:val="right"/>
              <w:ind w:right="92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Certain amounts in the prior period have been adjusted to reflect the following: (1) the fourth-quarter 2016 early adoption of ASU 2016-09 related to stock-based compensation, and (2) the first-quarter 2017 early adoption of ASU 2017-07 related to the reclassification of certain pension and other retiree benefit costs to OI&amp;E.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246620"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65785"/>
                    </a:xfrm>
                    <a:prstGeom prst="rect">
                      <a:avLst/>
                    </a:prstGeom>
                    <a:noFill/>
                  </pic:spPr>
                </pic:pic>
              </a:graphicData>
            </a:graphic>
          </wp:anchor>
        </w:drawing>
      </w:r>
    </w:p>
    <w:p>
      <w:pPr>
        <w:spacing w:after="0" w:line="18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Supplemental Information</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(Quarterly, except as noted)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 is based on the following:</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8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542</w:t>
            </w:r>
          </w:p>
        </w:tc>
        <w:tc>
          <w:tcPr>
            <w:tcW w:w="280" w:type="dxa"/>
            <w:vAlign w:val="bottom"/>
          </w:tcPr>
          <w:p>
            <w:pPr>
              <w:spacing w:after="0"/>
              <w:rPr>
                <w:sz w:val="19"/>
                <w:szCs w:val="19"/>
                <w:color w:val="auto"/>
              </w:rPr>
            </w:pPr>
          </w:p>
        </w:tc>
        <w:tc>
          <w:tcPr>
            <w:tcW w:w="80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Discrete tax items</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Provision for income taxes (effective taxes)</w:t>
            </w: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Annual operating tax rate</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Effective tax rate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a result of accounting rule ASC 260, which requires a portion of Net income to be allocated to unvested restricted stock units (RSUs) on which we pay dividend equivalents, diluted EPS is calculated using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428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Arial" w:cs="Arial" w:eastAsia="Arial" w:hAnsi="Arial"/>
                <w:sz w:val="18"/>
                <w:szCs w:val="18"/>
                <w:color w:val="auto"/>
              </w:rPr>
              <w:t>Net income</w:t>
            </w:r>
          </w:p>
        </w:tc>
        <w:tc>
          <w:tcPr>
            <w:tcW w:w="26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1,285</w:t>
            </w:r>
          </w:p>
        </w:tc>
        <w:tc>
          <w:tcPr>
            <w:tcW w:w="380" w:type="dxa"/>
            <w:vAlign w:val="bottom"/>
          </w:tcPr>
          <w:p>
            <w:pPr>
              <w:spacing w:after="0"/>
              <w:rPr>
                <w:sz w:val="20"/>
                <w:szCs w:val="20"/>
                <w:color w:val="auto"/>
              </w:rPr>
            </w:pPr>
          </w:p>
        </w:tc>
        <w:tc>
          <w:tcPr>
            <w:tcW w:w="640" w:type="dxa"/>
            <w:vAlign w:val="bottom"/>
            <w:gridSpan w:val="2"/>
          </w:tcPr>
          <w:p>
            <w:pPr>
              <w:jc w:val="right"/>
              <w:ind w:right="46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Income allocated to RSUs</w:t>
            </w:r>
          </w:p>
        </w:tc>
        <w:tc>
          <w:tcPr>
            <w:tcW w:w="2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b w:val="1"/>
                <w:bCs w:val="1"/>
                <w:color w:val="auto"/>
              </w:rPr>
              <w:t>(11)</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Income allocated to common stock for diluted EPS</w:t>
            </w:r>
          </w:p>
        </w:tc>
        <w:tc>
          <w:tcPr>
            <w:tcW w:w="20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9"/>
        </w:trPr>
        <w:tc>
          <w:tcPr>
            <w:tcW w:w="570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TI reports 3Q17 financial results and shareholder returns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 4</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20" w:type="dxa"/>
            <w:vAlign w:val="bottom"/>
            <w:gridSpan w:val="3"/>
          </w:tcPr>
          <w:p>
            <w:pPr>
              <w:jc w:val="center"/>
              <w:ind w:left="2474"/>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jc w:val="center"/>
              <w:ind w:left="3734"/>
              <w:spacing w:after="0"/>
              <w:rPr>
                <w:sz w:val="20"/>
                <w:szCs w:val="20"/>
                <w:color w:val="auto"/>
              </w:rPr>
            </w:pPr>
            <w:r>
              <w:rPr>
                <w:rFonts w:ascii="Arial" w:cs="Arial" w:eastAsia="Arial" w:hAnsi="Arial"/>
                <w:sz w:val="18"/>
                <w:szCs w:val="18"/>
                <w:b w:val="1"/>
                <w:bCs w:val="1"/>
                <w:color w:val="auto"/>
                <w:w w:val="87"/>
              </w:rPr>
              <w:t>Consolidated Balance Sheets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tcPr>
          <w:p>
            <w:pPr>
              <w:jc w:val="center"/>
              <w:ind w:left="3714"/>
              <w:spacing w:after="0"/>
              <w:rPr>
                <w:sz w:val="20"/>
                <w:szCs w:val="20"/>
                <w:color w:val="auto"/>
              </w:rPr>
            </w:pPr>
            <w:r>
              <w:rPr>
                <w:rFonts w:ascii="Arial" w:cs="Arial" w:eastAsia="Arial" w:hAnsi="Arial"/>
                <w:sz w:val="18"/>
                <w:szCs w:val="18"/>
                <w:b w:val="1"/>
                <w:bCs w:val="1"/>
                <w:color w:val="auto"/>
                <w:w w:val="89"/>
              </w:rPr>
              <w:t>(Millions of dollars, except share amounts)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7"/>
                <w:szCs w:val="17"/>
                <w:b w:val="1"/>
                <w:bCs w:val="1"/>
                <w:color w:val="auto"/>
              </w:rPr>
              <w:t>September 30,</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and cash equivalents</w:t>
            </w:r>
          </w:p>
        </w:tc>
        <w:tc>
          <w:tcPr>
            <w:tcW w:w="1240" w:type="dxa"/>
            <w:vAlign w:val="bottom"/>
            <w:gridSpan w:val="2"/>
            <w:shd w:val="clear" w:color="auto" w:fill="CFF0FC"/>
          </w:tcPr>
          <w:p>
            <w:pPr>
              <w:jc w:val="right"/>
              <w:ind w:right="842"/>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1,296</w:t>
            </w:r>
          </w:p>
        </w:tc>
        <w:tc>
          <w:tcPr>
            <w:tcW w:w="1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34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7"/>
                <w:szCs w:val="17"/>
                <w:color w:val="auto"/>
              </w:rPr>
              <w:t>Short-term investments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2,148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Accounts receivable, net of allowances of ($14) and ($14)</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1,576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Arial" w:cs="Arial" w:eastAsia="Arial" w:hAnsi="Arial"/>
                <w:sz w:val="17"/>
                <w:szCs w:val="17"/>
                <w:color w:val="auto"/>
              </w:rPr>
              <w:t>Raw materials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120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480"/>
              <w:spacing w:after="0"/>
              <w:rPr>
                <w:sz w:val="20"/>
                <w:szCs w:val="20"/>
                <w:color w:val="auto"/>
              </w:rPr>
            </w:pPr>
            <w:r>
              <w:rPr>
                <w:rFonts w:ascii="Arial" w:cs="Arial" w:eastAsia="Arial" w:hAnsi="Arial"/>
                <w:sz w:val="17"/>
                <w:szCs w:val="17"/>
                <w:color w:val="auto"/>
              </w:rPr>
              <w:t>Work in process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1,103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Finished goods</w:t>
            </w:r>
          </w:p>
        </w:tc>
        <w:tc>
          <w:tcPr>
            <w:tcW w:w="2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685</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Inventories</w:t>
            </w:r>
          </w:p>
        </w:tc>
        <w:tc>
          <w:tcPr>
            <w:tcW w:w="24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1,908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1,063</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current assets</w:t>
            </w:r>
          </w:p>
        </w:tc>
        <w:tc>
          <w:tcPr>
            <w:tcW w:w="24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7,991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7,181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gridSpan w:val="2"/>
          </w:tcPr>
          <w:p>
            <w:pPr>
              <w:spacing w:after="0"/>
              <w:rPr>
                <w:sz w:val="20"/>
                <w:szCs w:val="20"/>
                <w:color w:val="auto"/>
              </w:rPr>
            </w:pPr>
            <w:r>
              <w:rPr>
                <w:rFonts w:ascii="Arial" w:cs="Arial" w:eastAsia="Arial" w:hAnsi="Arial"/>
                <w:sz w:val="17"/>
                <w:szCs w:val="17"/>
                <w:color w:val="auto"/>
              </w:rPr>
              <w:t>Property, plant and equipment at cost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4,668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Accumulated depreciation</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(2,101)</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(2,437)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Property, plant and equipment, net</w:t>
            </w:r>
          </w:p>
        </w:tc>
        <w:tc>
          <w:tcPr>
            <w:tcW w:w="24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2,567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2,545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Long-term investments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258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Goodwill, net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4,362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Acquisition-related intangibles, net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1,025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Deferred income taxes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414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Capitalized software licenses, net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Overfunded retirement plans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112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Other assets</w:t>
            </w:r>
          </w:p>
        </w:tc>
        <w:tc>
          <w:tcPr>
            <w:tcW w:w="24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89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240" w:type="dxa"/>
            <w:vAlign w:val="bottom"/>
          </w:tcPr>
          <w:p>
            <w:pPr>
              <w:spacing w:after="0"/>
              <w:rPr>
                <w:sz w:val="18"/>
                <w:szCs w:val="18"/>
                <w:color w:val="auto"/>
              </w:rPr>
            </w:pPr>
          </w:p>
        </w:tc>
        <w:tc>
          <w:tcPr>
            <w:tcW w:w="1000" w:type="dxa"/>
            <w:vAlign w:val="bottom"/>
            <w:tcBorders>
              <w:bottom w:val="single" w:sz="8" w:color="auto"/>
            </w:tcBorders>
          </w:tcPr>
          <w:p>
            <w:pPr>
              <w:jc w:val="right"/>
              <w:ind w:right="842"/>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16,929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Current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Current portion of long-term debt</w:t>
            </w:r>
          </w:p>
        </w:tc>
        <w:tc>
          <w:tcPr>
            <w:tcW w:w="1240" w:type="dxa"/>
            <w:vAlign w:val="bottom"/>
            <w:gridSpan w:val="2"/>
            <w:shd w:val="clear" w:color="auto" w:fill="CFF0FC"/>
          </w:tcPr>
          <w:p>
            <w:pPr>
              <w:jc w:val="right"/>
              <w:ind w:right="842"/>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499</w:t>
            </w:r>
          </w:p>
        </w:tc>
        <w:tc>
          <w:tcPr>
            <w:tcW w:w="1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34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7"/>
                <w:szCs w:val="17"/>
                <w:color w:val="auto"/>
              </w:rPr>
              <w:t>Accounts payable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430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Accrued compensation</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635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7"/>
                <w:szCs w:val="17"/>
                <w:color w:val="auto"/>
              </w:rPr>
              <w:t>Income taxes payable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Accrued expenses and other liabilities</w:t>
            </w:r>
          </w:p>
        </w:tc>
        <w:tc>
          <w:tcPr>
            <w:tcW w:w="24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417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2,055</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Long-term debt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3,084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Underfunded retirement plans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108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taxes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Deferred credits and other liabilities</w:t>
            </w:r>
          </w:p>
        </w:tc>
        <w:tc>
          <w:tcPr>
            <w:tcW w:w="2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656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Total liabilities</w:t>
            </w:r>
          </w:p>
        </w:tc>
        <w:tc>
          <w:tcPr>
            <w:tcW w:w="24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5,941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0" w:type="dxa"/>
            <w:vAlign w:val="bottom"/>
            <w:gridSpan w:val="2"/>
          </w:tcPr>
          <w:p>
            <w:pPr>
              <w:spacing w:after="0"/>
              <w:rPr>
                <w:sz w:val="20"/>
                <w:szCs w:val="20"/>
                <w:color w:val="auto"/>
              </w:rPr>
            </w:pPr>
            <w:r>
              <w:rPr>
                <w:rFonts w:ascii="Arial" w:cs="Arial" w:eastAsia="Arial" w:hAnsi="Arial"/>
                <w:sz w:val="17"/>
                <w:szCs w:val="17"/>
                <w:color w:val="auto"/>
              </w:rPr>
              <w:t>Stockholders’ equity:</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Preferred stock, $25 par value. Authorized – 10,000,000 shares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Arial" w:cs="Arial" w:eastAsia="Arial" w:hAnsi="Arial"/>
                <w:sz w:val="17"/>
                <w:szCs w:val="17"/>
                <w:color w:val="auto"/>
              </w:rPr>
              <w:t>Participating cumulative preferred – None issued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Common stock, $1 par value. Authorized – 2,400,000,000 shares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Arial" w:cs="Arial" w:eastAsia="Arial" w:hAnsi="Arial"/>
                <w:sz w:val="17"/>
                <w:szCs w:val="17"/>
                <w:color w:val="auto"/>
              </w:rPr>
              <w:t>Shares issued – 1,740,815,939</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1,741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Paid-in capital</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1,718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7"/>
                <w:szCs w:val="17"/>
                <w:color w:val="auto"/>
              </w:rPr>
              <w:t>Retained earnings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34,935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Treasury common stock at cost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Arial" w:cs="Arial" w:eastAsia="Arial" w:hAnsi="Arial"/>
                <w:sz w:val="17"/>
                <w:szCs w:val="17"/>
                <w:color w:val="auto"/>
              </w:rPr>
              <w:t>Shares: September 30, 2017 – 754,459,144; September 30, 2016 – 739,693,480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w w:val="97"/>
              </w:rPr>
              <w:t>(26,901)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(25,102)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Accumulated other comprehensive income (loss), net of taxes (AOCI)</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(505)</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Total stockholders’ equity</w:t>
            </w:r>
          </w:p>
        </w:tc>
        <w:tc>
          <w:tcPr>
            <w:tcW w:w="24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10,988</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10,286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liabilities and stockholders’ equity</w:t>
            </w:r>
          </w:p>
        </w:tc>
        <w:tc>
          <w:tcPr>
            <w:tcW w:w="2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842"/>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16,929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16,216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 have been recast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TI reports 3Q17 financial results and shareholder returns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 5</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60" w:type="dxa"/>
            <w:vAlign w:val="bottom"/>
            <w:gridSpan w:val="3"/>
          </w:tcPr>
          <w:p>
            <w:pPr>
              <w:jc w:val="center"/>
              <w:ind w:left="243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jc w:val="center"/>
              <w:ind w:left="377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20" w:type="dxa"/>
            <w:vAlign w:val="bottom"/>
          </w:tcPr>
          <w:p>
            <w:pPr>
              <w:jc w:val="center"/>
              <w:ind w:left="3790"/>
              <w:spacing w:after="0"/>
              <w:rPr>
                <w:sz w:val="20"/>
                <w:szCs w:val="20"/>
                <w:color w:val="auto"/>
              </w:rPr>
            </w:pPr>
            <w:r>
              <w:rPr>
                <w:rFonts w:ascii="Arial" w:cs="Arial" w:eastAsia="Arial" w:hAnsi="Arial"/>
                <w:sz w:val="18"/>
                <w:szCs w:val="18"/>
                <w:b w:val="1"/>
                <w:bCs w:val="1"/>
                <w:color w:val="auto"/>
                <w:w w:val="92"/>
              </w:rPr>
              <w:t>(Millions of dollars)</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5"/>
          </w:tcPr>
          <w:p>
            <w:pPr>
              <w:jc w:val="right"/>
              <w:ind w:right="165"/>
              <w:spacing w:after="0"/>
              <w:rPr>
                <w:sz w:val="20"/>
                <w:szCs w:val="20"/>
                <w:color w:val="auto"/>
              </w:rPr>
            </w:pPr>
            <w:r>
              <w:rPr>
                <w:rFonts w:ascii="Arial" w:cs="Arial" w:eastAsia="Arial" w:hAnsi="Arial"/>
                <w:sz w:val="18"/>
                <w:szCs w:val="18"/>
                <w:b w:val="1"/>
                <w:bCs w:val="1"/>
                <w:color w:val="auto"/>
              </w:rPr>
              <w:t>For Three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605"/>
              <w:spacing w:after="0"/>
              <w:rPr>
                <w:sz w:val="20"/>
                <w:szCs w:val="20"/>
                <w:color w:val="auto"/>
              </w:rPr>
            </w:pPr>
            <w:r>
              <w:rPr>
                <w:rFonts w:ascii="Arial" w:cs="Arial" w:eastAsia="Arial" w:hAnsi="Arial"/>
                <w:sz w:val="18"/>
                <w:szCs w:val="18"/>
                <w:b w:val="1"/>
                <w:bCs w:val="1"/>
                <w:color w:val="auto"/>
                <w:w w:val="99"/>
              </w:rPr>
              <w:t>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1,285</w:t>
            </w:r>
          </w:p>
        </w:tc>
        <w:tc>
          <w:tcPr>
            <w:tcW w:w="180" w:type="dxa"/>
            <w:vAlign w:val="bottom"/>
          </w:tcPr>
          <w:p>
            <w:pPr>
              <w:spacing w:after="0"/>
              <w:rPr>
                <w:sz w:val="19"/>
                <w:szCs w:val="19"/>
                <w:color w:val="auto"/>
              </w:rPr>
            </w:pPr>
          </w:p>
        </w:tc>
        <w:tc>
          <w:tcPr>
            <w:tcW w:w="1200" w:type="dxa"/>
            <w:vAlign w:val="bottom"/>
            <w:gridSpan w:val="2"/>
          </w:tcPr>
          <w:p>
            <w:pPr>
              <w:jc w:val="right"/>
              <w:ind w:right="92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Net income: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of acquisition-related intangibles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Amortization of capitalized software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 compensation</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(decrease) from changes in:</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Changes in funded status of retirement plans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(186)</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short-term investments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(1,218)</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Proceeds from short-term investments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repurchases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Proceeds from common stock transactions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(1,078)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1,296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 have been recast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TI reports 3Q17 financial results and shareholder returns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ind w:left="640"/>
              <w:spacing w:after="0"/>
              <w:rPr>
                <w:sz w:val="20"/>
                <w:szCs w:val="20"/>
                <w:color w:val="auto"/>
              </w:rPr>
            </w:pPr>
            <w:r>
              <w:rPr>
                <w:rFonts w:ascii="Arial" w:cs="Arial" w:eastAsia="Arial" w:hAnsi="Arial"/>
                <w:sz w:val="18"/>
                <w:szCs w:val="18"/>
                <w:b w:val="1"/>
                <w:bCs w:val="1"/>
                <w:color w:val="auto"/>
                <w:w w:val="82"/>
              </w:rPr>
              <w:t>Page 6</w:t>
            </w:r>
          </w:p>
        </w:tc>
      </w:tr>
      <w:tr>
        <w:trPr>
          <w:trHeight w:val="419"/>
        </w:trPr>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Segment results</w:t>
            </w:r>
          </w:p>
        </w:tc>
        <w:tc>
          <w:tcPr>
            <w:tcW w:w="4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5"/>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6"/>
        </w:trPr>
        <w:tc>
          <w:tcPr>
            <w:tcW w:w="12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3Q17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3Q16</w:t>
            </w:r>
          </w:p>
        </w:tc>
        <w:tc>
          <w:tcPr>
            <w:tcW w:w="2360" w:type="dxa"/>
            <w:vAlign w:val="bottom"/>
            <w:gridSpan w:val="3"/>
          </w:tcPr>
          <w:p>
            <w:pPr>
              <w:ind w:left="240"/>
              <w:spacing w:after="0"/>
              <w:rPr>
                <w:sz w:val="20"/>
                <w:szCs w:val="20"/>
                <w:color w:val="auto"/>
              </w:rPr>
            </w:pPr>
            <w:r>
              <w:rPr>
                <w:rFonts w:ascii="Arial" w:cs="Arial" w:eastAsia="Arial" w:hAnsi="Arial"/>
                <w:sz w:val="18"/>
                <w:szCs w:val="18"/>
                <w:color w:val="auto"/>
              </w:rPr>
              <w:t>Change</w:t>
            </w:r>
          </w:p>
        </w:tc>
      </w:tr>
      <w:tr>
        <w:trPr>
          <w:trHeight w:val="223"/>
        </w:trPr>
        <w:tc>
          <w:tcPr>
            <w:tcW w:w="1220" w:type="dxa"/>
            <w:vAlign w:val="bottom"/>
            <w:tcBorders>
              <w:right w:val="single" w:sz="8" w:color="CFF0FC"/>
            </w:tcBorders>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Analog:</w:t>
            </w:r>
          </w:p>
        </w:tc>
        <w:tc>
          <w:tcPr>
            <w:tcW w:w="10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Revenue</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2,698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2,323</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profit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Embedded Processing:</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Revenue</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Operating profit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325</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Revenue</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557</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profit*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114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Power, Signal Chain and High Volume)</w:t>
      </w:r>
    </w:p>
    <w:p>
      <w:pPr>
        <w:spacing w:after="0" w:line="121"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increased due to Power and Signal Chain. High Volume was about even.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increased primarily due to higher revenue and associated gross profit.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Connected Microcontrollers and Processors)</w:t>
      </w:r>
    </w:p>
    <w:p>
      <w:pPr>
        <w:spacing w:after="0" w:line="121"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increased in Processors and Connected Microcontrollers.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increased primarily due to higher revenue and associated gross profit.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calculators and custom ASIC products)</w:t>
      </w:r>
    </w:p>
    <w:p>
      <w:pPr>
        <w:spacing w:after="0" w:line="121"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decreased by $70 million, and operating profit declined by $32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tabs>
          <w:tab w:leader="none" w:pos="10900" w:val="left"/>
        </w:tabs>
        <w:rPr>
          <w:sz w:val="20"/>
          <w:szCs w:val="20"/>
          <w:color w:val="auto"/>
        </w:rPr>
      </w:pPr>
      <w:r>
        <w:rPr>
          <w:rFonts w:ascii="Arial" w:cs="Arial" w:eastAsia="Arial" w:hAnsi="Arial"/>
          <w:sz w:val="18"/>
          <w:szCs w:val="18"/>
          <w:b w:val="1"/>
          <w:bCs w:val="1"/>
          <w:color w:val="auto"/>
        </w:rPr>
        <w:t>TI reports 3Q17 financial results and shareholder returns</w:t>
      </w:r>
      <w:r>
        <w:rPr>
          <w:sz w:val="20"/>
          <w:szCs w:val="20"/>
          <w:color w:val="auto"/>
        </w:rPr>
        <w:tab/>
      </w:r>
      <w:r>
        <w:rPr>
          <w:rFonts w:ascii="Arial" w:cs="Arial" w:eastAsia="Arial" w:hAnsi="Arial"/>
          <w:sz w:val="15"/>
          <w:szCs w:val="15"/>
          <w:b w:val="1"/>
          <w:bCs w:val="1"/>
          <w:color w:val="auto"/>
        </w:rPr>
        <w:t>Page 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company believes that free cash flow and the associated ratios provide insight into its liquidity, its cash-generating capability and the amount of cash potentially available to return to shareholders, as well as insight into its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For 12 Months Ended</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2016</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(GAAP)</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4,821</w:t>
            </w:r>
          </w:p>
        </w:tc>
        <w:tc>
          <w:tcPr>
            <w:tcW w:w="3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4,673</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(574)</w:t>
            </w:r>
          </w:p>
        </w:tc>
        <w:tc>
          <w:tcPr>
            <w:tcW w:w="4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(585)</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Free cash flow (non-GAAP)</w:t>
            </w: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4,247</w:t>
            </w:r>
          </w:p>
        </w:tc>
        <w:tc>
          <w:tcPr>
            <w:tcW w:w="360" w:type="dxa"/>
            <w:vAlign w:val="bottom"/>
            <w:tcBorders>
              <w:top w:val="single" w:sz="8" w:color="CFF0FC"/>
              <w:bottom w:val="single" w:sz="8" w:color="CFF0FC"/>
            </w:tcBorders>
            <w:shd w:val="clear" w:color="auto" w:fill="CFF0FC"/>
          </w:tcPr>
          <w:p>
            <w:pPr>
              <w:spacing w:after="0"/>
              <w:rPr>
                <w:sz w:val="22"/>
                <w:szCs w:val="22"/>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4,088</w:t>
            </w:r>
          </w:p>
        </w:tc>
        <w:tc>
          <w:tcPr>
            <w:tcW w:w="340" w:type="dxa"/>
            <w:vAlign w:val="bottom"/>
            <w:tcBorders>
              <w:top w:val="single" w:sz="8" w:color="CFF0FC"/>
              <w:bottom w:val="single" w:sz="8" w:color="CFF0FC"/>
            </w:tcBorders>
            <w:shd w:val="clear" w:color="auto" w:fill="CFF0FC"/>
          </w:tcPr>
          <w:p>
            <w:pPr>
              <w:spacing w:after="0"/>
              <w:rPr>
                <w:sz w:val="22"/>
                <w:szCs w:val="22"/>
                <w:color w:val="auto"/>
              </w:rPr>
            </w:pPr>
          </w:p>
        </w:tc>
        <w:tc>
          <w:tcPr>
            <w:tcW w:w="15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14,625</w:t>
            </w:r>
          </w:p>
        </w:tc>
        <w:tc>
          <w:tcPr>
            <w:tcW w:w="36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13,145</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as a percent of revenue (GAAP)</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33.0%</w:t>
            </w:r>
          </w:p>
        </w:tc>
        <w:tc>
          <w:tcPr>
            <w:tcW w:w="4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35.5%</w:t>
            </w: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2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29.0%</w:t>
            </w:r>
          </w:p>
        </w:tc>
        <w:tc>
          <w:tcPr>
            <w:tcW w:w="4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31.1%</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This release also includes references to an annual operating tax rate, a non-GAAP term the company uses to describe the estimated annual effective tax rate, a GAAP measure that by definition does not include discrete tax items. The company believes the term annual operating tax rate is useful because it more clearly communicates that discrete tax items are excluded from such rate. The term also helps differentiate from the effective tax rate, which includes discrete tax items. No adjustments are made to the estimated annual effective tax rate when using the term annual operating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tabs>
          <w:tab w:leader="none" w:pos="10900" w:val="left"/>
        </w:tabs>
        <w:rPr>
          <w:sz w:val="20"/>
          <w:szCs w:val="20"/>
          <w:color w:val="auto"/>
        </w:rPr>
      </w:pPr>
      <w:r>
        <w:rPr>
          <w:rFonts w:ascii="Arial" w:cs="Arial" w:eastAsia="Arial" w:hAnsi="Arial"/>
          <w:sz w:val="18"/>
          <w:szCs w:val="18"/>
          <w:b w:val="1"/>
          <w:bCs w:val="1"/>
          <w:color w:val="auto"/>
        </w:rPr>
        <w:t>TI reports 3Q17 financial results and shareholder returns</w:t>
      </w:r>
      <w:r>
        <w:rPr>
          <w:sz w:val="20"/>
          <w:szCs w:val="20"/>
          <w:color w:val="auto"/>
        </w:rPr>
        <w:tab/>
      </w:r>
      <w:r>
        <w:rPr>
          <w:rFonts w:ascii="Arial" w:cs="Arial" w:eastAsia="Arial" w:hAnsi="Arial"/>
          <w:sz w:val="15"/>
          <w:szCs w:val="15"/>
          <w:b w:val="1"/>
          <w:bCs w:val="1"/>
          <w:color w:val="auto"/>
        </w:rPr>
        <w:t>Page 8</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0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62"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TI’s end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TI inventory that results from demand that differs from projections;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73"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TI, our customers or our suppliers operate;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Breaches or disruptions of TI’s information technology systems or those of our customers or suppliers;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or the ability to obtain needed third-party foundry and assembly/test subcontract services;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40" w:lineRule="exact"/>
        <w:rPr>
          <w:rFonts w:ascii="Arial" w:cs="Arial" w:eastAsia="Arial" w:hAnsi="Arial"/>
          <w:sz w:val="16"/>
          <w:szCs w:val="16"/>
          <w:color w:val="auto"/>
        </w:rPr>
      </w:pPr>
    </w:p>
    <w:p>
      <w:pPr>
        <w:ind w:left="1040" w:right="18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TI is or may become subject, or actions of enforcement authorities, that restrict TI’s ability to manufacture or ship our products or operate our business, or subject TI to fines, penalties, or other legal liability;</w:t>
      </w:r>
    </w:p>
    <w:p>
      <w:pPr>
        <w:spacing w:after="0" w:line="73"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TI products, manufacturing, services, design or communications, or recalls by TI customers for a product containing a TI part;</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adverse resolution of tax audits, increases in tariff rates, and the ability to realize deferred tax assets;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117"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difficulties of distributors or their promotion of competing product lines to TI’s detriment, or the loss of a significant number of distributors;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40" w:lineRule="exact"/>
        <w:rPr>
          <w:rFonts w:ascii="Arial" w:cs="Arial" w:eastAsia="Arial" w:hAnsi="Arial"/>
          <w:sz w:val="16"/>
          <w:szCs w:val="16"/>
          <w:color w:val="auto"/>
        </w:rPr>
      </w:pPr>
    </w:p>
    <w:p>
      <w:pPr>
        <w:ind w:left="1040" w:right="26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our ability to utilize our manufacturing facilities at sufficient levels to cover our fixed operating costs, in an intensely competitive and cyclical industry;</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maintain freedom of operation; or TI’s exposure to infringement claims;</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TI’s ability to fund our daily operations, invest in the business, make strategic acquisitions, or make principal and interest payments on our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tabs>
          <w:tab w:leader="none" w:pos="10900" w:val="left"/>
        </w:tabs>
        <w:rPr>
          <w:sz w:val="20"/>
          <w:szCs w:val="20"/>
          <w:color w:val="auto"/>
        </w:rPr>
      </w:pPr>
      <w:r>
        <w:rPr>
          <w:rFonts w:ascii="Arial" w:cs="Arial" w:eastAsia="Arial" w:hAnsi="Arial"/>
          <w:sz w:val="18"/>
          <w:szCs w:val="18"/>
          <w:b w:val="1"/>
          <w:bCs w:val="1"/>
          <w:color w:val="auto"/>
        </w:rPr>
        <w:t>TI reports 3Q17 financial results and shareholder returns</w:t>
      </w:r>
      <w:r>
        <w:rPr>
          <w:sz w:val="20"/>
          <w:szCs w:val="20"/>
          <w:color w:val="auto"/>
        </w:rPr>
        <w:tab/>
      </w:r>
      <w:r>
        <w:rPr>
          <w:rFonts w:ascii="Arial" w:cs="Arial" w:eastAsia="Arial" w:hAnsi="Arial"/>
          <w:sz w:val="15"/>
          <w:szCs w:val="15"/>
          <w:b w:val="1"/>
          <w:bCs w:val="1"/>
          <w:color w:val="auto"/>
        </w:rPr>
        <w:t>Page 9</w:t>
      </w:r>
    </w:p>
    <w:p>
      <w:pPr>
        <w:spacing w:after="0" w:line="364"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recruit and retain skilled engineering, management and technical personnel;</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or our ability to realize our expectations regarding the amount and timing of restructuring charges and associated cost savings;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Impairments of TI’s non-financial assets.</w:t>
      </w:r>
    </w:p>
    <w:p>
      <w:pPr>
        <w:spacing w:after="0" w:line="25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Texas Instruments Incorporated (TI) is a global semiconductor design and manufacturing company that develops analog ICs and embedded processors. By employing the world’s brightest minds, TI creates innovations that shape the future of technology. TI is helping approximately 100,000 customers transform the future, today. Learn more at </w:t>
      </w:r>
      <w:r>
        <w:rPr>
          <w:rFonts w:ascii="Arial" w:cs="Arial" w:eastAsia="Arial" w:hAnsi="Arial"/>
          <w:sz w:val="18"/>
          <w:szCs w:val="18"/>
          <w:u w:val="single" w:color="auto"/>
          <w:color w:val="auto"/>
        </w:rPr>
        <w:t>www.ti.com</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99"/>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2019-12-29T04:28:49Z</dcterms:created>
  <dcterms:modified xsi:type="dcterms:W3CDTF">2019-12-29T04:28:49Z</dcterms:modified>
</cp:coreProperties>
</file>