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pacing w:after="0" w:line="203"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180"/>
        <w:spacing w:after="0" w:line="238" w:lineRule="auto"/>
        <w:rPr>
          <w:sz w:val="20"/>
          <w:szCs w:val="20"/>
          <w:color w:val="auto"/>
        </w:rPr>
      </w:pP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sz w:val="20"/>
          <w:szCs w:val="20"/>
          <w:color w:val="auto"/>
        </w:rPr>
      </w:pPr>
    </w:p>
    <w:p>
      <w:pPr>
        <w:ind w:left="1900" w:right="6519" w:hanging="417"/>
        <w:spacing w:after="0" w:line="470"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20,334,260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619" w:hanging="427"/>
        <w:spacing w:after="0" w:line="470"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20,334,260 Beneficial ownership disclaimed pursuant to Rule 13d-4</w:t>
      </w:r>
    </w:p>
    <w:p>
      <w:pPr>
        <w:spacing w:after="0" w:line="214"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919"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8505 Forest Lane</w:t>
      </w:r>
    </w:p>
    <w:p>
      <w:pPr>
        <w:ind w:left="740"/>
        <w:spacing w:after="0"/>
        <w:rPr>
          <w:sz w:val="20"/>
          <w:szCs w:val="20"/>
          <w:color w:val="auto"/>
        </w:rPr>
      </w:pPr>
      <w:r>
        <w:rPr>
          <w:rFonts w:ascii="Courier New" w:cs="Courier New" w:eastAsia="Courier New" w:hAnsi="Courier New"/>
          <w:sz w:val="18"/>
          <w:szCs w:val="18"/>
          <w:color w:val="auto"/>
        </w:rPr>
        <w:t>P.O. Box 660199</w:t>
      </w:r>
    </w:p>
    <w:p>
      <w:pPr>
        <w:ind w:left="740"/>
        <w:spacing w:after="0" w:line="237" w:lineRule="auto"/>
        <w:rPr>
          <w:sz w:val="20"/>
          <w:szCs w:val="20"/>
          <w:color w:val="auto"/>
        </w:rPr>
      </w:pPr>
      <w:r>
        <w:rPr>
          <w:rFonts w:ascii="Courier New" w:cs="Courier New" w:eastAsia="Courier New" w:hAnsi="Courier New"/>
          <w:sz w:val="18"/>
          <w:szCs w:val="18"/>
          <w:color w:val="auto"/>
        </w:rPr>
        <w:t>Dallas, TX 75266</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7" w:lineRule="exact"/>
        <w:rPr>
          <w:sz w:val="20"/>
          <w:szCs w:val="20"/>
          <w:color w:val="auto"/>
        </w:rPr>
      </w:pPr>
    </w:p>
    <w:p>
      <w:pPr>
        <w:ind w:left="1280" w:right="2839" w:hanging="535"/>
        <w:spacing w:after="0" w:line="235" w:lineRule="auto"/>
        <w:tabs>
          <w:tab w:leader="none" w:pos="149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Capital Research and Management Company, an investment adviser registered under Section 203 of the Investment Advisers Act of 1940 is deemed to be the beneficial owner of 20,334,260 shares or 5.2% of the 389,906,000 shares of Common Stock believed to be outstanding as a result of acting as investment adviser to various investment companies registered under Section 8 of the Investment Company Act of 1940.</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N/A</w:t>
      </w:r>
    </w:p>
    <w:p>
      <w:pPr>
        <w:spacing w:after="0" w:line="203"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right="5059"/>
        <w:spacing w:after="0" w:line="470" w:lineRule="auto"/>
        <w:rPr>
          <w:sz w:val="20"/>
          <w:szCs w:val="20"/>
          <w:color w:val="auto"/>
        </w:rPr>
      </w:pPr>
      <w:r>
        <w:rPr>
          <w:rFonts w:ascii="Courier New" w:cs="Courier New" w:eastAsia="Courier New" w:hAnsi="Courier New"/>
          <w:sz w:val="18"/>
          <w:szCs w:val="18"/>
          <w:color w:val="auto"/>
        </w:rPr>
        <w:t>Item 9 Notice of Dissolution of the Group: N/A Item 10 Certification</w:t>
      </w:r>
    </w:p>
    <w:p>
      <w:pPr>
        <w:sectPr>
          <w:pgSz w:w="11900" w:h="16838" w:orient="portrait"/>
          <w:cols w:equalWidth="0" w:num="1">
            <w:col w:w="10219"/>
          </w:cols>
          <w:pgMar w:left="240" w:top="717" w:right="1440" w:bottom="1440" w:gutter="0" w:footer="0" w:header="0"/>
        </w:sectPr>
      </w:pPr>
    </w:p>
    <w:bookmarkStart w:id="4" w:name="page5"/>
    <w:bookmarkEnd w:id="4"/>
    <w:p>
      <w:pPr>
        <w:spacing w:after="0" w:line="470" w:lineRule="auto"/>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420" w:right="2619"/>
        <w:spacing w:after="0" w:line="237" w:lineRule="auto"/>
        <w:rPr>
          <w:sz w:val="20"/>
          <w:szCs w:val="20"/>
          <w:color w:val="auto"/>
        </w:rPr>
      </w:pPr>
      <w:r>
        <w:rPr>
          <w:rFonts w:ascii="Courier New" w:cs="Courier New" w:eastAsia="Courier New" w:hAnsi="Courier New"/>
          <w:sz w:val="18"/>
          <w:szCs w:val="18"/>
          <w:color w:val="auto"/>
        </w:rPr>
        <w:t>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42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9899"/>
          </w:cols>
          <w:pgMar w:left="560" w:top="5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8, 1999 (For the period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1998)</w:t>
      </w:r>
    </w:p>
    <w:p>
      <w:pPr>
        <w:spacing w:after="0" w:line="200" w:lineRule="exact"/>
        <w:rPr>
          <w:sz w:val="20"/>
          <w:szCs w:val="20"/>
          <w:color w:val="auto"/>
        </w:rPr>
      </w:pPr>
    </w:p>
    <w:p>
      <w:pPr>
        <w:sectPr>
          <w:pgSz w:w="11900" w:h="16838" w:orient="portrait"/>
          <w:cols w:equalWidth="0" w:num="2">
            <w:col w:w="1400" w:space="720"/>
            <w:col w:w="7779"/>
          </w:cols>
          <w:pgMar w:left="560" w:top="520" w:right="1440" w:bottom="1440" w:gutter="0" w:footer="0" w:header="0"/>
          <w:type w:val="continuous"/>
        </w:sectPr>
      </w:pPr>
    </w:p>
    <w:p>
      <w:pPr>
        <w:spacing w:after="0" w:line="204"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ind w:left="21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James P. Ryan</w:t>
      </w:r>
    </w:p>
    <w:p>
      <w:pPr>
        <w:ind w:left="126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2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29, 1999 included as an Exhibit to Schedule 13G filed with the Securities and Exchange Commission by Capital Research and Management Company on February 8, 1999 with respect to ABR Information Services, Inc.</w:t>
      </w:r>
    </w:p>
    <w:sectPr>
      <w:pgSz w:w="11900" w:h="16838" w:orient="portrait"/>
      <w:cols w:equalWidth="0" w:num="1">
        <w:col w:w="9899"/>
      </w:cols>
      <w:pgMar w:left="560" w:top="52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5"/>
      <w:numFmt w:val="bullet"/>
      <w:start w:val="1"/>
    </w:lvl>
  </w:abstractNum>
  <w:abstractNum w:abstractNumId="4">
    <w:nsid w:val="2EB141F2"/>
    <w:multiLevelType w:val="hybridMultilevel"/>
    <w:lvl w:ilvl="0">
      <w:lvlJc w:val="left"/>
      <w:lvlText w:val="8"/>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decimal"/>
      <w:start w:val="10"/>
    </w:lvl>
  </w:abstractNum>
  <w:abstractNum w:abstractNumId="7">
    <w:nsid w:val="7545E146"/>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2020-02-22T02:29:11Z</dcterms:created>
  <dcterms:modified xsi:type="dcterms:W3CDTF">2020-02-22T02:29:11Z</dcterms:modified>
</cp:coreProperties>
</file>