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472"/>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(RULE 13D-102)</w:t>
      </w:r>
    </w:p>
    <w:p>
      <w:pPr>
        <w:spacing w:after="0" w:line="207"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INFORMATION TO BE INCLUDED IN STATEMENTS FILED PURSUANT TO RULE 13D-1(B), (C)</w:t>
      </w:r>
    </w:p>
    <w:p>
      <w:pPr>
        <w:spacing w:after="0" w:line="16" w:lineRule="exact"/>
        <w:rPr>
          <w:sz w:val="24"/>
          <w:szCs w:val="24"/>
          <w:color w:val="auto"/>
        </w:rPr>
      </w:pPr>
    </w:p>
    <w:p>
      <w:pPr>
        <w:ind w:left="1052"/>
        <w:spacing w:after="0"/>
        <w:rPr>
          <w:sz w:val="20"/>
          <w:szCs w:val="20"/>
          <w:color w:val="auto"/>
        </w:rPr>
      </w:pPr>
      <w:r>
        <w:rPr>
          <w:rFonts w:ascii="Courier New" w:cs="Courier New" w:eastAsia="Courier New" w:hAnsi="Courier New"/>
          <w:sz w:val="18"/>
          <w:szCs w:val="18"/>
          <w:color w:val="auto"/>
        </w:rPr>
        <w:t>AND (D) AND AMENDMENTS THERETO FILED PURSUANT TO RULE 13D-2.</w:t>
      </w:r>
    </w:p>
    <w:p>
      <w:pPr>
        <w:spacing w:after="0" w:line="201"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67"/>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SCHEDULE 13G/A</w:t>
      </w:r>
    </w:p>
    <w:p>
      <w:pPr>
        <w:spacing w:after="0" w:line="201"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667"/>
        <w:spacing w:after="0" w:line="238" w:lineRule="auto"/>
        <w:rPr>
          <w:sz w:val="20"/>
          <w:szCs w:val="20"/>
          <w:color w:val="auto"/>
        </w:rPr>
      </w:pPr>
      <w:r>
        <w:rPr>
          <w:rFonts w:ascii="Courier New" w:cs="Courier New" w:eastAsia="Courier New" w:hAnsi="Courier New"/>
          <w:sz w:val="18"/>
          <w:szCs w:val="18"/>
          <w:color w:val="auto"/>
        </w:rPr>
        <w:t>(AMENDMENT NO. 3)</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MICRON TECHNOLOGY, INC.</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372"/>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COMMON STOCK, PAR VALUE $.10 PER SHARE</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2632"/>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595112103</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472"/>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667"/>
        <w:spacing w:after="0"/>
        <w:rPr>
          <w:sz w:val="20"/>
          <w:szCs w:val="20"/>
          <w:color w:val="auto"/>
        </w:rPr>
      </w:pPr>
      <w:r>
        <w:rPr>
          <w:rFonts w:ascii="Courier New" w:cs="Courier New" w:eastAsia="Courier New" w:hAnsi="Courier New"/>
          <w:sz w:val="18"/>
          <w:szCs w:val="18"/>
          <w:color w:val="auto"/>
        </w:rPr>
        <w:t>DECEMBER 31, 2002</w:t>
      </w:r>
    </w:p>
    <w:p>
      <w:pPr>
        <w:spacing w:after="0" w:line="4" w:lineRule="exact"/>
        <w:rPr>
          <w:sz w:val="24"/>
          <w:szCs w:val="24"/>
          <w:color w:val="auto"/>
        </w:rPr>
      </w:pPr>
    </w:p>
    <w:p>
      <w:pPr>
        <w:ind w:left="212"/>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1372"/>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jc w:val="center"/>
        <w:ind w:right="1767"/>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jc w:val="center"/>
        <w:ind w:right="1767"/>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3152"/>
        <w:spacing w:after="0"/>
        <w:tabs>
          <w:tab w:leader="none" w:pos="3872"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ind w:left="3892" w:hanging="732"/>
        <w:spacing w:after="0"/>
        <w:tabs>
          <w:tab w:leader="none" w:pos="3892" w:val="left"/>
        </w:tabs>
        <w:numPr>
          <w:ilvl w:val="2"/>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 13D-1(C)</w:t>
      </w:r>
    </w:p>
    <w:p>
      <w:pPr>
        <w:spacing w:after="0" w:line="201" w:lineRule="exact"/>
        <w:rPr>
          <w:rFonts w:ascii="Courier New" w:cs="Courier New" w:eastAsia="Courier New" w:hAnsi="Courier New"/>
          <w:sz w:val="18"/>
          <w:szCs w:val="18"/>
          <w:color w:val="auto"/>
        </w:rPr>
      </w:pPr>
    </w:p>
    <w:p>
      <w:pPr>
        <w:ind w:left="3152"/>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w:t>
      </w:r>
      <w:r>
        <w:rPr>
          <w:rFonts w:ascii="Courier New" w:cs="Courier New" w:eastAsia="Courier New" w:hAnsi="Courier New"/>
          <w:sz w:val="16"/>
          <w:szCs w:val="16"/>
          <w:color w:val="auto"/>
        </w:rPr>
        <w:t>RULE 13D-1(D)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395" w:lineRule="exact"/>
        <w:rPr>
          <w:rFonts w:ascii="Courier New" w:cs="Courier New" w:eastAsia="Courier New" w:hAnsi="Courier New"/>
          <w:sz w:val="18"/>
          <w:szCs w:val="18"/>
          <w:color w:val="auto"/>
        </w:rPr>
      </w:pPr>
    </w:p>
    <w:p>
      <w:pPr>
        <w:ind w:left="212" w:hanging="212"/>
        <w:spacing w:after="0"/>
        <w:tabs>
          <w:tab w:leader="none" w:pos="21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732" w:right="2099" w:hanging="632"/>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1Names of Reporting Persons/I.R.S. Identification Nos. of Above Persons (Entities Only)</w:t>
      </w:r>
    </w:p>
    <w:p>
      <w:pPr>
        <w:spacing w:after="0" w:line="202" w:lineRule="exact"/>
        <w:rPr>
          <w:rFonts w:ascii="Courier New" w:cs="Courier New" w:eastAsia="Courier New" w:hAnsi="Courier New"/>
          <w:sz w:val="16"/>
          <w:szCs w:val="16"/>
          <w:color w:val="auto"/>
        </w:rPr>
      </w:pPr>
    </w:p>
    <w:p>
      <w:pPr>
        <w:ind w:left="7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Texas Instruments Incorporated  (IRS no. 75-0289970)</w:t>
      </w:r>
    </w:p>
    <w:p>
      <w:pPr>
        <w:spacing w:after="0" w:line="20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212" w:type="dxa"/>
        <w:tblCellMar>
          <w:top w:w="0" w:type="dxa"/>
          <w:left w:w="0" w:type="dxa"/>
          <w:bottom w:w="0" w:type="dxa"/>
          <w:right w:w="0" w:type="dxa"/>
        </w:tblCellMar>
      </w:tblPr>
      <w:tr>
        <w:trPr>
          <w:trHeight w:val="204"/>
        </w:trPr>
        <w:tc>
          <w:tcPr>
            <w:tcW w:w="3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73"/>
              </w:rPr>
              <w:t>2</w:t>
            </w:r>
          </w:p>
        </w:tc>
        <w:tc>
          <w:tcPr>
            <w:tcW w:w="5600" w:type="dxa"/>
            <w:vAlign w:val="bottom"/>
          </w:tcPr>
          <w:p>
            <w:pPr>
              <w:ind w:left="28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rPr>
              <w:t>(a)</w:t>
            </w:r>
          </w:p>
        </w:tc>
        <w:tc>
          <w:tcPr>
            <w:tcW w:w="420" w:type="dxa"/>
            <w:vAlign w:val="bottom"/>
          </w:tcPr>
          <w:p>
            <w:pPr>
              <w:ind w:left="100"/>
              <w:spacing w:after="0"/>
              <w:rPr>
                <w:sz w:val="20"/>
                <w:szCs w:val="20"/>
                <w:color w:val="auto"/>
              </w:rPr>
            </w:pPr>
            <w:r>
              <w:rPr>
                <w:rFonts w:ascii="Courier New" w:cs="Courier New" w:eastAsia="Courier New" w:hAnsi="Courier New"/>
                <w:sz w:val="18"/>
                <w:szCs w:val="18"/>
                <w:color w:val="auto"/>
                <w:w w:val="92"/>
              </w:rPr>
              <w:t>[ ]</w:t>
            </w:r>
          </w:p>
        </w:tc>
      </w:tr>
      <w:tr>
        <w:trPr>
          <w:trHeight w:val="203"/>
        </w:trPr>
        <w:tc>
          <w:tcPr>
            <w:tcW w:w="36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w:t>
            </w:r>
          </w:p>
        </w:tc>
        <w:tc>
          <w:tcPr>
            <w:tcW w:w="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2"/>
              </w:rPr>
              <w:t>[X]</w:t>
            </w:r>
          </w:p>
        </w:tc>
      </w:tr>
    </w:tbl>
    <w:p>
      <w:pPr>
        <w:spacing w:after="0" w:line="207" w:lineRule="exact"/>
        <w:rPr>
          <w:sz w:val="24"/>
          <w:szCs w:val="24"/>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1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3" w:lineRule="exact"/>
        <w:rPr>
          <w:rFonts w:ascii="Courier New" w:cs="Courier New" w:eastAsia="Courier New" w:hAnsi="Courier New"/>
          <w:sz w:val="16"/>
          <w:szCs w:val="16"/>
          <w:color w:val="auto"/>
        </w:rPr>
      </w:pPr>
    </w:p>
    <w:p>
      <w:pPr>
        <w:ind w:left="852" w:right="5579" w:hanging="632"/>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4Citizenship or Place of Organization Delaware</w:t>
      </w:r>
    </w:p>
    <w:p>
      <w:pPr>
        <w:spacing w:after="0" w:line="11" w:lineRule="exact"/>
        <w:rPr>
          <w:rFonts w:ascii="Courier New" w:cs="Courier New" w:eastAsia="Courier New" w:hAnsi="Courier New"/>
          <w:sz w:val="16"/>
          <w:szCs w:val="16"/>
          <w:color w:val="auto"/>
        </w:rPr>
      </w:pPr>
    </w:p>
    <w:p>
      <w:pPr>
        <w:ind w:left="212" w:hanging="212"/>
        <w:spacing w:after="0"/>
        <w:tabs>
          <w:tab w:leader="none" w:pos="21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tbl>
      <w:tblPr>
        <w:tblLayout w:type="fixed"/>
        <w:tblInd w:w="412" w:type="dxa"/>
        <w:tblCellMar>
          <w:top w:w="0" w:type="dxa"/>
          <w:left w:w="0" w:type="dxa"/>
          <w:bottom w:w="0" w:type="dxa"/>
          <w:right w:w="0" w:type="dxa"/>
        </w:tblCellMar>
      </w:tblPr>
      <w:tr>
        <w:trPr>
          <w:trHeight w:val="204"/>
        </w:trPr>
        <w:tc>
          <w:tcPr>
            <w:tcW w:w="260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c>
          <w:tcPr>
            <w:tcW w:w="268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c>
          <w:tcPr>
            <w:tcW w:w="1380" w:type="dxa"/>
            <w:vAlign w:val="bottom"/>
          </w:tcPr>
          <w:p>
            <w:pPr>
              <w:jc w:val="right"/>
              <w:spacing w:after="0"/>
              <w:rPr>
                <w:sz w:val="20"/>
                <w:szCs w:val="20"/>
                <w:color w:val="auto"/>
              </w:rPr>
            </w:pPr>
            <w:r>
              <w:rPr>
                <w:rFonts w:ascii="Courier New" w:cs="Courier New" w:eastAsia="Courier New" w:hAnsi="Courier New"/>
                <w:sz w:val="18"/>
                <w:szCs w:val="18"/>
                <w:color w:val="auto"/>
              </w:rPr>
              <w:t>56,952,399</w:t>
            </w:r>
          </w:p>
        </w:tc>
      </w:tr>
      <w:tr>
        <w:trPr>
          <w:trHeight w:val="203"/>
        </w:trPr>
        <w:tc>
          <w:tcPr>
            <w:tcW w:w="260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 OWNED BY</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N/A</w:t>
            </w:r>
          </w:p>
        </w:tc>
      </w:tr>
      <w:tr>
        <w:trPr>
          <w:trHeight w:val="203"/>
        </w:trPr>
        <w:tc>
          <w:tcPr>
            <w:tcW w:w="2600" w:type="dxa"/>
            <w:vAlign w:val="bottom"/>
          </w:tcPr>
          <w:p>
            <w:pPr>
              <w:spacing w:after="0" w:line="203" w:lineRule="exact"/>
              <w:rPr>
                <w:sz w:val="20"/>
                <w:szCs w:val="20"/>
                <w:color w:val="auto"/>
              </w:rPr>
            </w:pPr>
            <w:r>
              <w:rPr>
                <w:rFonts w:ascii="Courier New" w:cs="Courier New" w:eastAsia="Courier New" w:hAnsi="Courier New"/>
                <w:sz w:val="18"/>
                <w:szCs w:val="18"/>
                <w:color w:val="auto"/>
              </w:rPr>
              <w:t>EACH REPORTING</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56,952,399</w:t>
            </w:r>
          </w:p>
        </w:tc>
      </w:tr>
    </w:tbl>
    <w:p>
      <w:pPr>
        <w:sectPr>
          <w:pgSz w:w="11900" w:h="16838" w:orient="portrait"/>
          <w:cols w:equalWidth="0" w:num="1">
            <w:col w:w="10211"/>
          </w:cols>
          <w:pgMar w:left="248" w:top="852" w:right="1440" w:bottom="0" w:gutter="0" w:footer="0" w:header="0"/>
        </w:sectPr>
      </w:pPr>
    </w:p>
    <w:bookmarkStart w:id="1" w:name="page2"/>
    <w:bookmarkEnd w:id="1"/>
    <w:p>
      <w:pPr>
        <w:ind w:left="420"/>
        <w:spacing w:after="0"/>
        <w:tabs>
          <w:tab w:leader="none" w:pos="3360" w:val="left"/>
          <w:tab w:leader="none" w:pos="7360" w:val="left"/>
        </w:tabs>
        <w:rPr>
          <w:sz w:val="20"/>
          <w:szCs w:val="20"/>
          <w:color w:val="auto"/>
        </w:rPr>
      </w:pPr>
      <w:r>
        <w:rPr>
          <w:rFonts w:ascii="Courier New" w:cs="Courier New" w:eastAsia="Courier New" w:hAnsi="Courier New"/>
          <w:sz w:val="18"/>
          <w:szCs w:val="18"/>
          <w:color w:val="auto"/>
        </w:rPr>
        <w:t>PERSON WITH</w:t>
      </w:r>
      <w:r>
        <w:rPr>
          <w:sz w:val="20"/>
          <w:szCs w:val="20"/>
          <w:color w:val="auto"/>
        </w:rPr>
        <w:tab/>
      </w:r>
      <w:r>
        <w:rPr>
          <w:rFonts w:ascii="Courier New" w:cs="Courier New" w:eastAsia="Courier New" w:hAnsi="Courier New"/>
          <w:sz w:val="18"/>
          <w:szCs w:val="18"/>
          <w:color w:val="auto"/>
        </w:rPr>
        <w:t>8. SHARED DISPOSITIVE POWER</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2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9</w:t>
      </w:r>
      <w:r>
        <w:rPr>
          <w:rFonts w:ascii="Courier New" w:cs="Courier New" w:eastAsia="Courier New" w:hAnsi="Courier New"/>
          <w:sz w:val="16"/>
          <w:szCs w:val="16"/>
          <w:color w:val="auto"/>
        </w:rPr>
        <w:t>Aggregate Amount Beneficially Owned by Each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56,952,399</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w:t>
      </w:r>
      <w:r>
        <w:rPr>
          <w:rFonts w:ascii="Courier New" w:cs="Courier New" w:eastAsia="Courier New" w:hAnsi="Courier New"/>
          <w:sz w:val="16"/>
          <w:szCs w:val="16"/>
          <w:color w:val="auto"/>
        </w:rPr>
        <w:t>Check if the Aggregate Amount in Row (9) Excludes Certain Shares [ ]</w:t>
      </w:r>
    </w:p>
    <w:p>
      <w:pPr>
        <w:spacing w:after="0" w:line="201"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206" w:lineRule="exact"/>
        <w:rPr>
          <w:rFonts w:ascii="Courier New" w:cs="Courier New" w:eastAsia="Courier New" w:hAnsi="Courier New"/>
          <w:sz w:val="16"/>
          <w:szCs w:val="16"/>
          <w:color w:val="auto"/>
        </w:rPr>
      </w:pPr>
    </w:p>
    <w:p>
      <w:pPr>
        <w:ind w:left="860" w:right="4199" w:hanging="843"/>
        <w:spacing w:after="0" w:line="47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11Percent of Class Represented by Amount in Row (9) 9.4%</w:t>
      </w:r>
    </w:p>
    <w:p>
      <w:pPr>
        <w:spacing w:after="0" w:line="1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Type of Reporting Person</w:t>
      </w:r>
    </w:p>
    <w:p>
      <w:pPr>
        <w:spacing w:after="0" w:line="201"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CO</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EXPLANATORY</w:t>
      </w:r>
      <w:r>
        <w:rPr>
          <w:sz w:val="20"/>
          <w:szCs w:val="20"/>
          <w:color w:val="auto"/>
        </w:rPr>
        <w:tab/>
      </w:r>
      <w:r>
        <w:rPr>
          <w:rFonts w:ascii="Courier New" w:cs="Courier New" w:eastAsia="Courier New" w:hAnsi="Courier New"/>
          <w:sz w:val="16"/>
          <w:szCs w:val="16"/>
          <w:color w:val="auto"/>
        </w:rPr>
        <w:t>NOTE</w:t>
      </w:r>
    </w:p>
    <w:p>
      <w:pPr>
        <w:spacing w:after="0" w:line="207" w:lineRule="exact"/>
        <w:rPr>
          <w:sz w:val="20"/>
          <w:szCs w:val="20"/>
          <w:color w:val="auto"/>
        </w:rPr>
      </w:pPr>
    </w:p>
    <w:p>
      <w:pPr>
        <w:jc w:val="both"/>
        <w:ind w:right="2419"/>
        <w:spacing w:after="0" w:line="279" w:lineRule="auto"/>
        <w:rPr>
          <w:sz w:val="20"/>
          <w:szCs w:val="20"/>
          <w:color w:val="auto"/>
        </w:rPr>
      </w:pPr>
      <w:r>
        <w:rPr>
          <w:rFonts w:ascii="Courier New" w:cs="Courier New" w:eastAsia="Courier New" w:hAnsi="Courier New"/>
          <w:sz w:val="16"/>
          <w:szCs w:val="16"/>
          <w:color w:val="auto"/>
        </w:rPr>
        <w:t>This Amendment No. 3 to Schedule 13G, amends, supplements and restates the Statement on Schedule 13G initially filed with the Securities and Exchange Commission on October 9, 1998 by Texas Instruments Incorporated.</w:t>
      </w:r>
    </w:p>
    <w:p>
      <w:pPr>
        <w:spacing w:after="0" w:line="375"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1.</w:t>
      </w:r>
    </w:p>
    <w:p>
      <w:pPr>
        <w:spacing w:after="0" w:line="201"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(a)</w:t>
        <w:tab/>
        <w:t>Name of Issuer:</w:t>
      </w:r>
      <w:r>
        <w:rPr>
          <w:sz w:val="20"/>
          <w:szCs w:val="20"/>
          <w:color w:val="auto"/>
        </w:rPr>
        <w:tab/>
      </w:r>
      <w:r>
        <w:rPr>
          <w:rFonts w:ascii="Courier New" w:cs="Courier New" w:eastAsia="Courier New" w:hAnsi="Courier New"/>
          <w:sz w:val="16"/>
          <w:szCs w:val="16"/>
          <w:color w:val="auto"/>
        </w:rPr>
        <w:t>Micron Technology, Inc.</w:t>
      </w:r>
    </w:p>
    <w:p>
      <w:pPr>
        <w:spacing w:after="0" w:line="201"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8000 S. Federal Way</w:t>
      </w:r>
    </w:p>
    <w:p>
      <w:pPr>
        <w:ind w:left="3800"/>
        <w:spacing w:after="0" w:line="238" w:lineRule="auto"/>
        <w:rPr>
          <w:sz w:val="20"/>
          <w:szCs w:val="20"/>
          <w:color w:val="auto"/>
        </w:rPr>
      </w:pPr>
      <w:r>
        <w:rPr>
          <w:rFonts w:ascii="Courier New" w:cs="Courier New" w:eastAsia="Courier New" w:hAnsi="Courier New"/>
          <w:sz w:val="18"/>
          <w:szCs w:val="18"/>
          <w:color w:val="auto"/>
        </w:rPr>
        <w:t>P.O. Box 6</w:t>
      </w:r>
    </w:p>
    <w:p>
      <w:pPr>
        <w:ind w:left="3800"/>
        <w:spacing w:after="0"/>
        <w:rPr>
          <w:sz w:val="20"/>
          <w:szCs w:val="20"/>
          <w:color w:val="auto"/>
        </w:rPr>
      </w:pPr>
      <w:r>
        <w:rPr>
          <w:rFonts w:ascii="Courier New" w:cs="Courier New" w:eastAsia="Courier New" w:hAnsi="Courier New"/>
          <w:sz w:val="18"/>
          <w:szCs w:val="18"/>
          <w:color w:val="auto"/>
        </w:rPr>
        <w:t>Boise, Idaho 83707-0006</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w:t>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0" w:lineRule="exact"/>
        <w:rPr>
          <w:sz w:val="20"/>
          <w:szCs w:val="20"/>
          <w:color w:val="auto"/>
        </w:rPr>
      </w:pPr>
    </w:p>
    <w:p>
      <w:pPr>
        <w:sectPr>
          <w:pgSz w:w="11900" w:h="16838" w:orient="portrait"/>
          <w:cols w:equalWidth="0" w:num="2">
            <w:col w:w="420" w:space="220"/>
            <w:col w:w="9579"/>
          </w:cols>
          <w:pgMar w:left="240" w:top="136" w:right="1440" w:bottom="0" w:gutter="0" w:footer="0" w:header="0"/>
          <w:type w:val="continuous"/>
        </w:sectPr>
      </w:pPr>
    </w:p>
    <w:p>
      <w:pPr>
        <w:spacing w:after="0" w:line="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(a)</w:t>
        <w:tab/>
        <w:t>Name of Persons Filing: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200" w:lineRule="exact"/>
        <w:rPr>
          <w:sz w:val="20"/>
          <w:szCs w:val="20"/>
          <w:color w:val="auto"/>
        </w:rPr>
      </w:pPr>
    </w:p>
    <w:p>
      <w:pPr>
        <w:sectPr>
          <w:pgSz w:w="11900" w:h="16838" w:orient="portrait"/>
          <w:cols w:equalWidth="0" w:num="2">
            <w:col w:w="3080" w:space="720"/>
            <w:col w:w="6419"/>
          </w:cols>
          <w:pgMar w:left="240" w:top="136" w:right="1440" w:bottom="0" w:gutter="0" w:footer="0" w:header="0"/>
          <w:type w:val="continuous"/>
        </w:sectPr>
      </w:pPr>
    </w:p>
    <w:p>
      <w:pPr>
        <w:spacing w:after="0" w:line="18"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12500 TI Boulevard</w:t>
      </w:r>
    </w:p>
    <w:p>
      <w:pPr>
        <w:ind w:left="3800"/>
        <w:spacing w:after="0" w:line="238" w:lineRule="auto"/>
        <w:rPr>
          <w:sz w:val="20"/>
          <w:szCs w:val="20"/>
          <w:color w:val="auto"/>
        </w:rPr>
      </w:pPr>
      <w:r>
        <w:rPr>
          <w:rFonts w:ascii="Courier New" w:cs="Courier New" w:eastAsia="Courier New" w:hAnsi="Courier New"/>
          <w:sz w:val="18"/>
          <w:szCs w:val="18"/>
          <w:color w:val="auto"/>
        </w:rPr>
        <w:t>P.O. Box 660199</w:t>
      </w:r>
    </w:p>
    <w:p>
      <w:pPr>
        <w:ind w:left="3800"/>
        <w:spacing w:after="0"/>
        <w:rPr>
          <w:sz w:val="20"/>
          <w:szCs w:val="20"/>
          <w:color w:val="auto"/>
        </w:rPr>
      </w:pPr>
      <w:r>
        <w:rPr>
          <w:rFonts w:ascii="Courier New" w:cs="Courier New" w:eastAsia="Courier New" w:hAnsi="Courier New"/>
          <w:sz w:val="18"/>
          <w:szCs w:val="18"/>
          <w:color w:val="auto"/>
        </w:rPr>
        <w:t>Dallas, TX 75266-0199</w:t>
      </w:r>
    </w:p>
    <w:p>
      <w:pPr>
        <w:spacing w:after="0" w:line="200" w:lineRule="exact"/>
        <w:rPr>
          <w:sz w:val="20"/>
          <w:szCs w:val="20"/>
          <w:color w:val="auto"/>
        </w:rPr>
      </w:pPr>
    </w:p>
    <w:p>
      <w:pPr>
        <w:spacing w:after="0"/>
        <w:tabs>
          <w:tab w:leader="none" w:pos="520" w:val="left"/>
          <w:tab w:leader="none" w:pos="3780" w:val="left"/>
        </w:tabs>
        <w:rPr>
          <w:sz w:val="20"/>
          <w:szCs w:val="20"/>
          <w:color w:val="auto"/>
        </w:rPr>
      </w:pPr>
      <w:r>
        <w:rPr>
          <w:rFonts w:ascii="Courier New" w:cs="Courier New" w:eastAsia="Courier New" w:hAnsi="Courier New"/>
          <w:sz w:val="18"/>
          <w:szCs w:val="18"/>
          <w:color w:val="auto"/>
        </w:rPr>
        <w:t>(c)</w:t>
        <w:tab/>
        <w:t>Citizenship:</w:t>
      </w:r>
      <w:r>
        <w:rPr>
          <w:sz w:val="20"/>
          <w:szCs w:val="20"/>
          <w:color w:val="auto"/>
        </w:rPr>
        <w:tab/>
      </w:r>
      <w:r>
        <w:rPr>
          <w:rFonts w:ascii="Courier New" w:cs="Courier New" w:eastAsia="Courier New" w:hAnsi="Courier New"/>
          <w:sz w:val="16"/>
          <w:szCs w:val="16"/>
          <w:color w:val="auto"/>
        </w:rPr>
        <w:t>Delaware</w:t>
      </w:r>
    </w:p>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Class of Securities:  Common Stock, $.10 par value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60" w:type="dxa"/>
            <w:vAlign w:val="bottom"/>
          </w:tcPr>
          <w:p>
            <w:pPr>
              <w:spacing w:after="0"/>
              <w:rPr>
                <w:sz w:val="20"/>
                <w:szCs w:val="20"/>
                <w:color w:val="auto"/>
              </w:rPr>
            </w:pPr>
            <w:r>
              <w:rPr>
                <w:rFonts w:ascii="Courier New" w:cs="Courier New" w:eastAsia="Courier New" w:hAnsi="Courier New"/>
                <w:sz w:val="18"/>
                <w:szCs w:val="18"/>
                <w:color w:val="auto"/>
              </w:rPr>
              <w:t>(e)  CUSIP Number:</w:t>
            </w:r>
          </w:p>
        </w:tc>
        <w:tc>
          <w:tcPr>
            <w:tcW w:w="1880" w:type="dxa"/>
            <w:vAlign w:val="bottom"/>
          </w:tcPr>
          <w:p>
            <w:pPr>
              <w:jc w:val="right"/>
              <w:spacing w:after="0"/>
              <w:rPr>
                <w:sz w:val="20"/>
                <w:szCs w:val="20"/>
                <w:color w:val="auto"/>
              </w:rPr>
            </w:pPr>
            <w:r>
              <w:rPr>
                <w:rFonts w:ascii="Courier New" w:cs="Courier New" w:eastAsia="Courier New" w:hAnsi="Courier New"/>
                <w:sz w:val="18"/>
                <w:szCs w:val="18"/>
                <w:color w:val="auto"/>
              </w:rPr>
              <w:t>595112103</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ITEM</w:t>
        <w:tab/>
        <w:t>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r>
        <w:rPr>
          <w:rFonts w:ascii="Courier New" w:cs="Courier New" w:eastAsia="Courier New" w:hAnsi="Courier New"/>
          <w:sz w:val="16"/>
          <w:szCs w:val="16"/>
          <w:color w:val="auto"/>
        </w:rPr>
        <w:t>56,952,399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spacing w:after="0"/>
              <w:rPr>
                <w:sz w:val="20"/>
                <w:szCs w:val="20"/>
                <w:color w:val="auto"/>
              </w:rPr>
            </w:pPr>
            <w:r>
              <w:rPr>
                <w:rFonts w:ascii="Courier New" w:cs="Courier New" w:eastAsia="Courier New" w:hAnsi="Courier New"/>
                <w:sz w:val="18"/>
                <w:szCs w:val="18"/>
                <w:color w:val="auto"/>
              </w:rPr>
              <w:t>(b)  Percent of class:</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9.4%</w:t>
            </w:r>
          </w:p>
        </w:tc>
      </w:tr>
    </w:tbl>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(All percentages computed by reference to the 607,592,779 shares that the Issuer reported as outstanding as of January 8, 2003, in its Report on Form 10-Q filed with the Securities and Exchange Commission on January 13, 2003.)</w:t>
      </w:r>
    </w:p>
    <w:p>
      <w:pPr>
        <w:spacing w:after="0" w:line="203" w:lineRule="exact"/>
        <w:rPr>
          <w:sz w:val="20"/>
          <w:szCs w:val="20"/>
          <w:color w:val="auto"/>
        </w:rPr>
      </w:pPr>
    </w:p>
    <w:p>
      <w:pPr>
        <w:ind w:left="420" w:hanging="412"/>
        <w:spacing w:after="0"/>
        <w:tabs>
          <w:tab w:leader="none" w:pos="4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spacing w:after="0" w:line="201" w:lineRule="exact"/>
        <w:rPr>
          <w:rFonts w:ascii="Courier New" w:cs="Courier New" w:eastAsia="Courier New" w:hAnsi="Courier New"/>
          <w:sz w:val="18"/>
          <w:szCs w:val="18"/>
          <w:color w:val="auto"/>
        </w:rPr>
      </w:pPr>
    </w:p>
    <w:p>
      <w:pPr>
        <w:ind w:left="960" w:hanging="425"/>
        <w:spacing w:after="0"/>
        <w:tabs>
          <w:tab w:leader="none" w:pos="9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56,952,399</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N/A</w:t>
      </w:r>
    </w:p>
    <w:p>
      <w:pPr>
        <w:spacing w:after="0" w:line="201" w:lineRule="exact"/>
        <w:rPr>
          <w:rFonts w:ascii="Courier New" w:cs="Courier New" w:eastAsia="Courier New" w:hAnsi="Courier New"/>
          <w:sz w:val="18"/>
          <w:szCs w:val="18"/>
          <w:color w:val="auto"/>
        </w:rPr>
      </w:pPr>
    </w:p>
    <w:p>
      <w:pPr>
        <w:ind w:left="1160" w:hanging="625"/>
        <w:spacing w:after="0"/>
        <w:tabs>
          <w:tab w:leader="none" w:pos="11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56,952,399</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9" w:lineRule="exact"/>
        <w:rPr>
          <w:sz w:val="20"/>
          <w:szCs w:val="20"/>
          <w:color w:val="auto"/>
        </w:rPr>
      </w:pPr>
    </w:p>
    <w:p>
      <w:pPr>
        <w:ind w:left="860" w:right="293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040" w:val="left"/>
        </w:tabs>
        <w:rPr>
          <w:sz w:val="20"/>
          <w:szCs w:val="20"/>
          <w:color w:val="auto"/>
        </w:rPr>
      </w:pPr>
      <w:r>
        <w:rPr>
          <w:rFonts w:ascii="Courier New" w:cs="Courier New" w:eastAsia="Courier New" w:hAnsi="Courier New"/>
          <w:sz w:val="18"/>
          <w:szCs w:val="18"/>
          <w:color w:val="auto"/>
        </w:rPr>
        <w:t>ITEM</w:t>
        <w:tab/>
        <w:t>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 w:leader="none" w:pos="1140" w:val="left"/>
        </w:tabs>
        <w:rPr>
          <w:sz w:val="20"/>
          <w:szCs w:val="20"/>
          <w:color w:val="auto"/>
        </w:rPr>
      </w:pPr>
      <w:r>
        <w:rPr>
          <w:rFonts w:ascii="Courier New" w:cs="Courier New" w:eastAsia="Courier New" w:hAnsi="Courier New"/>
          <w:sz w:val="18"/>
          <w:szCs w:val="18"/>
          <w:color w:val="auto"/>
        </w:rPr>
        <w:t>ITEM</w:t>
        <w:tab/>
        <w:t>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540" w:right="1779" w:firstLine="527"/>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7"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540"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14, 2003</w:t>
      </w:r>
    </w:p>
    <w:p>
      <w:pPr>
        <w:spacing w:after="0" w:line="200" w:lineRule="exact"/>
        <w:rPr>
          <w:sz w:val="20"/>
          <w:szCs w:val="20"/>
          <w:color w:val="auto"/>
        </w:rPr>
      </w:pPr>
    </w:p>
    <w:p>
      <w:pPr>
        <w:spacing w:after="0" w:line="204" w:lineRule="exact"/>
        <w:rPr>
          <w:sz w:val="20"/>
          <w:szCs w:val="20"/>
          <w:color w:val="auto"/>
        </w:rPr>
      </w:pPr>
    </w:p>
    <w:p>
      <w:pPr>
        <w:ind w:left="1380"/>
        <w:spacing w:after="0"/>
        <w:tabs>
          <w:tab w:leader="none" w:pos="1880" w:val="left"/>
        </w:tabs>
        <w:rPr>
          <w:sz w:val="20"/>
          <w:szCs w:val="20"/>
          <w:color w:val="auto"/>
        </w:rPr>
      </w:pPr>
      <w:r>
        <w:rPr>
          <w:rFonts w:ascii="Courier New" w:cs="Courier New" w:eastAsia="Courier New" w:hAnsi="Courier New"/>
          <w:sz w:val="18"/>
          <w:szCs w:val="18"/>
          <w:color w:val="auto"/>
        </w:rPr>
        <w:t>/s/</w:t>
        <w:tab/>
        <w:t>WILLIAM A. AYLESWORTH</w:t>
      </w:r>
    </w:p>
    <w:p>
      <w:pPr>
        <w:ind w:left="1380"/>
        <w:spacing w:after="0" w:line="238" w:lineRule="auto"/>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William A. Aylesworth</w:t>
      </w:r>
    </w:p>
    <w:p>
      <w:pPr>
        <w:ind w:left="1380"/>
        <w:spacing w:after="0" w:line="237" w:lineRule="auto"/>
        <w:rPr>
          <w:sz w:val="20"/>
          <w:szCs w:val="20"/>
          <w:color w:val="auto"/>
        </w:rPr>
      </w:pPr>
      <w:r>
        <w:rPr>
          <w:rFonts w:ascii="Courier New" w:cs="Courier New" w:eastAsia="Courier New" w:hAnsi="Courier New"/>
          <w:sz w:val="18"/>
          <w:szCs w:val="18"/>
          <w:color w:val="auto"/>
        </w:rPr>
        <w:t>Senior Vice President and</w:t>
      </w:r>
    </w:p>
    <w:p>
      <w:pPr>
        <w:ind w:left="1380"/>
        <w:spacing w:after="0" w:line="238" w:lineRule="auto"/>
        <w:rPr>
          <w:sz w:val="20"/>
          <w:szCs w:val="20"/>
          <w:color w:val="auto"/>
        </w:rPr>
      </w:pPr>
      <w:r>
        <w:rPr>
          <w:rFonts w:ascii="Courier New" w:cs="Courier New" w:eastAsia="Courier New" w:hAnsi="Courier New"/>
          <w:sz w:val="18"/>
          <w:szCs w:val="18"/>
          <w:color w:val="auto"/>
        </w:rPr>
        <w:t>Chief Financial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decimal"/>
      <w:start w:val="1"/>
    </w:lvl>
    <w:lvl w:ilvl="2">
      <w:lvlJc w:val="left"/>
      <w:lvlText w:val="[%3]"/>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1)"/>
      <w:numFmt w:val="lowerLetter"/>
      <w:start w:val="2"/>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4"/>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3"/>
    </w:lvl>
    <w:lvl w:ilvl="1">
      <w:lvlJc w:val="left"/>
      <w:lvlText w:val="(%2)"/>
      <w:numFmt w:val="lowerLetter"/>
      <w:start w:val="9"/>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2019-12-11T20:41:54Z</dcterms:created>
  <dcterms:modified xsi:type="dcterms:W3CDTF">2019-12-11T20:41:54Z</dcterms:modified>
</cp:coreProperties>
</file>