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6130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13029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11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ADAMS JAMES R</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05/18/2007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3"/>
        <w:spacing w:after="0"/>
        <w:tabs>
          <w:tab w:leader="none" w:pos="522" w:val="left"/>
          <w:tab w:leader="none" w:pos="2163"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3"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3"/>
        <w:spacing w:after="0"/>
        <w:tabs>
          <w:tab w:leader="none" w:pos="21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340" w:space="720"/>
            <w:col w:w="3340" w:space="637"/>
            <w:col w:w="3483"/>
          </w:cols>
          <w:pgMar w:left="240" w:top="225" w:right="139" w:bottom="1110" w:gutter="0" w:footer="0" w:header="0"/>
          <w:type w:val="continuous"/>
        </w:sectPr>
      </w:pPr>
    </w:p>
    <w:p>
      <w:pPr>
        <w:spacing w:after="0" w:line="24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2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95" w:lineRule="exact"/>
        <w:rPr>
          <w:sz w:val="24"/>
          <w:szCs w:val="24"/>
          <w:color w:val="auto"/>
        </w:rPr>
      </w:pPr>
    </w:p>
    <w:p>
      <w:pPr>
        <w:sectPr>
          <w:pgSz w:w="11900" w:h="16838" w:orient="portrait"/>
          <w:cols w:equalWidth="0" w:num="2">
            <w:col w:w="3900" w:space="160"/>
            <w:col w:w="7460"/>
          </w:cols>
          <w:pgMar w:left="240" w:top="225" w:right="139" w:bottom="111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2A. Deemed</w:t>
            </w:r>
          </w:p>
        </w:tc>
        <w:tc>
          <w:tcPr>
            <w:tcW w:w="300" w:type="dxa"/>
            <w:vAlign w:val="bottom"/>
          </w:tcPr>
          <w:p>
            <w:pPr>
              <w:spacing w:after="0"/>
              <w:rPr>
                <w:sz w:val="13"/>
                <w:szCs w:val="13"/>
                <w:color w:val="auto"/>
              </w:rPr>
            </w:pP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740"/>
              <w:spacing w:after="0" w:line="132"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Transaction</w:t>
            </w:r>
          </w:p>
        </w:tc>
        <w:tc>
          <w:tcPr>
            <w:tcW w:w="2000" w:type="dxa"/>
            <w:vAlign w:val="bottom"/>
            <w:gridSpan w:val="4"/>
          </w:tcPr>
          <w:p>
            <w:pPr>
              <w:ind w:left="10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4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480" w:type="dxa"/>
            <w:vAlign w:val="bottom"/>
          </w:tcPr>
          <w:p>
            <w:pPr>
              <w:spacing w:after="0"/>
              <w:rPr>
                <w:sz w:val="11"/>
                <w:szCs w:val="11"/>
                <w:color w:val="auto"/>
              </w:rPr>
            </w:pPr>
          </w:p>
        </w:tc>
        <w:tc>
          <w:tcPr>
            <w:tcW w:w="9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40" w:type="dxa"/>
            <w:vAlign w:val="bottom"/>
            <w:gridSpan w:val="4"/>
            <w:vMerge w:val="restart"/>
          </w:tcPr>
          <w:p>
            <w:pPr>
              <w:ind w:left="6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40"/>
              <w:spacing w:after="0" w:line="134"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4"/>
              </w:rPr>
              <w:t>312,911</w:t>
            </w:r>
          </w:p>
        </w:tc>
        <w:tc>
          <w:tcPr>
            <w:tcW w:w="360" w:type="dxa"/>
            <w:vAlign w:val="bottom"/>
          </w:tcPr>
          <w:p>
            <w:pPr>
              <w:spacing w:after="0"/>
              <w:rPr>
                <w:sz w:val="23"/>
                <w:szCs w:val="23"/>
                <w:color w:val="auto"/>
              </w:rPr>
            </w:pPr>
          </w:p>
        </w:tc>
        <w:tc>
          <w:tcPr>
            <w:tcW w:w="560" w:type="dxa"/>
            <w:vAlign w:val="bottom"/>
          </w:tcPr>
          <w:p>
            <w:pPr>
              <w:spacing w:after="0"/>
              <w:rPr>
                <w:sz w:val="20"/>
                <w:szCs w:val="20"/>
                <w:color w:val="auto"/>
              </w:rPr>
            </w:pPr>
            <w:r>
              <w:rPr>
                <w:rFonts w:ascii="Arial" w:cs="Arial" w:eastAsia="Arial" w:hAnsi="Arial"/>
                <w:sz w:val="17"/>
                <w:szCs w:val="17"/>
                <w:color w:val="0000FF"/>
              </w:rPr>
              <w:t>D</w:t>
            </w: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8"/>
              </w:rPr>
              <w:t>145,000</w:t>
            </w:r>
            <w:r>
              <w:rPr>
                <w:rFonts w:ascii="Arial" w:cs="Arial" w:eastAsia="Arial" w:hAnsi="Arial"/>
                <w:sz w:val="22"/>
                <w:szCs w:val="22"/>
                <w:color w:val="008000"/>
                <w:w w:val="88"/>
                <w:vertAlign w:val="superscript"/>
              </w:rPr>
              <w:t>(1)</w:t>
            </w:r>
          </w:p>
        </w:tc>
        <w:tc>
          <w:tcPr>
            <w:tcW w:w="360" w:type="dxa"/>
            <w:vAlign w:val="bottom"/>
          </w:tcPr>
          <w:p>
            <w:pPr>
              <w:spacing w:after="0"/>
              <w:rPr>
                <w:sz w:val="22"/>
                <w:szCs w:val="22"/>
                <w:color w:val="auto"/>
              </w:rPr>
            </w:pPr>
          </w:p>
        </w:tc>
        <w:tc>
          <w:tcPr>
            <w:tcW w:w="56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300" w:type="dxa"/>
            <w:vAlign w:val="bottom"/>
          </w:tcPr>
          <w:p>
            <w:pPr>
              <w:ind w:left="60"/>
              <w:spacing w:after="0"/>
              <w:rPr>
                <w:sz w:val="20"/>
                <w:szCs w:val="20"/>
                <w:color w:val="auto"/>
              </w:rPr>
            </w:pPr>
            <w:r>
              <w:rPr>
                <w:rFonts w:ascii="Arial" w:cs="Arial" w:eastAsia="Arial" w:hAnsi="Arial"/>
                <w:sz w:val="17"/>
                <w:szCs w:val="17"/>
                <w:color w:val="0000FF"/>
              </w:rPr>
              <w:t>By</w:t>
            </w: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40" w:type="dxa"/>
            <w:vAlign w:val="bottom"/>
            <w:gridSpan w:val="4"/>
            <w:vMerge w:val="restart"/>
          </w:tcPr>
          <w:p>
            <w:pPr>
              <w:ind w:left="60"/>
              <w:spacing w:after="0"/>
              <w:rPr>
                <w:sz w:val="20"/>
                <w:szCs w:val="20"/>
                <w:color w:val="auto"/>
              </w:rPr>
            </w:pPr>
            <w:r>
              <w:rPr>
                <w:rFonts w:ascii="Arial" w:cs="Arial" w:eastAsia="Arial" w:hAnsi="Arial"/>
                <w:sz w:val="17"/>
                <w:szCs w:val="17"/>
                <w:color w:val="0000FF"/>
              </w:rPr>
              <w:t>Partnership</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128,000</w:t>
            </w:r>
            <w:r>
              <w:rPr>
                <w:rFonts w:ascii="Arial" w:cs="Arial" w:eastAsia="Arial" w:hAnsi="Arial"/>
                <w:sz w:val="22"/>
                <w:szCs w:val="22"/>
                <w:color w:val="008000"/>
                <w:w w:val="88"/>
                <w:vertAlign w:val="superscript"/>
              </w:rPr>
              <w:t>(2)</w:t>
            </w:r>
          </w:p>
        </w:tc>
        <w:tc>
          <w:tcPr>
            <w:tcW w:w="3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I</w:t>
            </w:r>
          </w:p>
        </w:tc>
        <w:tc>
          <w:tcPr>
            <w:tcW w:w="9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By Trust</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7"/>
              </w:rPr>
              <w:t>2,995.81</w:t>
            </w:r>
            <w:r>
              <w:rPr>
                <w:rFonts w:ascii="Arial" w:cs="Arial" w:eastAsia="Arial" w:hAnsi="Arial"/>
                <w:sz w:val="22"/>
                <w:szCs w:val="22"/>
                <w:color w:val="008000"/>
                <w:w w:val="87"/>
                <w:vertAlign w:val="superscript"/>
              </w:rPr>
              <w:t>(3)</w:t>
            </w:r>
          </w:p>
        </w:tc>
        <w:tc>
          <w:tcPr>
            <w:tcW w:w="360" w:type="dxa"/>
            <w:vAlign w:val="bottom"/>
          </w:tcPr>
          <w:p>
            <w:pPr>
              <w:spacing w:after="0"/>
              <w:rPr>
                <w:sz w:val="22"/>
                <w:szCs w:val="22"/>
                <w:color w:val="auto"/>
              </w:rPr>
            </w:pPr>
          </w:p>
        </w:tc>
        <w:tc>
          <w:tcPr>
            <w:tcW w:w="56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40" w:type="dxa"/>
            <w:vAlign w:val="bottom"/>
            <w:gridSpan w:val="4"/>
            <w:vMerge w:val="restart"/>
          </w:tcPr>
          <w:p>
            <w:pPr>
              <w:ind w:left="60"/>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8"/>
              </w:rPr>
              <w:t>459.81</w:t>
            </w:r>
            <w:r>
              <w:rPr>
                <w:rFonts w:ascii="Arial" w:cs="Arial" w:eastAsia="Arial" w:hAnsi="Arial"/>
                <w:sz w:val="22"/>
                <w:szCs w:val="22"/>
                <w:color w:val="008000"/>
                <w:w w:val="88"/>
                <w:vertAlign w:val="superscript"/>
              </w:rPr>
              <w:t>(4)</w:t>
            </w:r>
          </w:p>
        </w:tc>
        <w:tc>
          <w:tcPr>
            <w:tcW w:w="360" w:type="dxa"/>
            <w:vAlign w:val="bottom"/>
          </w:tcPr>
          <w:p>
            <w:pPr>
              <w:spacing w:after="0"/>
              <w:rPr>
                <w:sz w:val="22"/>
                <w:szCs w:val="22"/>
                <w:color w:val="auto"/>
              </w:rPr>
            </w:pPr>
          </w:p>
        </w:tc>
        <w:tc>
          <w:tcPr>
            <w:tcW w:w="56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300" w:type="dxa"/>
            <w:vAlign w:val="bottom"/>
            <w:vMerge w:val="restart"/>
          </w:tcPr>
          <w:p>
            <w:pPr>
              <w:ind w:left="60"/>
              <w:spacing w:after="0"/>
              <w:rPr>
                <w:sz w:val="20"/>
                <w:szCs w:val="20"/>
                <w:color w:val="auto"/>
              </w:rPr>
            </w:pPr>
            <w:r>
              <w:rPr>
                <w:rFonts w:ascii="Arial" w:cs="Arial" w:eastAsia="Arial" w:hAnsi="Arial"/>
                <w:sz w:val="17"/>
                <w:szCs w:val="17"/>
                <w:color w:val="0000FF"/>
                <w:w w:val="96"/>
              </w:rPr>
              <w:t>PS</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2940" w:type="dxa"/>
            <w:vAlign w:val="bottom"/>
            <w:tcBorders>
              <w:bottom w:val="single" w:sz="8" w:color="2C2C2C"/>
            </w:tcBorders>
            <w:gridSpan w:val="6"/>
          </w:tcPr>
          <w:p>
            <w:pPr>
              <w:spacing w:after="0"/>
              <w:rPr>
                <w:sz w:val="8"/>
                <w:szCs w:val="8"/>
                <w:color w:val="auto"/>
              </w:rPr>
            </w:pPr>
          </w:p>
        </w:tc>
        <w:tc>
          <w:tcPr>
            <w:tcW w:w="2740" w:type="dxa"/>
            <w:vAlign w:val="bottom"/>
            <w:tcBorders>
              <w:bottom w:val="single" w:sz="8" w:color="2C2C2C"/>
            </w:tcBorders>
            <w:gridSpan w:val="4"/>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0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2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48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20"/>
                <w:szCs w:val="20"/>
                <w:color w:val="auto"/>
              </w:rPr>
            </w:pPr>
            <w:r>
              <w:rPr>
                <w:rFonts w:ascii="Arial" w:cs="Arial" w:eastAsia="Arial" w:hAnsi="Arial"/>
                <w:sz w:val="12"/>
                <w:szCs w:val="12"/>
                <w:b w:val="1"/>
                <w:bCs w:val="1"/>
                <w:color w:val="auto"/>
                <w:w w:val="97"/>
              </w:rPr>
              <w:t>(Instr. 4)</w:t>
            </w: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ind w:left="280"/>
              <w:spacing w:after="0" w:line="242" w:lineRule="exact"/>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1</w:t>
            </w:r>
            <w:r>
              <w:rPr>
                <w:rFonts w:ascii="Arial" w:cs="Arial" w:eastAsia="Arial" w:hAnsi="Arial"/>
                <w:sz w:val="11"/>
                <w:szCs w:val="11"/>
                <w:color w:val="008000"/>
              </w:rPr>
              <w:t>(5)</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05/18/2007</w:t>
            </w:r>
          </w:p>
        </w:tc>
        <w:tc>
          <w:tcPr>
            <w:tcW w:w="1180" w:type="dxa"/>
            <w:vAlign w:val="bottom"/>
          </w:tcPr>
          <w:p>
            <w:pPr>
              <w:spacing w:after="0"/>
              <w:rPr>
                <w:sz w:val="21"/>
                <w:szCs w:val="21"/>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0000FF"/>
              </w:rPr>
              <w:t>A</w:t>
            </w:r>
          </w:p>
        </w:tc>
        <w:tc>
          <w:tcPr>
            <w:tcW w:w="200" w:type="dxa"/>
            <w:vAlign w:val="bottom"/>
          </w:tcPr>
          <w:p>
            <w:pPr>
              <w:spacing w:after="0"/>
              <w:rPr>
                <w:sz w:val="21"/>
                <w:szCs w:val="21"/>
                <w:color w:val="auto"/>
              </w:rPr>
            </w:pPr>
          </w:p>
        </w:tc>
        <w:tc>
          <w:tcPr>
            <w:tcW w:w="560" w:type="dxa"/>
            <w:vAlign w:val="bottom"/>
          </w:tcPr>
          <w:p>
            <w:pPr>
              <w:ind w:left="80"/>
              <w:spacing w:after="0"/>
              <w:rPr>
                <w:sz w:val="20"/>
                <w:szCs w:val="20"/>
                <w:color w:val="auto"/>
              </w:rPr>
            </w:pPr>
            <w:r>
              <w:rPr>
                <w:rFonts w:ascii="Arial" w:cs="Arial" w:eastAsia="Arial" w:hAnsi="Arial"/>
                <w:sz w:val="13"/>
                <w:szCs w:val="13"/>
                <w:color w:val="0000FF"/>
              </w:rPr>
              <w:t>185.48</w:t>
            </w:r>
          </w:p>
        </w:tc>
        <w:tc>
          <w:tcPr>
            <w:tcW w:w="300" w:type="dxa"/>
            <w:vAlign w:val="bottom"/>
          </w:tcPr>
          <w:p>
            <w:pPr>
              <w:spacing w:after="0"/>
              <w:rPr>
                <w:sz w:val="21"/>
                <w:szCs w:val="21"/>
                <w:color w:val="auto"/>
              </w:rPr>
            </w:pPr>
          </w:p>
        </w:tc>
        <w:tc>
          <w:tcPr>
            <w:tcW w:w="820" w:type="dxa"/>
            <w:vAlign w:val="bottom"/>
            <w:gridSpan w:val="2"/>
          </w:tcPr>
          <w:p>
            <w:pPr>
              <w:ind w:left="320"/>
              <w:spacing w:after="0"/>
              <w:rPr>
                <w:sz w:val="20"/>
                <w:szCs w:val="20"/>
                <w:color w:val="auto"/>
              </w:rPr>
            </w:pPr>
            <w:r>
              <w:rPr>
                <w:rFonts w:ascii="Arial" w:cs="Arial" w:eastAsia="Arial" w:hAnsi="Arial"/>
                <w:sz w:val="11"/>
                <w:szCs w:val="11"/>
                <w:color w:val="008000"/>
              </w:rPr>
              <w:t>(6)</w:t>
            </w:r>
          </w:p>
        </w:tc>
        <w:tc>
          <w:tcPr>
            <w:tcW w:w="700" w:type="dxa"/>
            <w:vAlign w:val="bottom"/>
          </w:tcPr>
          <w:p>
            <w:pPr>
              <w:ind w:left="280"/>
              <w:spacing w:after="0"/>
              <w:rPr>
                <w:sz w:val="20"/>
                <w:szCs w:val="20"/>
                <w:color w:val="auto"/>
              </w:rPr>
            </w:pPr>
            <w:r>
              <w:rPr>
                <w:rFonts w:ascii="Arial" w:cs="Arial" w:eastAsia="Arial" w:hAnsi="Arial"/>
                <w:sz w:val="11"/>
                <w:szCs w:val="11"/>
                <w:color w:val="008000"/>
              </w:rPr>
              <w:t>(6)</w:t>
            </w:r>
          </w:p>
        </w:tc>
        <w:tc>
          <w:tcPr>
            <w:tcW w:w="720" w:type="dxa"/>
            <w:vAlign w:val="bottom"/>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185.48</w:t>
            </w:r>
          </w:p>
        </w:tc>
        <w:tc>
          <w:tcPr>
            <w:tcW w:w="20" w:type="dxa"/>
            <w:vAlign w:val="bottom"/>
          </w:tcPr>
          <w:p>
            <w:pPr>
              <w:spacing w:after="0"/>
              <w:rPr>
                <w:sz w:val="21"/>
                <w:szCs w:val="21"/>
                <w:color w:val="auto"/>
              </w:rPr>
            </w:pPr>
          </w:p>
        </w:tc>
        <w:tc>
          <w:tcPr>
            <w:tcW w:w="760" w:type="dxa"/>
            <w:vAlign w:val="bottom"/>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35.94</w:t>
            </w:r>
          </w:p>
        </w:tc>
        <w:tc>
          <w:tcPr>
            <w:tcW w:w="840" w:type="dxa"/>
            <w:vAlign w:val="bottom"/>
            <w:gridSpan w:val="2"/>
          </w:tcPr>
          <w:p>
            <w:pPr>
              <w:ind w:left="160"/>
              <w:spacing w:after="0"/>
              <w:rPr>
                <w:sz w:val="20"/>
                <w:szCs w:val="20"/>
                <w:color w:val="auto"/>
              </w:rPr>
            </w:pPr>
            <w:r>
              <w:rPr>
                <w:rFonts w:ascii="Arial" w:cs="Arial" w:eastAsia="Arial" w:hAnsi="Arial"/>
                <w:sz w:val="13"/>
                <w:szCs w:val="13"/>
                <w:color w:val="0000FF"/>
              </w:rPr>
              <w:t>22,682.38</w:t>
            </w:r>
          </w:p>
        </w:tc>
        <w:tc>
          <w:tcPr>
            <w:tcW w:w="560" w:type="dxa"/>
            <w:vAlign w:val="bottom"/>
          </w:tcPr>
          <w:p>
            <w:pPr>
              <w:ind w:left="400"/>
              <w:spacing w:after="0"/>
              <w:rPr>
                <w:sz w:val="20"/>
                <w:szCs w:val="20"/>
                <w:color w:val="auto"/>
              </w:rPr>
            </w:pPr>
            <w:r>
              <w:rPr>
                <w:rFonts w:ascii="Arial" w:cs="Arial" w:eastAsia="Arial" w:hAnsi="Arial"/>
                <w:sz w:val="13"/>
                <w:szCs w:val="13"/>
                <w:color w:val="0000FF"/>
              </w:rPr>
              <w:t>D</w:t>
            </w: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by family limited partnership of which the reporting person is a general partner. Reporting person disclaims beneficial ownership except to the extent of his pecuniary interest in the partnership.</w:t>
      </w:r>
    </w:p>
    <w:p>
      <w:pPr>
        <w:spacing w:after="0" w:line="63" w:lineRule="exact"/>
        <w:rPr>
          <w:rFonts w:ascii="Arial" w:cs="Arial" w:eastAsia="Arial" w:hAnsi="Arial"/>
          <w:sz w:val="12"/>
          <w:szCs w:val="12"/>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in trust for the benefit of family members of which reporting person is trustee. Beneficial ownership by reporting person disclaimed.</w:t>
      </w:r>
    </w:p>
    <w:p>
      <w:pPr>
        <w:spacing w:after="0" w:line="51" w:lineRule="exact"/>
        <w:rPr>
          <w:rFonts w:ascii="Arial" w:cs="Arial" w:eastAsia="Arial" w:hAnsi="Arial"/>
          <w:sz w:val="13"/>
          <w:szCs w:val="13"/>
          <w:color w:val="008000"/>
        </w:rPr>
      </w:pPr>
    </w:p>
    <w:p>
      <w:pPr>
        <w:ind w:left="40" w:right="5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3-31-07. (Interests in this account are denominated in units. Consequently, share amount shown is an estimate.) This statement does not include changes in beneficial ownership of shares held in this account occurring after 3-31-07 that are eligible for deferred reporting on Form 5.</w:t>
      </w:r>
    </w:p>
    <w:p>
      <w:pPr>
        <w:spacing w:after="0" w:line="10" w:lineRule="exact"/>
        <w:rPr>
          <w:rFonts w:ascii="Arial" w:cs="Arial" w:eastAsia="Arial" w:hAnsi="Arial"/>
          <w:sz w:val="13"/>
          <w:szCs w:val="13"/>
          <w:color w:val="008000"/>
        </w:rPr>
      </w:pPr>
    </w:p>
    <w:p>
      <w:pPr>
        <w:ind w:left="40" w:right="2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3-31-07. (Interests in this account are denominated in units. Consequently, share amount shown is an estimate.) This statement does not include changes in beneficial ownership of shares held in such account occurring after 3-31-07 that are eligible for deferred reporting on Form 5.</w:t>
      </w:r>
    </w:p>
    <w:p>
      <w:pPr>
        <w:spacing w:after="0" w:line="10"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Security converts to common stock on a one-for-one basis.</w:t>
      </w:r>
    </w:p>
    <w:p>
      <w:pPr>
        <w:spacing w:after="0" w:line="51" w:lineRule="exact"/>
        <w:rPr>
          <w:rFonts w:ascii="Arial" w:cs="Arial" w:eastAsia="Arial" w:hAnsi="Arial"/>
          <w:sz w:val="13"/>
          <w:szCs w:val="13"/>
          <w:color w:val="008000"/>
        </w:rPr>
      </w:pPr>
    </w:p>
    <w:p>
      <w:pPr>
        <w:ind w:left="40" w:right="5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Stock units credited under the Texas Instruments 2003 Director Compensation Plan, to be settled in common stock of the Issuer following the reporting person's termination of service as a director of the Issuer.</w:t>
      </w:r>
    </w:p>
    <w:p>
      <w:pPr>
        <w:spacing w:after="0" w:line="27"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40" w:type="dxa"/>
            <w:vAlign w:val="bottom"/>
            <w:gridSpan w:val="2"/>
          </w:tcPr>
          <w:p>
            <w:pPr>
              <w:spacing w:after="0"/>
              <w:rPr>
                <w:sz w:val="20"/>
                <w:szCs w:val="20"/>
                <w:color w:val="auto"/>
              </w:rPr>
            </w:pPr>
            <w:r>
              <w:rPr>
                <w:rFonts w:ascii="Arial" w:cs="Arial" w:eastAsia="Arial" w:hAnsi="Arial"/>
                <w:sz w:val="17"/>
                <w:szCs w:val="17"/>
                <w:color w:val="0000FF"/>
              </w:rPr>
              <w:t>DANIEL M. DRORY,</w:t>
            </w:r>
          </w:p>
        </w:tc>
        <w:tc>
          <w:tcPr>
            <w:tcW w:w="1440" w:type="dxa"/>
            <w:vAlign w:val="bottom"/>
            <w:gridSpan w:val="2"/>
            <w:vMerge w:val="restart"/>
          </w:tcPr>
          <w:p>
            <w:pPr>
              <w:jc w:val="right"/>
              <w:spacing w:after="0"/>
              <w:rPr>
                <w:sz w:val="20"/>
                <w:szCs w:val="20"/>
                <w:color w:val="auto"/>
              </w:rPr>
            </w:pPr>
            <w:r>
              <w:rPr>
                <w:rFonts w:ascii="Arial" w:cs="Arial" w:eastAsia="Arial" w:hAnsi="Arial"/>
                <w:sz w:val="17"/>
                <w:szCs w:val="17"/>
                <w:color w:val="0000FF"/>
              </w:rPr>
              <w:t>05/21/2007</w:t>
            </w:r>
          </w:p>
        </w:tc>
        <w:tc>
          <w:tcPr>
            <w:tcW w:w="0" w:type="dxa"/>
            <w:vAlign w:val="bottom"/>
          </w:tcPr>
          <w:p>
            <w:pPr>
              <w:spacing w:after="0"/>
              <w:rPr>
                <w:sz w:val="1"/>
                <w:szCs w:val="1"/>
                <w:color w:val="auto"/>
              </w:rPr>
            </w:pPr>
          </w:p>
        </w:tc>
      </w:tr>
      <w:tr>
        <w:trPr>
          <w:trHeight w:val="20"/>
        </w:trPr>
        <w:tc>
          <w:tcPr>
            <w:tcW w:w="1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1640" w:type="dxa"/>
            <w:vAlign w:val="bottom"/>
            <w:gridSpan w:val="2"/>
            <w:vMerge w:val="restart"/>
          </w:tcPr>
          <w:p>
            <w:pPr>
              <w:spacing w:after="0"/>
              <w:rPr>
                <w:sz w:val="20"/>
                <w:szCs w:val="20"/>
                <w:color w:val="auto"/>
              </w:rPr>
            </w:pPr>
            <w:r>
              <w:rPr>
                <w:rFonts w:ascii="Arial" w:cs="Arial" w:eastAsia="Arial" w:hAnsi="Arial"/>
                <w:sz w:val="17"/>
                <w:szCs w:val="17"/>
                <w:color w:val="0000FF"/>
                <w:w w:val="99"/>
              </w:rPr>
              <w:t>ATTORNEY IN FACT</w:t>
            </w:r>
          </w:p>
        </w:tc>
        <w:tc>
          <w:tcPr>
            <w:tcW w:w="14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640" w:type="dxa"/>
            <w:vAlign w:val="bottom"/>
            <w:tcBorders>
              <w:bottom w:val="single" w:sz="8" w:color="auto"/>
            </w:tcBorders>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3080" w:type="dxa"/>
            <w:vAlign w:val="bottom"/>
            <w:gridSpan w:val="4"/>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11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5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2019-12-16T03:02:00Z</dcterms:created>
  <dcterms:modified xsi:type="dcterms:W3CDTF">2019-12-16T03:02:00Z</dcterms:modified>
</cp:coreProperties>
</file>