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365125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20"/>
        <w:spacing w:after="0"/>
        <w:rPr>
          <w:sz w:val="20"/>
          <w:szCs w:val="20"/>
          <w:color w:val="auto"/>
        </w:rPr>
      </w:pPr>
      <w:r>
        <w:rPr>
          <w:rFonts w:ascii="Arial" w:cs="Arial" w:eastAsia="Arial" w:hAnsi="Arial"/>
          <w:sz w:val="17"/>
          <w:szCs w:val="17"/>
          <w:b w:val="1"/>
          <w:bCs w:val="1"/>
          <w:color w:val="auto"/>
        </w:rPr>
        <w:t>DATE OF REPORT (DATE OF EARLIEST EVENT REPORTED): September 10,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377825</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September 10, 2013, regarding the Registrant’s outlook for the third quarter of 2013 is attached hereto as Exhibit 99.</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Designation</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860" w:type="dxa"/>
            <w:vAlign w:val="bottom"/>
          </w:tcPr>
          <w:p>
            <w:pPr>
              <w:spacing w:after="0"/>
              <w:rPr>
                <w:sz w:val="17"/>
                <w:szCs w:val="17"/>
                <w:color w:val="auto"/>
              </w:rPr>
            </w:pPr>
          </w:p>
        </w:tc>
        <w:tc>
          <w:tcPr>
            <w:tcW w:w="924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September 10, 2013 (furnished pursuant to Item 7.01)</w:t>
            </w:r>
          </w:p>
        </w:tc>
      </w:tr>
    </w:tbl>
    <w:p>
      <w:pPr>
        <w:sectPr>
          <w:pgSz w:w="11900" w:h="16838" w:orient="portrait"/>
          <w:cols w:equalWidth="0" w:num="1">
            <w:col w:w="11420"/>
          </w:cols>
          <w:pgMar w:left="240" w:top="517"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10,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100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third-quarter 2013 business outlook</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DALLAS (Sept. 10, 2013) – In a scheduled update to its business outlook for the third quarter of 2013, Texas Instruments Incorporated (TI) (NASDAQ:</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TXN) today narrowed its expected ranges for revenue and earnings per share (EPS).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$3.15 – 3.29 billion compared with the prior range of $3.09 – 3.35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EPS: $0.51 – 0.55 compared with the prior range of $0.49 – 0.57.</w:t>
      </w:r>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will hold a conference call at 4 p.m. Central time today to discuss this update. This conference call will be available live at www.ti.com/ir. TI’s original third-quarter outlook was published in the company’s second-quarter 2013 earnings release on July 22. TI’s third quarter ends on September 30.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right="20" w:hanging="139"/>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2012.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sectPr>
      <w:pgSz w:w="11900" w:h="16838" w:orient="portrait"/>
      <w:cols w:equalWidth="0" w:num="1">
        <w:col w:w="11420"/>
      </w:cols>
      <w:pgMar w:left="240" w:top="118" w:right="239" w:bottom="15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2019-12-05T16:13:58Z</dcterms:created>
  <dcterms:modified xsi:type="dcterms:W3CDTF">2019-12-05T16:13:58Z</dcterms:modified>
</cp:coreProperties>
</file>