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382270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400"/>
        <w:spacing w:after="0"/>
        <w:rPr>
          <w:sz w:val="20"/>
          <w:szCs w:val="20"/>
          <w:color w:val="auto"/>
        </w:rPr>
      </w:pPr>
      <w:r>
        <w:rPr>
          <w:rFonts w:ascii="Arial" w:cs="Arial" w:eastAsia="Arial" w:hAnsi="Arial"/>
          <w:sz w:val="17"/>
          <w:szCs w:val="17"/>
          <w:b w:val="1"/>
          <w:bCs w:val="1"/>
          <w:color w:val="auto"/>
        </w:rPr>
        <w:t>DATE OF REPORT (DATE OF EARLIEST EVENT REPORTED): December 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384810</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394970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433070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December 9, 2013, regarding the Registrant’s outlook for the fourth quarter of 2013 is attached hereto as Exhibit 99.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ITEM 9.01.</w:t>
            </w:r>
          </w:p>
        </w:tc>
        <w:tc>
          <w:tcPr>
            <w:tcW w:w="10320" w:type="dxa"/>
            <w:vAlign w:val="bottom"/>
            <w:gridSpan w:val="3"/>
          </w:tcPr>
          <w:p>
            <w:pPr>
              <w:ind w:left="200"/>
              <w:spacing w:after="0"/>
              <w:rPr>
                <w:sz w:val="20"/>
                <w:szCs w:val="20"/>
                <w:color w:val="auto"/>
              </w:rPr>
            </w:pPr>
            <w:r>
              <w:rPr>
                <w:rFonts w:ascii="Arial" w:cs="Arial" w:eastAsia="Arial" w:hAnsi="Arial"/>
                <w:sz w:val="18"/>
                <w:szCs w:val="18"/>
                <w:color w:val="auto"/>
              </w:rPr>
              <w:t>Exhibits</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Designation</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of Exhibit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in this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w:t>
            </w:r>
          </w:p>
        </w:tc>
        <w:tc>
          <w:tcPr>
            <w:tcW w:w="220" w:type="dxa"/>
            <w:vAlign w:val="bottom"/>
            <w:tcBorders>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202"/>
        </w:trPr>
        <w:tc>
          <w:tcPr>
            <w:tcW w:w="1100" w:type="dxa"/>
            <w:vAlign w:val="bottom"/>
          </w:tcPr>
          <w:p>
            <w:pPr>
              <w:spacing w:after="0" w:line="201" w:lineRule="exact"/>
              <w:rPr>
                <w:sz w:val="20"/>
                <w:szCs w:val="20"/>
                <w:color w:val="auto"/>
              </w:rPr>
            </w:pPr>
            <w:r>
              <w:rPr>
                <w:rFonts w:ascii="Arial" w:cs="Arial" w:eastAsia="Arial" w:hAnsi="Arial"/>
                <w:sz w:val="18"/>
                <w:szCs w:val="18"/>
                <w:color w:val="auto"/>
              </w:rPr>
              <w:t>99</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40" w:type="dxa"/>
            <w:vAlign w:val="bottom"/>
          </w:tcPr>
          <w:p>
            <w:pPr>
              <w:spacing w:after="0" w:line="201" w:lineRule="exact"/>
              <w:rPr>
                <w:sz w:val="20"/>
                <w:szCs w:val="20"/>
                <w:color w:val="auto"/>
              </w:rPr>
            </w:pPr>
            <w:r>
              <w:rPr>
                <w:rFonts w:ascii="Arial" w:cs="Arial" w:eastAsia="Arial" w:hAnsi="Arial"/>
                <w:sz w:val="18"/>
                <w:szCs w:val="18"/>
                <w:color w:val="auto"/>
              </w:rPr>
              <w:t>Registrant’s News Release</w:t>
            </w:r>
          </w:p>
        </w:tc>
      </w:tr>
      <w:tr>
        <w:trPr>
          <w:trHeight w:val="230"/>
        </w:trPr>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December 9, 2013 (furnished pursuant to Item 7.01)</w:t>
            </w:r>
          </w:p>
        </w:tc>
      </w:tr>
    </w:tbl>
    <w:p>
      <w:pPr>
        <w:sectPr>
          <w:pgSz w:w="11900" w:h="16838" w:orient="portrait"/>
          <w:cols w:equalWidth="0" w:num="1">
            <w:col w:w="11420"/>
          </w:cols>
          <w:pgMar w:left="240" w:top="517"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December 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1003"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fourth-quarter 2013 business outlook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DALLAS (Dec. 9, 2013) – In a scheduled update to its business outlook for the fourth quarter of 2013, Texas Instruments Incorporated (TI) (NASDAQ:</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TXN) today narrowed its expected ranges for revenue and earnings per share (EPS).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be within the following ranges:</w:t>
      </w:r>
    </w:p>
    <w:p>
      <w:pPr>
        <w:spacing w:after="0" w:line="252"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$2.92 – 3.04 billion compared with the prior range of $2.86 – 3.10 billion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EPS: $0.44 – 0.48 compared with the prior range of $0.42 – 0.50.</w:t>
      </w:r>
    </w:p>
    <w:p>
      <w:pPr>
        <w:spacing w:after="0" w:line="25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will hold a conference call at 4 p.m. Central time today to discuss this update. This conference call will be available live at www.ti.com/ir. TI’s original fourth-quarter outlook was published in the company’s third-quarter 2013 earnings release on October 21. TI’s fourth quarter ends on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11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right="20" w:hanging="139"/>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2012. The forward-looking statements included in this release are made only as of the date of this release, and TI undertakes no obligation to update the forward-looking statements to reflect subsequent events or circumstances.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2019-12-05T15:45:40Z</dcterms:created>
  <dcterms:modified xsi:type="dcterms:W3CDTF">2019-12-05T15:45:40Z</dcterms:modified>
</cp:coreProperties>
</file>