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p>
    <w:p>
      <w:pPr>
        <w:jc w:val="center"/>
        <w:ind w:right="2739"/>
        <w:spacing w:after="0"/>
        <w:rPr>
          <w:sz w:val="20"/>
          <w:szCs w:val="20"/>
          <w:color w:val="auto"/>
        </w:rPr>
      </w:pPr>
      <w:r>
        <w:rPr>
          <w:rFonts w:ascii="Courier New" w:cs="Courier New" w:eastAsia="Courier New" w:hAnsi="Courier New"/>
          <w:sz w:val="18"/>
          <w:szCs w:val="18"/>
          <w:color w:val="auto"/>
        </w:rPr>
        <w:t>UNITED STATES</w:t>
      </w:r>
    </w:p>
    <w:p>
      <w:pPr>
        <w:jc w:val="center"/>
        <w:ind w:right="283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283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3" w:lineRule="exact"/>
        <w:rPr>
          <w:sz w:val="24"/>
          <w:szCs w:val="24"/>
          <w:color w:val="auto"/>
        </w:rPr>
      </w:pPr>
    </w:p>
    <w:p>
      <w:pPr>
        <w:jc w:val="center"/>
        <w:ind w:right="283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4"/>
          <w:szCs w:val="24"/>
          <w:color w:val="auto"/>
        </w:rPr>
      </w:pPr>
    </w:p>
    <w:p>
      <w:pPr>
        <w:spacing w:after="0" w:line="204"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(Amendment No. 1)*</w:t>
      </w:r>
    </w:p>
    <w:p>
      <w:pPr>
        <w:spacing w:after="0" w:line="200" w:lineRule="exact"/>
        <w:rPr>
          <w:sz w:val="24"/>
          <w:szCs w:val="24"/>
          <w:color w:val="auto"/>
        </w:rPr>
      </w:pPr>
    </w:p>
    <w:p>
      <w:pPr>
        <w:spacing w:after="0" w:line="204"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Texas Instruments, Incorporated</w:t>
      </w:r>
    </w:p>
    <w:p>
      <w:pPr>
        <w:ind w:left="306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Common Stock</w:t>
      </w:r>
    </w:p>
    <w:p>
      <w:pPr>
        <w:jc w:val="center"/>
        <w:ind w:right="241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882508104</w:t>
      </w:r>
    </w:p>
    <w:p>
      <w:pPr>
        <w:ind w:left="316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jc w:val="center"/>
        <w:ind w:right="2519"/>
        <w:spacing w:after="0"/>
        <w:rPr>
          <w:sz w:val="20"/>
          <w:szCs w:val="20"/>
          <w:color w:val="auto"/>
        </w:rPr>
      </w:pPr>
      <w:r>
        <w:rPr>
          <w:rFonts w:ascii="Courier New" w:cs="Courier New" w:eastAsia="Courier New" w:hAnsi="Courier New"/>
          <w:sz w:val="18"/>
          <w:szCs w:val="18"/>
          <w:color w:val="auto"/>
        </w:rPr>
        <w:t>December 31, 2009</w:t>
      </w:r>
    </w:p>
    <w:p>
      <w:pPr>
        <w:jc w:val="center"/>
        <w:ind w:right="2519"/>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5"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178" w:lineRule="exact"/>
        <w:rPr>
          <w:sz w:val="24"/>
          <w:szCs w:val="24"/>
          <w:color w:val="auto"/>
        </w:rPr>
      </w:pPr>
    </w:p>
    <w:p>
      <w:pPr>
        <w:jc w:val="both"/>
        <w:ind w:right="2839"/>
        <w:spacing w:after="0" w:line="275"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2" w:lineRule="exact"/>
        <w:rPr>
          <w:sz w:val="24"/>
          <w:szCs w:val="24"/>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9" w:lineRule="exact"/>
        <w:rPr>
          <w:sz w:val="24"/>
          <w:szCs w:val="24"/>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882508104</w:t>
      </w:r>
      <w:r>
        <w:rPr>
          <w:sz w:val="20"/>
          <w:szCs w:val="20"/>
          <w:color w:val="auto"/>
        </w:rPr>
        <w:tab/>
      </w:r>
      <w:r>
        <w:rPr>
          <w:rFonts w:ascii="Courier New" w:cs="Courier New" w:eastAsia="Courier New" w:hAnsi="Courier New"/>
          <w:sz w:val="16"/>
          <w:szCs w:val="16"/>
          <w:color w:val="auto"/>
        </w:rPr>
        <w:t>Page 1 of 4</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540" w:hanging="427"/>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spacing w:after="0" w:line="4" w:lineRule="exact"/>
        <w:rPr>
          <w:rFonts w:ascii="Courier New" w:cs="Courier New" w:eastAsia="Courier New" w:hAnsi="Courier New"/>
          <w:sz w:val="18"/>
          <w:szCs w:val="18"/>
          <w:color w:val="auto"/>
        </w:rPr>
      </w:pPr>
    </w:p>
    <w:p>
      <w:pPr>
        <w:ind w:left="540" w:right="34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NOS. OF ABOVE PERSONS (ENTITIES ONLY) Capital World Investors **</w:t>
      </w:r>
    </w:p>
    <w:p>
      <w:pPr>
        <w:spacing w:after="0" w:line="200" w:lineRule="exact"/>
        <w:rPr>
          <w:sz w:val="24"/>
          <w:szCs w:val="24"/>
          <w:color w:val="auto"/>
        </w:rPr>
      </w:pPr>
    </w:p>
    <w:p>
      <w:pPr>
        <w:spacing w:after="0" w:line="205" w:lineRule="exact"/>
        <w:rPr>
          <w:sz w:val="24"/>
          <w:szCs w:val="24"/>
          <w:color w:val="auto"/>
        </w:rPr>
      </w:pPr>
    </w:p>
    <w:p>
      <w:pPr>
        <w:ind w:left="540" w:hanging="427"/>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w:t>
      </w:r>
    </w:p>
    <w:p>
      <w:pPr>
        <w:ind w:left="540"/>
        <w:spacing w:after="0" w:line="238" w:lineRule="auto"/>
        <w:tabs>
          <w:tab w:leader="none" w:pos="7040" w:val="left"/>
        </w:tabs>
        <w:rPr>
          <w:sz w:val="20"/>
          <w:szCs w:val="20"/>
          <w:color w:val="auto"/>
        </w:rPr>
      </w:pPr>
      <w:r>
        <w:rPr>
          <w:rFonts w:ascii="Courier New" w:cs="Courier New" w:eastAsia="Courier New" w:hAnsi="Courier New"/>
          <w:sz w:val="18"/>
          <w:szCs w:val="18"/>
          <w:color w:val="auto"/>
        </w:rPr>
        <w:t>INSTRUCTIONS)</w:t>
      </w:r>
      <w:r>
        <w:rPr>
          <w:sz w:val="20"/>
          <w:szCs w:val="20"/>
          <w:color w:val="auto"/>
        </w:rPr>
        <w:tab/>
      </w:r>
      <w:r>
        <w:rPr>
          <w:rFonts w:ascii="Courier New" w:cs="Courier New" w:eastAsia="Courier New" w:hAnsi="Courier New"/>
          <w:sz w:val="18"/>
          <w:szCs w:val="18"/>
          <w:color w:val="auto"/>
        </w:rPr>
        <w:t>(a)</w:t>
      </w:r>
    </w:p>
    <w:p>
      <w:pPr>
        <w:spacing w:after="0" w:line="202" w:lineRule="exact"/>
        <w:rPr>
          <w:sz w:val="24"/>
          <w:szCs w:val="24"/>
          <w:color w:val="auto"/>
        </w:rPr>
      </w:pPr>
    </w:p>
    <w:p>
      <w:pPr>
        <w:ind w:left="7180"/>
        <w:spacing w:after="0"/>
        <w:rPr>
          <w:sz w:val="20"/>
          <w:szCs w:val="20"/>
          <w:color w:val="auto"/>
        </w:rPr>
      </w:pPr>
      <w:r>
        <w:rPr>
          <w:rFonts w:ascii="Courier New" w:cs="Courier New" w:eastAsia="Courier New" w:hAnsi="Courier New"/>
          <w:sz w:val="18"/>
          <w:szCs w:val="18"/>
          <w:color w:val="auto"/>
        </w:rPr>
        <w:t>(b)</w:t>
      </w:r>
    </w:p>
    <w:p>
      <w:pPr>
        <w:ind w:left="540" w:hanging="427"/>
        <w:spacing w:after="0" w:line="238" w:lineRule="auto"/>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4"/>
          <w:szCs w:val="24"/>
          <w:color w:val="auto"/>
        </w:rPr>
      </w:pPr>
    </w:p>
    <w:p>
      <w:pPr>
        <w:spacing w:after="0" w:line="210" w:lineRule="exact"/>
        <w:rPr>
          <w:sz w:val="24"/>
          <w:szCs w:val="24"/>
          <w:color w:val="auto"/>
        </w:rPr>
      </w:pPr>
    </w:p>
    <w:p>
      <w:pPr>
        <w:ind w:left="540" w:right="5899" w:hanging="427"/>
        <w:spacing w:after="0" w:line="470" w:lineRule="auto"/>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ectPr>
          <w:pgSz w:w="11900" w:h="16848" w:orient="portrait"/>
          <w:cols w:equalWidth="0" w:num="1">
            <w:col w:w="10219"/>
          </w:cols>
          <w:pgMar w:left="240" w:top="244" w:right="1440" w:bottom="0" w:gutter="0" w:footer="0" w:header="0"/>
        </w:sectPr>
      </w:pPr>
    </w:p>
    <w:bookmarkStart w:id="1" w:name="page2"/>
    <w:bookmarkEnd w:id="1"/>
    <w:p>
      <w:pPr>
        <w:ind w:left="1900" w:right="6639" w:hanging="523"/>
        <w:spacing w:after="0" w:line="558" w:lineRule="auto"/>
        <w:tabs>
          <w:tab w:leader="none" w:pos="1795"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VOTING POWER 18,881,100</w:t>
      </w:r>
    </w:p>
    <w:p>
      <w:pPr>
        <w:spacing w:after="0" w:line="164" w:lineRule="exact"/>
        <w:rPr>
          <w:sz w:val="20"/>
          <w:szCs w:val="20"/>
          <w:color w:val="auto"/>
        </w:rPr>
      </w:pPr>
    </w:p>
    <w:p>
      <w:pPr>
        <w:ind w:left="1380"/>
        <w:spacing w:after="0"/>
        <w:tabs>
          <w:tab w:leader="none" w:pos="1780" w:val="left"/>
        </w:tabs>
        <w:rPr>
          <w:sz w:val="20"/>
          <w:szCs w:val="20"/>
          <w:color w:val="auto"/>
        </w:rPr>
      </w:pP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8"/>
          <w:szCs w:val="18"/>
          <w:color w:val="auto"/>
        </w:rPr>
        <w:t>SHARED VOTING POWER</w:t>
      </w:r>
    </w:p>
    <w:p>
      <w:pPr>
        <w:ind w:left="120"/>
        <w:spacing w:after="0" w:line="238" w:lineRule="auto"/>
        <w:rPr>
          <w:sz w:val="20"/>
          <w:szCs w:val="20"/>
          <w:color w:val="auto"/>
        </w:rPr>
      </w:pPr>
      <w:r>
        <w:rPr>
          <w:rFonts w:ascii="Courier New" w:cs="Courier New" w:eastAsia="Courier New" w:hAnsi="Courier New"/>
          <w:sz w:val="18"/>
          <w:szCs w:val="18"/>
          <w:color w:val="auto"/>
        </w:rPr>
        <w:t>NUMBER OF</w:t>
      </w:r>
    </w:p>
    <w:p>
      <w:pPr>
        <w:ind w:left="320"/>
        <w:spacing w:after="0"/>
        <w:tabs>
          <w:tab w:leader="none" w:pos="1880" w:val="left"/>
        </w:tabs>
        <w:rPr>
          <w:sz w:val="20"/>
          <w:szCs w:val="20"/>
          <w:color w:val="auto"/>
        </w:rPr>
      </w:pPr>
      <w:r>
        <w:rPr>
          <w:rFonts w:ascii="Courier New" w:cs="Courier New" w:eastAsia="Courier New" w:hAnsi="Courier New"/>
          <w:sz w:val="18"/>
          <w:szCs w:val="18"/>
          <w:color w:val="auto"/>
        </w:rPr>
        <w:t>SHARES</w:t>
      </w:r>
      <w:r>
        <w:rPr>
          <w:sz w:val="20"/>
          <w:szCs w:val="20"/>
          <w:color w:val="auto"/>
        </w:rPr>
        <w:tab/>
      </w:r>
      <w:r>
        <w:rPr>
          <w:rFonts w:ascii="Courier New" w:cs="Courier New" w:eastAsia="Courier New" w:hAnsi="Courier New"/>
          <w:sz w:val="18"/>
          <w:szCs w:val="18"/>
          <w:color w:val="auto"/>
        </w:rPr>
        <w:t>NONE</w:t>
      </w:r>
    </w:p>
    <w:p>
      <w:pPr>
        <w:spacing w:after="0" w:line="237" w:lineRule="auto"/>
        <w:rPr>
          <w:sz w:val="20"/>
          <w:szCs w:val="20"/>
          <w:color w:val="auto"/>
        </w:rPr>
      </w:pPr>
      <w:r>
        <w:rPr>
          <w:rFonts w:ascii="Courier New" w:cs="Courier New" w:eastAsia="Courier New" w:hAnsi="Courier New"/>
          <w:sz w:val="18"/>
          <w:szCs w:val="18"/>
          <w:color w:val="auto"/>
        </w:rPr>
        <w:t>BENEFICIALL</w:t>
      </w:r>
    </w:p>
    <w:p>
      <w:pPr>
        <w:ind w:left="120"/>
        <w:spacing w:after="0" w:line="238" w:lineRule="auto"/>
        <w:rPr>
          <w:sz w:val="20"/>
          <w:szCs w:val="20"/>
          <w:color w:val="auto"/>
        </w:rPr>
      </w:pPr>
      <w:r>
        <w:rPr>
          <w:rFonts w:ascii="Courier New" w:cs="Courier New" w:eastAsia="Courier New" w:hAnsi="Courier New"/>
          <w:sz w:val="18"/>
          <w:szCs w:val="18"/>
          <w:color w:val="auto"/>
        </w:rPr>
        <w:t>Y OWNED BY</w:t>
      </w:r>
    </w:p>
    <w:p>
      <w:pPr>
        <w:ind w:left="1380"/>
        <w:spacing w:after="0"/>
        <w:tabs>
          <w:tab w:leader="none" w:pos="1780" w:val="left"/>
        </w:tabs>
        <w:rPr>
          <w:sz w:val="20"/>
          <w:szCs w:val="20"/>
          <w:color w:val="auto"/>
        </w:rPr>
      </w:pPr>
      <w:r>
        <w:rPr>
          <w:rFonts w:ascii="Courier New" w:cs="Courier New" w:eastAsia="Courier New" w:hAnsi="Courier New"/>
          <w:sz w:val="18"/>
          <w:szCs w:val="18"/>
          <w:color w:val="auto"/>
        </w:rPr>
        <w:t>7</w:t>
      </w:r>
      <w:r>
        <w:rPr>
          <w:sz w:val="20"/>
          <w:szCs w:val="20"/>
          <w:color w:val="auto"/>
        </w:rPr>
        <w:tab/>
      </w:r>
      <w:r>
        <w:rPr>
          <w:rFonts w:ascii="Courier New" w:cs="Courier New" w:eastAsia="Courier New" w:hAnsi="Courier New"/>
          <w:sz w:val="18"/>
          <w:szCs w:val="18"/>
          <w:color w:val="auto"/>
        </w:rPr>
        <w:t>SOLE DISPOSITIVE POWER</w:t>
      </w:r>
    </w:p>
    <w:p>
      <w:pPr>
        <w:ind w:left="420"/>
        <w:spacing w:after="0" w:line="237" w:lineRule="auto"/>
        <w:rPr>
          <w:sz w:val="20"/>
          <w:szCs w:val="20"/>
          <w:color w:val="auto"/>
        </w:rPr>
      </w:pPr>
      <w:r>
        <w:rPr>
          <w:rFonts w:ascii="Courier New" w:cs="Courier New" w:eastAsia="Courier New" w:hAnsi="Courier New"/>
          <w:sz w:val="18"/>
          <w:szCs w:val="18"/>
          <w:color w:val="auto"/>
        </w:rPr>
        <w:t>EACH</w:t>
      </w:r>
    </w:p>
    <w:p>
      <w:pPr>
        <w:ind w:left="120"/>
        <w:spacing w:after="0"/>
        <w:tabs>
          <w:tab w:leader="none" w:pos="1880" w:val="left"/>
        </w:tabs>
        <w:rPr>
          <w:sz w:val="20"/>
          <w:szCs w:val="20"/>
          <w:color w:val="auto"/>
        </w:rPr>
      </w:pPr>
      <w:r>
        <w:rPr>
          <w:rFonts w:ascii="Courier New" w:cs="Courier New" w:eastAsia="Courier New" w:hAnsi="Courier New"/>
          <w:sz w:val="18"/>
          <w:szCs w:val="18"/>
          <w:color w:val="auto"/>
        </w:rPr>
        <w:t>REPORTING</w:t>
      </w:r>
      <w:r>
        <w:rPr>
          <w:sz w:val="20"/>
          <w:szCs w:val="20"/>
          <w:color w:val="auto"/>
        </w:rPr>
        <w:tab/>
      </w:r>
      <w:r>
        <w:rPr>
          <w:rFonts w:ascii="Courier New" w:cs="Courier New" w:eastAsia="Courier New" w:hAnsi="Courier New"/>
          <w:sz w:val="18"/>
          <w:szCs w:val="18"/>
          <w:color w:val="auto"/>
        </w:rPr>
        <w:t>49,631,100</w:t>
      </w:r>
    </w:p>
    <w:p>
      <w:pPr>
        <w:ind w:left="320"/>
        <w:spacing w:after="0" w:line="237" w:lineRule="auto"/>
        <w:rPr>
          <w:sz w:val="20"/>
          <w:szCs w:val="20"/>
          <w:color w:val="auto"/>
        </w:rPr>
      </w:pPr>
      <w:r>
        <w:rPr>
          <w:rFonts w:ascii="Courier New" w:cs="Courier New" w:eastAsia="Courier New" w:hAnsi="Courier New"/>
          <w:sz w:val="18"/>
          <w:szCs w:val="18"/>
          <w:color w:val="auto"/>
        </w:rPr>
        <w:t>PERSON</w:t>
      </w:r>
    </w:p>
    <w:p>
      <w:pPr>
        <w:ind w:left="320"/>
        <w:spacing w:after="0"/>
        <w:rPr>
          <w:sz w:val="20"/>
          <w:szCs w:val="20"/>
          <w:color w:val="auto"/>
        </w:rPr>
      </w:pPr>
      <w:r>
        <w:rPr>
          <w:rFonts w:ascii="Courier New" w:cs="Courier New" w:eastAsia="Courier New" w:hAnsi="Courier New"/>
          <w:sz w:val="18"/>
          <w:szCs w:val="18"/>
          <w:color w:val="auto"/>
        </w:rPr>
        <w:t>WITH:</w:t>
      </w:r>
    </w:p>
    <w:p>
      <w:pPr>
        <w:spacing w:after="0" w:line="3" w:lineRule="exact"/>
        <w:rPr>
          <w:sz w:val="20"/>
          <w:szCs w:val="20"/>
          <w:color w:val="auto"/>
        </w:rPr>
      </w:pPr>
    </w:p>
    <w:p>
      <w:pPr>
        <w:ind w:left="1900" w:right="5899" w:hanging="523"/>
        <w:spacing w:after="0" w:line="470" w:lineRule="auto"/>
        <w:tabs>
          <w:tab w:leader="none" w:pos="1795"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NONE</w:t>
      </w:r>
    </w:p>
    <w:p>
      <w:pPr>
        <w:spacing w:after="0" w:line="6" w:lineRule="exact"/>
        <w:rPr>
          <w:sz w:val="20"/>
          <w:szCs w:val="20"/>
          <w:color w:val="auto"/>
        </w:rPr>
      </w:pPr>
    </w:p>
    <w:p>
      <w:pPr>
        <w:ind w:left="540" w:hanging="427"/>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49,631,100</w:t>
      </w:r>
      <w:r>
        <w:rPr>
          <w:rFonts w:ascii="Courier New" w:cs="Courier New" w:eastAsia="Courier New" w:hAnsi="Courier New"/>
          <w:sz w:val="16"/>
          <w:szCs w:val="16"/>
          <w:color w:val="auto"/>
        </w:rPr>
        <w:t>Beneficial ownership disclaimed pursuant to Rule</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13d-4</w:t>
      </w:r>
    </w:p>
    <w:p>
      <w:pPr>
        <w:spacing w:after="0" w:line="200" w:lineRule="exact"/>
        <w:rPr>
          <w:sz w:val="20"/>
          <w:szCs w:val="20"/>
          <w:color w:val="auto"/>
        </w:rPr>
      </w:pPr>
    </w:p>
    <w:p>
      <w:pPr>
        <w:spacing w:after="0" w:line="210" w:lineRule="exact"/>
        <w:rPr>
          <w:sz w:val="20"/>
          <w:szCs w:val="20"/>
          <w:color w:val="auto"/>
        </w:rPr>
      </w:pPr>
    </w:p>
    <w:p>
      <w:pPr>
        <w:ind w:left="540" w:right="2519" w:hanging="427"/>
        <w:spacing w:after="0" w:line="235" w:lineRule="auto"/>
        <w:tabs>
          <w:tab w:leader="none" w:pos="5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(SEE INSTRUCTIONS)</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left="540" w:right="4739" w:hanging="427"/>
        <w:spacing w:after="0" w:line="470" w:lineRule="auto"/>
        <w:tabs>
          <w:tab w:leader="none" w:pos="5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4.0%</w:t>
      </w:r>
    </w:p>
    <w:p>
      <w:pPr>
        <w:spacing w:after="0" w:line="11" w:lineRule="exact"/>
        <w:rPr>
          <w:rFonts w:ascii="Courier New" w:cs="Courier New" w:eastAsia="Courier New" w:hAnsi="Courier New"/>
          <w:sz w:val="18"/>
          <w:szCs w:val="18"/>
          <w:color w:val="auto"/>
        </w:rPr>
      </w:pPr>
    </w:p>
    <w:p>
      <w:pPr>
        <w:ind w:left="540" w:right="5159" w:hanging="427"/>
        <w:spacing w:after="0" w:line="470" w:lineRule="auto"/>
        <w:tabs>
          <w:tab w:leader="none" w:pos="5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IA</w:t>
      </w:r>
    </w:p>
    <w:p>
      <w:pPr>
        <w:spacing w:after="0" w:line="6"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division of Capital Research and Management Company (CRMC)</w:t>
      </w:r>
    </w:p>
    <w:p>
      <w:pPr>
        <w:sectPr>
          <w:pgSz w:w="11900" w:h="16838"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882508104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2 of 4</w:t>
      </w:r>
    </w:p>
    <w:p>
      <w:pPr>
        <w:spacing w:after="0" w:line="200" w:lineRule="exact"/>
        <w:rPr>
          <w:sz w:val="20"/>
          <w:szCs w:val="20"/>
          <w:color w:val="auto"/>
        </w:rPr>
      </w:pPr>
    </w:p>
    <w:p>
      <w:pPr>
        <w:sectPr>
          <w:pgSz w:w="11900" w:h="16838" w:orient="portrait"/>
          <w:cols w:equalWidth="0" w:num="2">
            <w:col w:w="6020" w:space="720"/>
            <w:col w:w="3479"/>
          </w:cols>
          <w:pgMar w:left="240" w:top="142" w:right="1440" w:bottom="0" w:gutter="0" w:footer="0" w:header="0"/>
          <w:type w:val="continuous"/>
        </w:sectPr>
      </w:pPr>
    </w:p>
    <w:p>
      <w:pPr>
        <w:spacing w:after="0" w:line="221"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281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8"/>
          <w:szCs w:val="18"/>
          <w:color w:val="auto"/>
        </w:rPr>
        <w:t>Schedule 13G</w:t>
      </w:r>
    </w:p>
    <w:p>
      <w:pPr>
        <w:jc w:val="center"/>
        <w:ind w:right="2719"/>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Amendment No. 1</w:t>
      </w:r>
    </w:p>
    <w:p>
      <w:pPr>
        <w:spacing w:after="0" w:line="20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740"/>
        <w:spacing w:after="0" w:line="238" w:lineRule="auto"/>
        <w:rPr>
          <w:sz w:val="20"/>
          <w:szCs w:val="20"/>
          <w:color w:val="auto"/>
        </w:rPr>
      </w:pPr>
      <w:r>
        <w:rPr>
          <w:rFonts w:ascii="Courier New" w:cs="Courier New" w:eastAsia="Courier New" w:hAnsi="Courier New"/>
          <w:sz w:val="18"/>
          <w:szCs w:val="18"/>
          <w:color w:val="auto"/>
        </w:rPr>
        <w:t>Texas Instruments, Incorporated</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ind w:left="740"/>
        <w:spacing w:after="0" w:line="238" w:lineRule="auto"/>
        <w:rPr>
          <w:sz w:val="20"/>
          <w:szCs w:val="20"/>
          <w:color w:val="auto"/>
        </w:rPr>
      </w:pPr>
      <w:r>
        <w:rPr>
          <w:rFonts w:ascii="Courier New" w:cs="Courier New" w:eastAsia="Courier New" w:hAnsi="Courier New"/>
          <w:sz w:val="18"/>
          <w:szCs w:val="18"/>
          <w:color w:val="auto"/>
        </w:rPr>
        <w:t>12500 TI Boulevard</w:t>
      </w:r>
    </w:p>
    <w:p>
      <w:pPr>
        <w:ind w:left="740"/>
        <w:spacing w:after="0"/>
        <w:rPr>
          <w:sz w:val="20"/>
          <w:szCs w:val="20"/>
          <w:color w:val="auto"/>
        </w:rPr>
      </w:pPr>
      <w:r>
        <w:rPr>
          <w:rFonts w:ascii="Courier New" w:cs="Courier New" w:eastAsia="Courier New" w:hAnsi="Courier New"/>
          <w:sz w:val="18"/>
          <w:szCs w:val="18"/>
          <w:color w:val="auto"/>
        </w:rPr>
        <w:t>P.O. Box 660199</w:t>
      </w:r>
    </w:p>
    <w:p>
      <w:pPr>
        <w:ind w:left="740"/>
        <w:spacing w:after="0" w:line="237" w:lineRule="auto"/>
        <w:rPr>
          <w:sz w:val="20"/>
          <w:szCs w:val="20"/>
          <w:color w:val="auto"/>
        </w:rPr>
      </w:pPr>
      <w:r>
        <w:rPr>
          <w:rFonts w:ascii="Courier New" w:cs="Courier New" w:eastAsia="Courier New" w:hAnsi="Courier New"/>
          <w:sz w:val="18"/>
          <w:szCs w:val="18"/>
          <w:color w:val="auto"/>
        </w:rPr>
        <w:t>Dallas, TX 75266-0199</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Person(s) Filing:</w:t>
      </w:r>
    </w:p>
    <w:p>
      <w:pPr>
        <w:sectPr>
          <w:pgSz w:w="11900" w:h="16838" w:orient="portrait"/>
          <w:cols w:equalWidth="0" w:num="1">
            <w:col w:w="10219"/>
          </w:cols>
          <w:pgMar w:left="240" w:top="142" w:right="1440" w:bottom="0" w:gutter="0" w:footer="0" w:header="0"/>
          <w:type w:val="continuous"/>
        </w:sectPr>
      </w:pPr>
    </w:p>
    <w:p>
      <w:pPr>
        <w:ind w:left="740"/>
        <w:spacing w:after="0" w:line="238" w:lineRule="auto"/>
        <w:rPr>
          <w:sz w:val="20"/>
          <w:szCs w:val="20"/>
          <w:color w:val="auto"/>
        </w:rPr>
      </w:pPr>
      <w:r>
        <w:rPr>
          <w:rFonts w:ascii="Courier New" w:cs="Courier New" w:eastAsia="Courier New" w:hAnsi="Courier New"/>
          <w:sz w:val="18"/>
          <w:szCs w:val="18"/>
          <w:color w:val="auto"/>
        </w:rPr>
        <w:t>Capital World Investors</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 or, if none,</w:t>
      </w:r>
    </w:p>
    <w:p>
      <w:pPr>
        <w:ind w:left="740"/>
        <w:spacing w:after="0" w:line="238" w:lineRule="auto"/>
        <w:rPr>
          <w:sz w:val="20"/>
          <w:szCs w:val="20"/>
          <w:color w:val="auto"/>
        </w:rPr>
      </w:pPr>
      <w:r>
        <w:rPr>
          <w:rFonts w:ascii="Courier New" w:cs="Courier New" w:eastAsia="Courier New" w:hAnsi="Courier New"/>
          <w:sz w:val="18"/>
          <w:szCs w:val="18"/>
          <w:color w:val="auto"/>
        </w:rPr>
        <w:t>Residence:</w:t>
      </w:r>
    </w:p>
    <w:p>
      <w:pPr>
        <w:ind w:left="740"/>
        <w:spacing w:after="0"/>
        <w:rPr>
          <w:sz w:val="20"/>
          <w:szCs w:val="20"/>
          <w:color w:val="auto"/>
        </w:rPr>
      </w:pPr>
      <w:r>
        <w:rPr>
          <w:rFonts w:ascii="Courier New" w:cs="Courier New" w:eastAsia="Courier New" w:hAnsi="Courier New"/>
          <w:sz w:val="18"/>
          <w:szCs w:val="18"/>
          <w:color w:val="auto"/>
        </w:rPr>
        <w:t>333 South Hope Street</w:t>
      </w:r>
    </w:p>
    <w:p>
      <w:pPr>
        <w:ind w:left="740"/>
        <w:spacing w:after="0" w:line="237" w:lineRule="auto"/>
        <w:rPr>
          <w:sz w:val="20"/>
          <w:szCs w:val="20"/>
          <w:color w:val="auto"/>
        </w:rPr>
      </w:pPr>
      <w:r>
        <w:rPr>
          <w:rFonts w:ascii="Courier New" w:cs="Courier New" w:eastAsia="Courier New" w:hAnsi="Courier New"/>
          <w:sz w:val="18"/>
          <w:szCs w:val="18"/>
          <w:color w:val="auto"/>
        </w:rPr>
        <w:t>Los Angeles, CA 90071</w:t>
      </w:r>
    </w:p>
    <w:p>
      <w:pPr>
        <w:spacing w:after="0" w:line="202" w:lineRule="exact"/>
        <w:rPr>
          <w:sz w:val="20"/>
          <w:szCs w:val="20"/>
          <w:color w:val="auto"/>
        </w:rPr>
      </w:pPr>
    </w:p>
    <w:p>
      <w:pPr>
        <w:spacing w:after="0"/>
        <w:tabs>
          <w:tab w:leader="none" w:pos="1460" w:val="left"/>
          <w:tab w:leader="none" w:pos="304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8"/>
          <w:szCs w:val="18"/>
          <w:color w:val="auto"/>
        </w:rPr>
        <w:t>Citizenship:</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ind w:left="740"/>
        <w:spacing w:after="0" w:line="238" w:lineRule="auto"/>
        <w:rPr>
          <w:sz w:val="20"/>
          <w:szCs w:val="20"/>
          <w:color w:val="auto"/>
        </w:rPr>
      </w:pPr>
      <w:r>
        <w:rPr>
          <w:rFonts w:ascii="Courier New" w:cs="Courier New" w:eastAsia="Courier New" w:hAnsi="Courier New"/>
          <w:sz w:val="18"/>
          <w:szCs w:val="18"/>
          <w:color w:val="auto"/>
        </w:rPr>
        <w:t>Common Stock</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740"/>
        <w:spacing w:after="0" w:line="238" w:lineRule="auto"/>
        <w:rPr>
          <w:sz w:val="20"/>
          <w:szCs w:val="20"/>
          <w:color w:val="auto"/>
        </w:rPr>
      </w:pPr>
      <w:r>
        <w:rPr>
          <w:rFonts w:ascii="Courier New" w:cs="Courier New" w:eastAsia="Courier New" w:hAnsi="Courier New"/>
          <w:sz w:val="18"/>
          <w:szCs w:val="18"/>
          <w:color w:val="auto"/>
        </w:rPr>
        <w:t>882508104</w:t>
      </w:r>
    </w:p>
    <w:p>
      <w:pPr>
        <w:spacing w:after="0" w:line="202"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sections 240.13d-1(b)</w:t>
      </w:r>
    </w:p>
    <w:p>
      <w:pPr>
        <w:ind w:left="740"/>
        <w:spacing w:after="0" w:line="238" w:lineRule="auto"/>
        <w:rPr>
          <w:sz w:val="20"/>
          <w:szCs w:val="20"/>
          <w:color w:val="auto"/>
        </w:rPr>
      </w:pPr>
      <w:r>
        <w:rPr>
          <w:rFonts w:ascii="Courier New" w:cs="Courier New" w:eastAsia="Courier New" w:hAnsi="Courier New"/>
          <w:sz w:val="18"/>
          <w:szCs w:val="18"/>
          <w:color w:val="auto"/>
        </w:rPr>
        <w:t>or 240.13d-2(b) or (c), check whether the person filing is a:</w:t>
      </w:r>
    </w:p>
    <w:p>
      <w:pPr>
        <w:sectPr>
          <w:pgSz w:w="11900" w:h="16838" w:orient="portrait"/>
          <w:cols w:equalWidth="0" w:num="1">
            <w:col w:w="10219"/>
          </w:cols>
          <w:pgMar w:left="240" w:top="142" w:right="1440" w:bottom="0" w:gutter="0" w:footer="0" w:header="0"/>
          <w:type w:val="continuous"/>
        </w:sectPr>
      </w:pPr>
    </w:p>
    <w:bookmarkStart w:id="2" w:name="page3"/>
    <w:bookmarkEnd w:id="2"/>
    <w:p>
      <w:pPr>
        <w:ind w:left="1280" w:right="3479" w:hanging="535"/>
        <w:spacing w:after="0" w:line="235" w:lineRule="auto"/>
        <w:tabs>
          <w:tab w:leader="none" w:pos="1701"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An investment adviser in accordance with section 240.13d-1(b)(1)(ii)(E).</w:t>
      </w:r>
    </w:p>
    <w:p>
      <w:pPr>
        <w:spacing w:after="0" w:line="203"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left="740" w:right="2939"/>
        <w:spacing w:after="0" w:line="236" w:lineRule="auto"/>
        <w:rPr>
          <w:sz w:val="20"/>
          <w:szCs w:val="20"/>
          <w:color w:val="auto"/>
        </w:rPr>
      </w:pPr>
      <w:r>
        <w:rPr>
          <w:rFonts w:ascii="Courier New" w:cs="Courier New" w:eastAsia="Courier New" w:hAnsi="Courier New"/>
          <w:sz w:val="18"/>
          <w:szCs w:val="18"/>
          <w:color w:val="auto"/>
        </w:rPr>
        <w:t>Provide the following information regarding the aggregate number and percentage of the class of securities of the issuer identified in Item 1.</w:t>
      </w:r>
    </w:p>
    <w:p>
      <w:pPr>
        <w:spacing w:after="0" w:line="200" w:lineRule="exact"/>
        <w:rPr>
          <w:sz w:val="20"/>
          <w:szCs w:val="20"/>
          <w:color w:val="auto"/>
        </w:rPr>
      </w:pPr>
    </w:p>
    <w:p>
      <w:pPr>
        <w:spacing w:after="0" w:line="206" w:lineRule="exact"/>
        <w:rPr>
          <w:sz w:val="20"/>
          <w:szCs w:val="20"/>
          <w:color w:val="auto"/>
        </w:rPr>
      </w:pPr>
    </w:p>
    <w:p>
      <w:pPr>
        <w:ind w:left="1480" w:hanging="735"/>
        <w:spacing w:after="0"/>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w:t>
      </w:r>
    </w:p>
    <w:p>
      <w:pPr>
        <w:ind w:left="1480" w:hanging="735"/>
        <w:spacing w:after="0" w:line="238" w:lineRule="auto"/>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ind w:left="1480" w:hanging="735"/>
        <w:spacing w:after="0" w:line="238" w:lineRule="auto"/>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ind w:left="1480" w:hanging="735"/>
        <w:spacing w:after="0"/>
        <w:tabs>
          <w:tab w:leader="none" w:pos="14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ind w:left="1480" w:hanging="735"/>
        <w:spacing w:after="0" w:line="238" w:lineRule="auto"/>
        <w:tabs>
          <w:tab w:leader="none" w:pos="14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1480" w:hanging="735"/>
        <w:spacing w:after="0" w:line="238" w:lineRule="auto"/>
        <w:tabs>
          <w:tab w:leader="none" w:pos="14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ind w:left="1480" w:hanging="735"/>
        <w:spacing w:after="0" w:line="238" w:lineRule="auto"/>
        <w:tabs>
          <w:tab w:leader="none" w:pos="14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See page 2</w:t>
      </w:r>
    </w:p>
    <w:p>
      <w:pPr>
        <w:spacing w:after="0" w:line="207" w:lineRule="exact"/>
        <w:rPr>
          <w:sz w:val="20"/>
          <w:szCs w:val="20"/>
          <w:color w:val="auto"/>
        </w:rPr>
      </w:pPr>
    </w:p>
    <w:p>
      <w:pPr>
        <w:ind w:left="740" w:right="2839"/>
        <w:spacing w:after="0" w:line="273" w:lineRule="auto"/>
        <w:rPr>
          <w:sz w:val="20"/>
          <w:szCs w:val="20"/>
          <w:color w:val="auto"/>
        </w:rPr>
      </w:pPr>
      <w:r>
        <w:rPr>
          <w:rFonts w:ascii="Courier New" w:cs="Courier New" w:eastAsia="Courier New" w:hAnsi="Courier New"/>
          <w:sz w:val="16"/>
          <w:szCs w:val="16"/>
          <w:color w:val="auto"/>
        </w:rPr>
        <w:t>Capital World Investors is deemed to be the beneficial owner of 49,631,100 shares or 4% of the 1,252,873,398 shares of Common Stock believed to be outstanding as a result of CRMC acting as investment adviser to various investment companies registered under Section 8 of the Investment Company Act of 1940.</w:t>
      </w:r>
    </w:p>
    <w:p>
      <w:pPr>
        <w:spacing w:after="0" w:line="179"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882508104</w:t>
      </w:r>
      <w:r>
        <w:rPr>
          <w:sz w:val="20"/>
          <w:szCs w:val="20"/>
          <w:color w:val="auto"/>
        </w:rPr>
        <w:tab/>
      </w:r>
      <w:r>
        <w:rPr>
          <w:rFonts w:ascii="Courier New" w:cs="Courier New" w:eastAsia="Courier New" w:hAnsi="Courier New"/>
          <w:sz w:val="16"/>
          <w:szCs w:val="16"/>
          <w:color w:val="auto"/>
        </w:rPr>
        <w:t>Page 3 of 4</w:t>
      </w:r>
    </w:p>
    <w:p>
      <w:pPr>
        <w:spacing w:after="0" w:line="207" w:lineRule="exact"/>
        <w:rPr>
          <w:sz w:val="20"/>
          <w:szCs w:val="20"/>
          <w:color w:val="auto"/>
        </w:rPr>
      </w:pPr>
    </w:p>
    <w:p>
      <w:pPr>
        <w:ind w:left="740" w:right="2839" w:hanging="736"/>
        <w:spacing w:after="0" w:line="237" w:lineRule="auto"/>
        <w:tabs>
          <w:tab w:leader="none" w:pos="720" w:val="left"/>
        </w:tabs>
        <w:rPr>
          <w:sz w:val="20"/>
          <w:szCs w:val="20"/>
          <w:color w:val="auto"/>
        </w:rPr>
      </w:pPr>
      <w:r>
        <w:rPr>
          <w:rFonts w:ascii="Courier New" w:cs="Courier New" w:eastAsia="Courier New" w:hAnsi="Courier New"/>
          <w:sz w:val="18"/>
          <w:szCs w:val="18"/>
          <w:color w:val="auto"/>
        </w:rPr>
        <w:t>Item 5</w:t>
        <w:tab/>
        <w:t>Ownership of Five Percent or Less of a Class. If this statement is being filed to report the fact that as of the date hereof the reporting person has ceased to be the beneficial owner of more than five percent of the class of securities, check the following: [X]</w:t>
      </w:r>
    </w:p>
    <w:p>
      <w:pPr>
        <w:spacing w:after="0" w:line="209" w:lineRule="exact"/>
        <w:rPr>
          <w:sz w:val="20"/>
          <w:szCs w:val="20"/>
          <w:color w:val="auto"/>
        </w:rPr>
      </w:pPr>
    </w:p>
    <w:p>
      <w:pPr>
        <w:ind w:left="740" w:right="2839" w:hanging="736"/>
        <w:spacing w:after="0" w:line="237" w:lineRule="auto"/>
        <w:tabs>
          <w:tab w:leader="none" w:pos="720" w:val="left"/>
        </w:tabs>
        <w:rPr>
          <w:sz w:val="20"/>
          <w:szCs w:val="20"/>
          <w:color w:val="auto"/>
        </w:rPr>
      </w:pPr>
      <w:r>
        <w:rPr>
          <w:rFonts w:ascii="Courier New" w:cs="Courier New" w:eastAsia="Courier New" w:hAnsi="Courier New"/>
          <w:sz w:val="18"/>
          <w:szCs w:val="18"/>
          <w:color w:val="auto"/>
        </w:rPr>
        <w:t>Item 6</w:t>
        <w:tab/>
        <w:t>Ownership of More than Five Percent on Behalf of Another Person: One or more clients of Capital World Investors have the right to receive or the power to direct the receipt of dividends from, or the proceeds from the sale of, the Common Stock of Texas Instruments, Incorporated.</w:t>
      </w:r>
    </w:p>
    <w:p>
      <w:pPr>
        <w:spacing w:after="0" w:line="209" w:lineRule="exact"/>
        <w:rPr>
          <w:sz w:val="20"/>
          <w:szCs w:val="20"/>
          <w:color w:val="auto"/>
        </w:rPr>
      </w:pPr>
    </w:p>
    <w:p>
      <w:pPr>
        <w:jc w:val="both"/>
        <w:ind w:left="740" w:right="3039" w:hanging="736"/>
        <w:spacing w:after="0" w:line="236" w:lineRule="auto"/>
        <w:tabs>
          <w:tab w:leader="none" w:pos="72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 or Control Person: N/A</w:t>
      </w:r>
    </w:p>
    <w:p>
      <w:pPr>
        <w:spacing w:after="0" w:line="203"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ind w:left="740"/>
        <w:spacing w:after="0" w:line="238" w:lineRule="auto"/>
        <w:rPr>
          <w:sz w:val="20"/>
          <w:szCs w:val="20"/>
          <w:color w:val="auto"/>
        </w:rPr>
      </w:pPr>
      <w:r>
        <w:rPr>
          <w:rFonts w:ascii="Courier New" w:cs="Courier New" w:eastAsia="Courier New" w:hAnsi="Courier New"/>
          <w:sz w:val="18"/>
          <w:szCs w:val="18"/>
          <w:color w:val="auto"/>
        </w:rPr>
        <w:t>N/A</w:t>
      </w:r>
    </w:p>
    <w:p>
      <w:pPr>
        <w:spacing w:after="0" w:line="202" w:lineRule="exact"/>
        <w:rPr>
          <w:sz w:val="20"/>
          <w:szCs w:val="20"/>
          <w:color w:val="auto"/>
        </w:rPr>
      </w:pPr>
    </w:p>
    <w:p>
      <w:pPr>
        <w:spacing w:after="0"/>
        <w:tabs>
          <w:tab w:leader="none" w:pos="1140" w:val="left"/>
          <w:tab w:leader="none" w:pos="462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8"/>
          <w:szCs w:val="18"/>
          <w:color w:val="auto"/>
        </w:rPr>
        <w:t>Notice of Dissolution of Group:</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left="740" w:right="283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left="740" w:right="31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ectPr>
          <w:pgSz w:w="11900" w:h="16838" w:orient="portrait"/>
          <w:cols w:equalWidth="0" w:num="1">
            <w:col w:w="10219"/>
          </w:cols>
          <w:pgMar w:left="240" w:top="142" w:right="1440" w:bottom="0" w:gutter="0" w:footer="0" w:header="0"/>
        </w:sectPr>
      </w:pPr>
    </w:p>
    <w:p>
      <w:pPr>
        <w:spacing w:after="0" w:line="209"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Date:</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February 5, 2010</w:t>
      </w:r>
    </w:p>
    <w:p>
      <w:pPr>
        <w:spacing w:after="0" w:line="200" w:lineRule="exact"/>
        <w:rPr>
          <w:sz w:val="20"/>
          <w:szCs w:val="20"/>
          <w:color w:val="auto"/>
        </w:rPr>
      </w:pPr>
    </w:p>
    <w:p>
      <w:pPr>
        <w:sectPr>
          <w:pgSz w:w="11900" w:h="16838" w:orient="portrait"/>
          <w:cols w:equalWidth="0" w:num="2">
            <w:col w:w="1720" w:space="720"/>
            <w:col w:w="7779"/>
          </w:cols>
          <w:pgMar w:left="240" w:top="142" w:right="1440" w:bottom="0" w:gutter="0" w:footer="0" w:header="0"/>
          <w:type w:val="continuous"/>
        </w:sectPr>
      </w:pPr>
    </w:p>
    <w:p>
      <w:pPr>
        <w:spacing w:after="0" w:line="18"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Signature:</w:t>
      </w:r>
    </w:p>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Name/Title: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Robert W. Lovelace***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Robert W. Lovelace - Senior Vice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President</w:t>
      </w:r>
    </w:p>
    <w:p>
      <w:pPr>
        <w:spacing w:after="0" w:line="238" w:lineRule="auto"/>
        <w:rPr>
          <w:sz w:val="20"/>
          <w:szCs w:val="20"/>
          <w:color w:val="auto"/>
        </w:rPr>
      </w:pPr>
      <w:r>
        <w:rPr>
          <w:rFonts w:ascii="Courier New" w:cs="Courier New" w:eastAsia="Courier New" w:hAnsi="Courier New"/>
          <w:sz w:val="18"/>
          <w:szCs w:val="18"/>
          <w:color w:val="auto"/>
        </w:rPr>
        <w:t>Capital World Investors</w:t>
      </w:r>
    </w:p>
    <w:p>
      <w:pPr>
        <w:spacing w:after="0" w:line="200" w:lineRule="exact"/>
        <w:rPr>
          <w:sz w:val="20"/>
          <w:szCs w:val="20"/>
          <w:color w:val="auto"/>
        </w:rPr>
      </w:pPr>
    </w:p>
    <w:p>
      <w:pPr>
        <w:sectPr>
          <w:pgSz w:w="11900" w:h="16838" w:orient="portrait"/>
          <w:cols w:equalWidth="0" w:num="2">
            <w:col w:w="2000" w:space="440"/>
            <w:col w:w="7779"/>
          </w:cols>
          <w:pgMar w:left="240" w:top="142"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860"/>
        <w:spacing w:after="0"/>
        <w:tabs>
          <w:tab w:leader="none" w:pos="1560" w:val="left"/>
        </w:tabs>
        <w:rPr>
          <w:sz w:val="20"/>
          <w:szCs w:val="20"/>
          <w:color w:val="auto"/>
        </w:rPr>
      </w:pPr>
      <w:r>
        <w:rPr>
          <w:rFonts w:ascii="Courier New" w:cs="Courier New" w:eastAsia="Courier New" w:hAnsi="Courier New"/>
          <w:sz w:val="18"/>
          <w:szCs w:val="18"/>
          <w:color w:val="auto"/>
        </w:rPr>
        <w:t>***By</w:t>
        <w:tab/>
        <w:t>/s/ Donald H. Rolfe</w:t>
      </w:r>
    </w:p>
    <w:p>
      <w:pPr>
        <w:ind w:left="1580"/>
        <w:spacing w:after="0" w:line="238" w:lineRule="auto"/>
        <w:rPr>
          <w:sz w:val="20"/>
          <w:szCs w:val="20"/>
          <w:color w:val="auto"/>
        </w:rPr>
      </w:pPr>
      <w:r>
        <w:rPr>
          <w:rFonts w:ascii="Courier New" w:cs="Courier New" w:eastAsia="Courier New" w:hAnsi="Courier New"/>
          <w:sz w:val="18"/>
          <w:szCs w:val="18"/>
          <w:color w:val="auto"/>
        </w:rPr>
        <w:t>Donald H. Rolfe</w:t>
      </w:r>
    </w:p>
    <w:p>
      <w:pPr>
        <w:ind w:left="1580"/>
        <w:spacing w:after="0"/>
        <w:rPr>
          <w:sz w:val="20"/>
          <w:szCs w:val="20"/>
          <w:color w:val="auto"/>
        </w:rPr>
      </w:pPr>
      <w:r>
        <w:rPr>
          <w:rFonts w:ascii="Courier New" w:cs="Courier New" w:eastAsia="Courier New" w:hAnsi="Courier New"/>
          <w:sz w:val="18"/>
          <w:szCs w:val="18"/>
          <w:color w:val="auto"/>
        </w:rPr>
        <w:t>Attorney-in-fact</w:t>
      </w:r>
    </w:p>
    <w:p>
      <w:pPr>
        <w:spacing w:after="0" w:line="206"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Signed pursuant to a Power of Attorney dated December 21,</w:t>
      </w:r>
    </w:p>
    <w:p>
      <w:pPr>
        <w:sectPr>
          <w:pgSz w:w="11900" w:h="16838" w:orient="portrait"/>
          <w:cols w:equalWidth="0" w:num="1">
            <w:col w:w="10219"/>
          </w:cols>
          <w:pgMar w:left="240" w:top="142" w:right="1440" w:bottom="0" w:gutter="0" w:footer="0" w:header="0"/>
          <w:type w:val="continuous"/>
        </w:sectPr>
      </w:pPr>
    </w:p>
    <w:bookmarkStart w:id="3" w:name="page4"/>
    <w:bookmarkEnd w:id="3"/>
    <w:p>
      <w:pPr>
        <w:ind w:left="1060" w:right="2739"/>
        <w:spacing w:after="0" w:line="237" w:lineRule="auto"/>
        <w:rPr>
          <w:sz w:val="20"/>
          <w:szCs w:val="20"/>
          <w:color w:val="auto"/>
        </w:rPr>
      </w:pPr>
      <w:r>
        <w:rPr>
          <w:rFonts w:ascii="Courier New" w:cs="Courier New" w:eastAsia="Courier New" w:hAnsi="Courier New"/>
          <w:sz w:val="18"/>
          <w:szCs w:val="18"/>
          <w:color w:val="auto"/>
        </w:rPr>
        <w:t>2007 included as an Exhibit to Schedule 13G filed with the Securities and Exchange Commission by Capital World Investors on January 10, 2008 with respect to Lowes Companies, Incorporated.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882508104</w:t>
      </w:r>
      <w:r>
        <w:rPr>
          <w:sz w:val="20"/>
          <w:szCs w:val="20"/>
          <w:color w:val="auto"/>
        </w:rPr>
        <w:tab/>
      </w:r>
      <w:r>
        <w:rPr>
          <w:rFonts w:ascii="Courier New" w:cs="Courier New" w:eastAsia="Courier New" w:hAnsi="Courier New"/>
          <w:sz w:val="16"/>
          <w:szCs w:val="16"/>
          <w:color w:val="auto"/>
        </w:rPr>
        <w:t>Page 4 of 4</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1]"/>
      <w:numFmt w:val="upperLetter"/>
      <w:start w:val="24"/>
    </w:lvl>
  </w:abstractNum>
  <w:abstractNum w:abstractNumId="1">
    <w:nsid w:val="41B71EFB"/>
    <w:multiLevelType w:val="hybridMultilevel"/>
    <w:lvl w:ilvl="0">
      <w:lvlJc w:val="left"/>
      <w:lvlText w:val="1"/>
      <w:numFmt w:val="bullet"/>
      <w:start w:val="1"/>
    </w:lvl>
  </w:abstractNum>
  <w:abstractNum w:abstractNumId="2">
    <w:nsid w:val="79E2A9E3"/>
    <w:multiLevelType w:val="hybridMultilevel"/>
    <w:lvl w:ilvl="0">
      <w:lvlJc w:val="left"/>
      <w:lvlText w:val="2"/>
      <w:numFmt w:val="bullet"/>
      <w:start w:val="1"/>
    </w:lvl>
  </w:abstractNum>
  <w:abstractNum w:abstractNumId="3">
    <w:nsid w:val="7545E146"/>
    <w:multiLevelType w:val="hybridMultilevel"/>
    <w:lvl w:ilvl="0">
      <w:lvlJc w:val="left"/>
      <w:lvlText w:val="3"/>
      <w:numFmt w:val="bullet"/>
      <w:start w:val="1"/>
    </w:lvl>
  </w:abstractNum>
  <w:abstractNum w:abstractNumId="4">
    <w:nsid w:val="515F007C"/>
    <w:multiLevelType w:val="hybridMultilevel"/>
    <w:lvl w:ilvl="0">
      <w:lvlJc w:val="left"/>
      <w:lvlText w:val="4"/>
      <w:numFmt w:val="bullet"/>
      <w:start w:val="1"/>
    </w:lvl>
  </w:abstractNum>
  <w:abstractNum w:abstractNumId="5">
    <w:nsid w:val="5BD062C2"/>
    <w:multiLevelType w:val="hybridMultilevel"/>
    <w:lvl w:ilvl="0">
      <w:lvlJc w:val="left"/>
      <w:lvlText w:val="5"/>
      <w:numFmt w:val="bullet"/>
      <w:start w:val="1"/>
    </w:lvl>
  </w:abstractNum>
  <w:abstractNum w:abstractNumId="6">
    <w:nsid w:val="12200854"/>
    <w:multiLevelType w:val="hybridMultilevel"/>
    <w:lvl w:ilvl="0">
      <w:lvlJc w:val="left"/>
      <w:lvlText w:val="8"/>
      <w:numFmt w:val="bullet"/>
      <w:start w:val="1"/>
    </w:lvl>
  </w:abstractNum>
  <w:abstractNum w:abstractNumId="7">
    <w:nsid w:val="4DB127F8"/>
    <w:multiLevelType w:val="hybridMultilevel"/>
    <w:lvl w:ilvl="0">
      <w:lvlJc w:val="left"/>
      <w:lvlText w:val="9"/>
      <w:numFmt w:val="bullet"/>
      <w:start w:val="1"/>
    </w:lvl>
  </w:abstractNum>
  <w:abstractNum w:abstractNumId="8">
    <w:nsid w:val="216231B"/>
    <w:multiLevelType w:val="hybridMultilevel"/>
    <w:lvl w:ilvl="0">
      <w:lvlJc w:val="left"/>
      <w:lvlText w:val="**"/>
      <w:numFmt w:val="bullet"/>
      <w:start w:val="1"/>
    </w:lvl>
    <w:lvl w:ilvl="1">
      <w:lvlJc w:val="left"/>
      <w:lvlText w:val="%2"/>
      <w:numFmt w:val="decimal"/>
      <w:start w:val="10"/>
    </w:lvl>
  </w:abstractNum>
  <w:abstractNum w:abstractNumId="9">
    <w:nsid w:val="1F16E9E8"/>
    <w:multiLevelType w:val="hybridMultilevel"/>
    <w:lvl w:ilvl="0">
      <w:lvlJc w:val="left"/>
      <w:lvlText w:val="(%1)"/>
      <w:numFmt w:val="lowerLetter"/>
      <w:start w:val="5"/>
    </w:lvl>
  </w:abstractNum>
  <w:abstractNum w:abstractNumId="10">
    <w:nsid w:val="1190CDE7"/>
    <w:multiLevelType w:val="hybridMultilevel"/>
    <w:lvl w:ilvl="0">
      <w:lvlJc w:val="left"/>
      <w:lvlText w:val="(%1)"/>
      <w:numFmt w:val="lowerLetter"/>
      <w:start w:val="1"/>
    </w:lvl>
  </w:abstractNum>
  <w:abstractNum w:abstractNumId="11">
    <w:nsid w:val="66EF438D"/>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2019-12-10T03:09:15Z</dcterms:created>
  <dcterms:modified xsi:type="dcterms:W3CDTF">2019-12-10T03:09:15Z</dcterms:modified>
</cp:coreProperties>
</file>