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ind w:left="366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April 14,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177800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2920" w:type="dxa"/>
            <w:vAlign w:val="bottom"/>
          </w:tcPr>
          <w:p>
            <w:pPr>
              <w:jc w:val="center"/>
              <w:ind w:left="786"/>
              <w:spacing w:after="0"/>
              <w:rPr>
                <w:sz w:val="20"/>
                <w:szCs w:val="20"/>
                <w:color w:val="auto"/>
              </w:rPr>
            </w:pPr>
            <w:r>
              <w:rPr>
                <w:rFonts w:ascii="Arial" w:cs="Arial" w:eastAsia="Arial" w:hAnsi="Arial"/>
                <w:sz w:val="18"/>
                <w:szCs w:val="18"/>
                <w:b w:val="1"/>
                <w:bCs w:val="1"/>
                <w:color w:val="auto"/>
                <w:w w:val="94"/>
              </w:rPr>
              <w:t>DELAWARE</w:t>
            </w:r>
          </w:p>
        </w:tc>
        <w:tc>
          <w:tcPr>
            <w:tcW w:w="5740" w:type="dxa"/>
            <w:vAlign w:val="bottom"/>
          </w:tcPr>
          <w:p>
            <w:pPr>
              <w:jc w:val="right"/>
              <w:ind w:right="2418"/>
              <w:spacing w:after="0"/>
              <w:rPr>
                <w:sz w:val="20"/>
                <w:szCs w:val="20"/>
                <w:color w:val="auto"/>
              </w:rPr>
            </w:pPr>
            <w:r>
              <w:rPr>
                <w:rFonts w:ascii="Arial" w:cs="Arial" w:eastAsia="Arial" w:hAnsi="Arial"/>
                <w:sz w:val="18"/>
                <w:szCs w:val="18"/>
                <w:b w:val="1"/>
                <w:bCs w:val="1"/>
                <w:color w:val="auto"/>
              </w:rPr>
              <w:t>001-03761</w:t>
            </w:r>
          </w:p>
        </w:tc>
        <w:tc>
          <w:tcPr>
            <w:tcW w:w="2760" w:type="dxa"/>
            <w:vAlign w:val="bottom"/>
          </w:tcPr>
          <w:p>
            <w:pPr>
              <w:jc w:val="center"/>
              <w:ind w:right="806"/>
              <w:spacing w:after="0"/>
              <w:rPr>
                <w:sz w:val="20"/>
                <w:szCs w:val="20"/>
                <w:color w:val="auto"/>
              </w:rPr>
            </w:pPr>
            <w:r>
              <w:rPr>
                <w:rFonts w:ascii="Arial" w:cs="Arial" w:eastAsia="Arial" w:hAnsi="Arial"/>
                <w:sz w:val="18"/>
                <w:szCs w:val="18"/>
                <w:b w:val="1"/>
                <w:bCs w:val="1"/>
                <w:color w:val="auto"/>
                <w:w w:val="88"/>
              </w:rPr>
              <w:t>75-289970</w:t>
            </w:r>
          </w:p>
        </w:tc>
      </w:tr>
      <w:tr>
        <w:trPr>
          <w:trHeight w:val="149"/>
        </w:trPr>
        <w:tc>
          <w:tcPr>
            <w:tcW w:w="2920" w:type="dxa"/>
            <w:vAlign w:val="bottom"/>
          </w:tcPr>
          <w:p>
            <w:pPr>
              <w:jc w:val="center"/>
              <w:ind w:left="7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5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(Commission file number)</w:t>
            </w:r>
          </w:p>
        </w:tc>
        <w:tc>
          <w:tcPr>
            <w:tcW w:w="2760" w:type="dxa"/>
            <w:vAlign w:val="bottom"/>
          </w:tcPr>
          <w:p>
            <w:pPr>
              <w:jc w:val="center"/>
              <w:ind w:right="826"/>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2920" w:type="dxa"/>
            <w:vAlign w:val="bottom"/>
          </w:tcPr>
          <w:p>
            <w:pPr>
              <w:jc w:val="center"/>
              <w:ind w:left="786"/>
              <w:spacing w:after="0"/>
              <w:rPr>
                <w:sz w:val="20"/>
                <w:szCs w:val="20"/>
                <w:color w:val="auto"/>
              </w:rPr>
            </w:pPr>
            <w:r>
              <w:rPr>
                <w:rFonts w:ascii="Arial" w:cs="Arial" w:eastAsia="Arial" w:hAnsi="Arial"/>
                <w:sz w:val="14"/>
                <w:szCs w:val="14"/>
                <w:b w:val="1"/>
                <w:bCs w:val="1"/>
                <w:color w:val="auto"/>
                <w:w w:val="87"/>
              </w:rPr>
              <w:t>of incorporation)</w:t>
            </w:r>
          </w:p>
        </w:tc>
        <w:tc>
          <w:tcPr>
            <w:tcW w:w="5740" w:type="dxa"/>
            <w:vAlign w:val="bottom"/>
          </w:tcPr>
          <w:p>
            <w:pPr>
              <w:spacing w:after="0"/>
              <w:rPr>
                <w:sz w:val="15"/>
                <w:szCs w:val="15"/>
                <w:color w:val="auto"/>
              </w:rPr>
            </w:pPr>
          </w:p>
        </w:tc>
        <w:tc>
          <w:tcPr>
            <w:tcW w:w="2760" w:type="dxa"/>
            <w:vAlign w:val="bottom"/>
          </w:tcPr>
          <w:p>
            <w:pPr>
              <w:jc w:val="center"/>
              <w:ind w:right="826"/>
              <w:spacing w:after="0"/>
              <w:rPr>
                <w:sz w:val="20"/>
                <w:szCs w:val="20"/>
                <w:color w:val="auto"/>
              </w:rPr>
            </w:pPr>
            <w:r>
              <w:rPr>
                <w:rFonts w:ascii="Arial" w:cs="Arial" w:eastAsia="Arial" w:hAnsi="Arial"/>
                <w:sz w:val="14"/>
                <w:szCs w:val="14"/>
                <w:b w:val="1"/>
                <w:bCs w:val="1"/>
                <w:color w:val="auto"/>
                <w:w w:val="87"/>
              </w:rPr>
              <w:t>identification no.)</w:t>
            </w:r>
          </w:p>
        </w:tc>
      </w:tr>
      <w:tr>
        <w:trPr>
          <w:trHeight w:val="351"/>
        </w:trPr>
        <w:tc>
          <w:tcPr>
            <w:tcW w:w="292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b w:val="1"/>
                <w:bCs w:val="1"/>
                <w:color w:val="auto"/>
                <w:w w:val="95"/>
              </w:rPr>
              <w:t>12500 TI BOULEVARD</w:t>
            </w:r>
          </w:p>
        </w:tc>
        <w:tc>
          <w:tcPr>
            <w:tcW w:w="2760" w:type="dxa"/>
            <w:vAlign w:val="bottom"/>
          </w:tcPr>
          <w:p>
            <w:pPr>
              <w:spacing w:after="0"/>
              <w:rPr>
                <w:sz w:val="24"/>
                <w:szCs w:val="24"/>
                <w:color w:val="auto"/>
              </w:rPr>
            </w:pPr>
          </w:p>
        </w:tc>
      </w:tr>
      <w:tr>
        <w:trPr>
          <w:trHeight w:val="216"/>
        </w:trPr>
        <w:tc>
          <w:tcPr>
            <w:tcW w:w="2920" w:type="dxa"/>
            <w:vAlign w:val="bottom"/>
          </w:tcPr>
          <w:p>
            <w:pPr>
              <w:spacing w:after="0"/>
              <w:rPr>
                <w:sz w:val="18"/>
                <w:szCs w:val="18"/>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b w:val="1"/>
                <w:bCs w:val="1"/>
                <w:color w:val="auto"/>
                <w:w w:val="89"/>
              </w:rPr>
              <w:t>P.O. BOX 660199</w:t>
            </w:r>
          </w:p>
        </w:tc>
        <w:tc>
          <w:tcPr>
            <w:tcW w:w="2760" w:type="dxa"/>
            <w:vAlign w:val="bottom"/>
          </w:tcPr>
          <w:p>
            <w:pPr>
              <w:spacing w:after="0"/>
              <w:rPr>
                <w:sz w:val="18"/>
                <w:szCs w:val="18"/>
                <w:color w:val="auto"/>
              </w:rPr>
            </w:pPr>
          </w:p>
        </w:tc>
      </w:tr>
      <w:tr>
        <w:trPr>
          <w:trHeight w:val="218"/>
        </w:trPr>
        <w:tc>
          <w:tcPr>
            <w:tcW w:w="2920" w:type="dxa"/>
            <w:vAlign w:val="bottom"/>
          </w:tcPr>
          <w:p>
            <w:pPr>
              <w:spacing w:after="0"/>
              <w:rPr>
                <w:sz w:val="18"/>
                <w:szCs w:val="18"/>
                <w:color w:val="auto"/>
              </w:rPr>
            </w:pP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93"/>
              </w:rPr>
              <w:t>DALLAS, TEXAS 75266-0199</w:t>
            </w:r>
          </w:p>
        </w:tc>
        <w:tc>
          <w:tcPr>
            <w:tcW w:w="2760" w:type="dxa"/>
            <w:vAlign w:val="bottom"/>
          </w:tcPr>
          <w:p>
            <w:pPr>
              <w:spacing w:after="0"/>
              <w:rPr>
                <w:sz w:val="18"/>
                <w:szCs w:val="18"/>
                <w:color w:val="auto"/>
              </w:rPr>
            </w:pPr>
          </w:p>
        </w:tc>
      </w:tr>
      <w:tr>
        <w:trPr>
          <w:trHeight w:val="174"/>
        </w:trPr>
        <w:tc>
          <w:tcPr>
            <w:tcW w:w="2920" w:type="dxa"/>
            <w:vAlign w:val="bottom"/>
          </w:tcPr>
          <w:p>
            <w:pPr>
              <w:spacing w:after="0"/>
              <w:rPr>
                <w:sz w:val="15"/>
                <w:szCs w:val="15"/>
                <w:color w:val="auto"/>
              </w:rPr>
            </w:pPr>
          </w:p>
        </w:tc>
        <w:tc>
          <w:tcPr>
            <w:tcW w:w="5740" w:type="dxa"/>
            <w:vAlign w:val="bottom"/>
          </w:tcPr>
          <w:p>
            <w:pPr>
              <w:jc w:val="center"/>
              <w:ind w:right="58"/>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760" w:type="dxa"/>
            <w:vAlign w:val="bottom"/>
          </w:tcPr>
          <w:p>
            <w:pPr>
              <w:spacing w:after="0"/>
              <w:rPr>
                <w:sz w:val="15"/>
                <w:szCs w:val="15"/>
                <w:color w:val="auto"/>
              </w:rPr>
            </w:pPr>
          </w:p>
        </w:tc>
      </w:tr>
      <w:tr>
        <w:trPr>
          <w:trHeight w:val="350"/>
        </w:trPr>
        <w:tc>
          <w:tcPr>
            <w:tcW w:w="29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87"/>
              </w:rPr>
              <w:t>Registrant’s telephone number, including area code: (972) 995-3773</w:t>
            </w:r>
          </w:p>
        </w:tc>
        <w:tc>
          <w:tcPr>
            <w:tcW w:w="2760" w:type="dxa"/>
            <w:vAlign w:val="bottom"/>
          </w:tcPr>
          <w:p>
            <w:pPr>
              <w:spacing w:after="0"/>
              <w:rPr>
                <w:sz w:val="24"/>
                <w:szCs w:val="24"/>
                <w:color w:val="auto"/>
              </w:rPr>
            </w:pPr>
          </w:p>
        </w:tc>
      </w:tr>
      <w:tr>
        <w:trPr>
          <w:trHeight w:val="201"/>
        </w:trPr>
        <w:tc>
          <w:tcPr>
            <w:tcW w:w="2920" w:type="dxa"/>
            <w:vAlign w:val="bottom"/>
            <w:tcBorders>
              <w:bottom w:val="single" w:sz="8" w:color="auto"/>
            </w:tcBorders>
          </w:tcPr>
          <w:p>
            <w:pPr>
              <w:spacing w:after="0"/>
              <w:rPr>
                <w:sz w:val="17"/>
                <w:szCs w:val="17"/>
                <w:color w:val="auto"/>
              </w:rPr>
            </w:pPr>
          </w:p>
        </w:tc>
        <w:tc>
          <w:tcPr>
            <w:tcW w:w="57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 w:name="page2"/>
    <w:bookmarkEnd w:id="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 Exhibits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20"/>
                <w:szCs w:val="20"/>
                <w:color w:val="auto"/>
              </w:rPr>
            </w:pPr>
            <w:r>
              <w:rPr>
                <w:rFonts w:ascii="Arial" w:cs="Arial" w:eastAsia="Arial" w:hAnsi="Arial"/>
                <w:sz w:val="14"/>
                <w:szCs w:val="14"/>
                <w:b w:val="1"/>
                <w:bCs w:val="1"/>
                <w:color w:val="auto"/>
              </w:rPr>
              <w:t>Designation of</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b w:val="1"/>
                <w:bCs w:val="1"/>
                <w:color w:val="auto"/>
              </w:rPr>
              <w:t>Exhibit in</w:t>
            </w:r>
          </w:p>
        </w:tc>
        <w:tc>
          <w:tcPr>
            <w:tcW w:w="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74"/>
        </w:trPr>
        <w:tc>
          <w:tcPr>
            <w:tcW w:w="1080" w:type="dxa"/>
            <w:vAlign w:val="bottom"/>
          </w:tcPr>
          <w:p>
            <w:pPr>
              <w:spacing w:after="0"/>
              <w:rPr>
                <w:sz w:val="20"/>
                <w:szCs w:val="20"/>
                <w:color w:val="auto"/>
              </w:rPr>
            </w:pPr>
            <w:r>
              <w:rPr>
                <w:rFonts w:ascii="Arial" w:cs="Arial" w:eastAsia="Arial" w:hAnsi="Arial"/>
                <w:sz w:val="14"/>
                <w:szCs w:val="14"/>
                <w:b w:val="1"/>
                <w:bCs w:val="1"/>
                <w:color w:val="auto"/>
              </w:rPr>
              <w:t>this Report</w:t>
            </w:r>
          </w:p>
        </w:tc>
        <w:tc>
          <w:tcPr>
            <w:tcW w:w="4660" w:type="dxa"/>
            <w:vAlign w:val="bottom"/>
            <w:gridSpan w:val="3"/>
          </w:tcPr>
          <w:p>
            <w:pPr>
              <w:ind w:left="920"/>
              <w:spacing w:after="0"/>
              <w:rPr>
                <w:sz w:val="20"/>
                <w:szCs w:val="20"/>
                <w:color w:val="auto"/>
              </w:rPr>
            </w:pPr>
            <w:r>
              <w:rPr>
                <w:rFonts w:ascii="Arial" w:cs="Arial" w:eastAsia="Arial" w:hAnsi="Arial"/>
                <w:sz w:val="14"/>
                <w:szCs w:val="14"/>
                <w:b w:val="1"/>
                <w:bCs w:val="1"/>
                <w:color w:val="auto"/>
              </w:rPr>
              <w:t>Description of Exhibit</w:t>
            </w:r>
          </w:p>
        </w:tc>
      </w:tr>
      <w:tr>
        <w:trPr>
          <w:trHeight w:val="95"/>
        </w:trPr>
        <w:tc>
          <w:tcPr>
            <w:tcW w:w="108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r>
      <w:tr>
        <w:trPr>
          <w:trHeight w:val="309"/>
        </w:trPr>
        <w:tc>
          <w:tcPr>
            <w:tcW w:w="1080" w:type="dxa"/>
            <w:vAlign w:val="bottom"/>
          </w:tcPr>
          <w:p>
            <w:pPr>
              <w:jc w:val="right"/>
              <w:ind w:right="387"/>
              <w:spacing w:after="0"/>
              <w:rPr>
                <w:sz w:val="20"/>
                <w:szCs w:val="20"/>
                <w:color w:val="auto"/>
              </w:rPr>
            </w:pPr>
            <w:r>
              <w:rPr>
                <w:rFonts w:ascii="Arial" w:cs="Arial" w:eastAsia="Arial" w:hAnsi="Arial"/>
                <w:sz w:val="18"/>
                <w:szCs w:val="18"/>
                <w:color w:val="auto"/>
              </w:rPr>
              <w:t>99</w:t>
            </w:r>
          </w:p>
        </w:tc>
        <w:tc>
          <w:tcPr>
            <w:tcW w:w="4660" w:type="dxa"/>
            <w:vAlign w:val="bottom"/>
            <w:gridSpan w:val="3"/>
          </w:tcPr>
          <w:p>
            <w:pPr>
              <w:ind w:left="920"/>
              <w:spacing w:after="0"/>
              <w:rPr>
                <w:sz w:val="20"/>
                <w:szCs w:val="20"/>
                <w:color w:val="auto"/>
              </w:rPr>
            </w:pPr>
            <w:r>
              <w:rPr>
                <w:rFonts w:ascii="Arial" w:cs="Arial" w:eastAsia="Arial" w:hAnsi="Arial"/>
                <w:sz w:val="18"/>
                <w:szCs w:val="18"/>
                <w:color w:val="auto"/>
              </w:rPr>
              <w:t>Registrant’s Earnings Release</w:t>
            </w:r>
          </w:p>
        </w:tc>
      </w:tr>
      <w:tr>
        <w:trPr>
          <w:trHeight w:val="222"/>
        </w:trPr>
        <w:tc>
          <w:tcPr>
            <w:tcW w:w="1080" w:type="dxa"/>
            <w:vAlign w:val="bottom"/>
          </w:tcPr>
          <w:p>
            <w:pPr>
              <w:spacing w:after="0"/>
              <w:rPr>
                <w:sz w:val="19"/>
                <w:szCs w:val="19"/>
                <w:color w:val="auto"/>
              </w:rPr>
            </w:pPr>
          </w:p>
        </w:tc>
        <w:tc>
          <w:tcPr>
            <w:tcW w:w="4660" w:type="dxa"/>
            <w:vAlign w:val="bottom"/>
            <w:gridSpan w:val="3"/>
          </w:tcPr>
          <w:p>
            <w:pPr>
              <w:ind w:left="920"/>
              <w:spacing w:after="0"/>
              <w:rPr>
                <w:sz w:val="20"/>
                <w:szCs w:val="20"/>
                <w:color w:val="auto"/>
              </w:rPr>
            </w:pPr>
            <w:r>
              <w:rPr>
                <w:rFonts w:ascii="Arial" w:cs="Arial" w:eastAsia="Arial" w:hAnsi="Arial"/>
                <w:sz w:val="18"/>
                <w:szCs w:val="18"/>
                <w:color w:val="auto"/>
                <w:w w:val="89"/>
              </w:rPr>
              <w:t>Dated April 14, 2004 (furnished pursuant to Item 12)</w:t>
            </w:r>
          </w:p>
        </w:tc>
      </w:tr>
    </w:tbl>
    <w:p>
      <w:pPr>
        <w:spacing w:after="0" w:line="1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12. Results of Operations and Financial Condition</w:t>
      </w:r>
    </w:p>
    <w:p>
      <w:pPr>
        <w:spacing w:after="0" w:line="7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Registrant’s earnings release dated April 14, 2004 regarding its first quarter results of operations and financial condition attached hereto as Exhibit 99 is incorporated by reference herein.</w:t>
      </w:r>
    </w:p>
    <w:p>
      <w:pPr>
        <w:spacing w:after="0" w:line="118"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“Safe Harbor” Statement under the Private Securities Litigation Reform Act of 1995: The statements contained in this report on Form 8-K are “forward-looking statements” intended to qualify for the safe harbor from liability established by the Private Securities Litigation Reform Act of 1995. These forward-looking statements are subject to certain risks and uncertainties that could cause actual results to differ materially from those in forward-looking statements.</w:t>
      </w:r>
    </w:p>
    <w:p>
      <w:pPr>
        <w:spacing w:after="0" w:line="9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37" w:lineRule="exact"/>
        <w:rPr>
          <w:sz w:val="20"/>
          <w:szCs w:val="20"/>
          <w:color w:val="auto"/>
        </w:rPr>
      </w:pPr>
    </w:p>
    <w:p>
      <w:pPr>
        <w:ind w:left="800" w:right="600" w:hanging="346"/>
        <w:spacing w:after="0" w:line="268"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digital signal processors and analog chips in key markets such as telecommunications and computers;</w:t>
      </w:r>
    </w:p>
    <w:p>
      <w:pPr>
        <w:spacing w:after="0" w:line="37" w:lineRule="exact"/>
        <w:rPr>
          <w:rFonts w:ascii="Arial" w:cs="Arial" w:eastAsia="Arial" w:hAnsi="Arial"/>
          <w:sz w:val="18"/>
          <w:szCs w:val="18"/>
          <w:color w:val="auto"/>
        </w:rPr>
      </w:pPr>
    </w:p>
    <w:p>
      <w:pPr>
        <w:ind w:left="800" w:right="540" w:hanging="346"/>
        <w:spacing w:after="0" w:line="268"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Consolidation of TI’s patent licensees and market conditions reducing royalty payments to TI;</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Timely completion and successful integration of announced acquisitions;</w:t>
      </w:r>
    </w:p>
    <w:p>
      <w:pPr>
        <w:spacing w:after="0" w:line="76" w:lineRule="exact"/>
        <w:rPr>
          <w:rFonts w:ascii="Arial" w:cs="Arial" w:eastAsia="Arial" w:hAnsi="Arial"/>
          <w:sz w:val="18"/>
          <w:szCs w:val="18"/>
          <w:color w:val="auto"/>
        </w:rPr>
      </w:pPr>
    </w:p>
    <w:p>
      <w:pPr>
        <w:ind w:left="800" w:hanging="346"/>
        <w:spacing w:after="0" w:line="268"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of customer inventory adjustments;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Availability of raw materials and critical manufacturing equipment;</w:t>
      </w:r>
    </w:p>
    <w:p>
      <w:pPr>
        <w:sectPr>
          <w:pgSz w:w="11900" w:h="16838" w:orient="portrait"/>
          <w:cols w:equalWidth="0" w:num="1">
            <w:col w:w="11400"/>
          </w:cols>
          <w:pgMar w:left="240" w:top="280" w:right="259" w:bottom="1440" w:gutter="0" w:footer="0" w:header="0"/>
        </w:sectPr>
      </w:pPr>
    </w:p>
    <w:bookmarkStart w:id="2" w:name="page3"/>
    <w:bookmarkEnd w:id="2"/>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TI’s ability to recruit and retain skilled personnel;</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the market value of TI’s investments and in interest rates; and</w:t>
      </w:r>
    </w:p>
    <w:p>
      <w:pPr>
        <w:spacing w:after="0" w:line="76" w:lineRule="exact"/>
        <w:rPr>
          <w:rFonts w:ascii="Arial" w:cs="Arial" w:eastAsia="Arial" w:hAnsi="Arial"/>
          <w:sz w:val="18"/>
          <w:szCs w:val="18"/>
          <w:color w:val="auto"/>
        </w:rPr>
      </w:pPr>
    </w:p>
    <w:p>
      <w:pPr>
        <w:ind w:left="800" w:right="380" w:hanging="346"/>
        <w:spacing w:after="0" w:line="268"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more detailed discussion of these and other factors, see the text under the heading “Cautionary Statements Regarding Future Results of Operations” in Item 1 of TI’s most recent Form 10-K. The forward-looking statements included in this Form 8-K are made only as of the date of this Form 8-K and TI undertakes no obligation to update the forward-looking statements to reflect subsequent events or circumstances.</w:t>
      </w:r>
    </w:p>
    <w:p>
      <w:pPr>
        <w:sectPr>
          <w:pgSz w:w="11900" w:h="16838" w:orient="portrait"/>
          <w:cols w:equalWidth="0" w:num="1">
            <w:col w:w="11340"/>
          </w:cols>
          <w:pgMar w:left="240" w:top="280" w:right="319" w:bottom="1440" w:gutter="0" w:footer="0" w:header="0"/>
        </w:sectPr>
      </w:pPr>
    </w:p>
    <w:bookmarkStart w:id="3" w:name="page4"/>
    <w:bookmarkEnd w:id="3"/>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480" w:val="left"/>
          <w:tab w:leader="none" w:pos="6040" w:val="left"/>
        </w:tabs>
        <w:rPr>
          <w:sz w:val="20"/>
          <w:szCs w:val="20"/>
          <w:color w:val="auto"/>
        </w:rPr>
      </w:pPr>
      <w:r>
        <w:rPr>
          <w:rFonts w:ascii="Arial" w:cs="Arial" w:eastAsia="Arial" w:hAnsi="Arial"/>
          <w:sz w:val="18"/>
          <w:szCs w:val="18"/>
          <w:color w:val="auto"/>
        </w:rPr>
        <w:t>Date: April 14,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2941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Kevin P. March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000"/>
          </w:cols>
          <w:pgMar w:left="240" w:top="280"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99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C-04018</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1Q04 Financial Results</w:t>
      </w:r>
    </w:p>
    <w:p>
      <w:pPr>
        <w:spacing w:after="0" w:line="164"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 Revenue Increases 6% Sequentially, 34% from Year Ago</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Profit Increases 11% Sequentially, 53% from Year Ago</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of $0.21</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2Q04 Revenue Expected between $3085 Million and $3325 Million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 Site at 4 p.m. Central Daylight Time Today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www.ti.com</w:t>
      </w:r>
    </w:p>
    <w:p>
      <w:pPr>
        <w:spacing w:after="0" w:line="15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DALLAS (April 14, 2004) – Texas Instruments Incorporated (TI) (NYSE: TXN) today reported first-quarter 2004 revenue of $2936 million, an increase of 6 percent sequentially and 34 percent from the year-ago quarter due to strength in TI’s Semiconductor business. Earnings per share (EPS) were $0.21.</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Semiconductor revenue increased 5 percent sequentially due to strong demand across a broad range of products, especially</w:t>
      </w:r>
    </w:p>
    <w:p>
      <w:pPr>
        <w:spacing w:after="0" w:line="15" w:lineRule="exact"/>
        <w:rPr>
          <w:sz w:val="20"/>
          <w:szCs w:val="20"/>
          <w:color w:val="auto"/>
        </w:rPr>
      </w:pPr>
    </w:p>
    <w:p>
      <w:pPr>
        <w:ind w:right="340"/>
        <w:spacing w:after="0" w:line="297" w:lineRule="auto"/>
        <w:rPr>
          <w:sz w:val="20"/>
          <w:szCs w:val="20"/>
          <w:color w:val="auto"/>
        </w:rPr>
      </w:pPr>
      <w:r>
        <w:rPr>
          <w:rFonts w:ascii="Arial" w:cs="Arial" w:eastAsia="Arial" w:hAnsi="Arial"/>
          <w:sz w:val="15"/>
          <w:szCs w:val="15"/>
          <w:color w:val="auto"/>
        </w:rPr>
        <w:t>Digital Light Processing</w:t>
      </w:r>
      <w:r>
        <w:rPr>
          <w:rFonts w:ascii="Arial" w:cs="Arial" w:eastAsia="Arial" w:hAnsi="Arial"/>
          <w:sz w:val="19"/>
          <w:szCs w:val="19"/>
          <w:color w:val="auto"/>
          <w:vertAlign w:val="superscript"/>
        </w:rPr>
        <w:t>™</w:t>
      </w:r>
      <w:r>
        <w:rPr>
          <w:rFonts w:ascii="Arial" w:cs="Arial" w:eastAsia="Arial" w:hAnsi="Arial"/>
          <w:sz w:val="15"/>
          <w:szCs w:val="15"/>
          <w:color w:val="auto"/>
        </w:rPr>
        <w:t xml:space="preserve"> (DLP</w:t>
      </w:r>
      <w:r>
        <w:rPr>
          <w:rFonts w:ascii="Arial" w:cs="Arial" w:eastAsia="Arial" w:hAnsi="Arial"/>
          <w:sz w:val="19"/>
          <w:szCs w:val="19"/>
          <w:color w:val="auto"/>
          <w:vertAlign w:val="superscript"/>
        </w:rPr>
        <w:t>™</w:t>
      </w:r>
      <w:r>
        <w:rPr>
          <w:rFonts w:ascii="Arial" w:cs="Arial" w:eastAsia="Arial" w:hAnsi="Arial"/>
          <w:sz w:val="15"/>
          <w:szCs w:val="15"/>
          <w:color w:val="auto"/>
        </w:rPr>
        <w:t>) and high-performance analog. Growth in these areas more than offset a decline in revenue from wireless applications. TI’s wireless revenue was the second highest on record despite the combination of normal handset seasonality and lower demand from TI’s largest customer.</w:t>
      </w:r>
    </w:p>
    <w:p>
      <w:pPr>
        <w:spacing w:after="0" w:line="91"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Compared with the year-ago quarter, Semiconductor revenue increased 38 percent due to demand across a broad range of products, particularly digital signal processors (DSPs) and analog used in wireless, as well as high-performance analog used in a variety of applications. Wireless revenue increased 35 percent from the year-ago quarter driven by demand for TI’s most advanced products. High-performance analog revenue increased 58 percent from the year-ago quarter.</w:t>
      </w:r>
    </w:p>
    <w:p>
      <w:pPr>
        <w:sectPr>
          <w:pgSz w:w="11900" w:h="16838" w:orient="portrait"/>
          <w:cols w:equalWidth="0" w:num="1">
            <w:col w:w="11420"/>
          </w:cols>
          <w:pgMar w:left="240" w:top="125" w:right="239" w:bottom="1440" w:gutter="0" w:footer="0" w:header="0"/>
        </w:sectPr>
      </w:pPr>
    </w:p>
    <w:bookmarkStart w:id="5" w:name="page6"/>
    <w:bookmarkEnd w:id="5"/>
    <w:p>
      <w:pPr>
        <w:spacing w:after="0"/>
        <w:tabs>
          <w:tab w:leader="none" w:pos="10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 Reports 1Q04 Financial Results</w:t>
      </w:r>
      <w:r>
        <w:rPr>
          <w:sz w:val="20"/>
          <w:szCs w:val="20"/>
          <w:color w:val="auto"/>
        </w:rPr>
        <w:tab/>
      </w:r>
      <w:r>
        <w:rPr>
          <w:rFonts w:ascii="Arial" w:cs="Arial" w:eastAsia="Arial" w:hAnsi="Arial"/>
          <w:sz w:val="15"/>
          <w:szCs w:val="15"/>
          <w:b w:val="1"/>
          <w:bCs w:val="1"/>
          <w:color w:val="auto"/>
        </w:rPr>
        <w:t>Page 2</w:t>
      </w:r>
    </w:p>
    <w:p>
      <w:pPr>
        <w:spacing w:after="0" w:line="16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growth in Semiconductor revenue demonstrates the diversity in our customer base and our product portfolio,” said Tom Engibous, TI chairman, president and CEO. “Shipments increased across most product lines and end markets. Notably, high-performance analog and DLP are both becoming major contributors to TI’s growth and bottom line. Revenue from DLP products reached a record level as TI’s technology continued to penetrate the business projector and high-definition television markets with an increasing array of customer brands and retail presence. Growth in high-performance analog reflected the significant investments we’ve made to establish a world-class development team and the quality of products this team has delivered.</w:t>
      </w:r>
    </w:p>
    <w:p>
      <w:pPr>
        <w:spacing w:after="0" w:line="102" w:lineRule="exact"/>
        <w:rPr>
          <w:sz w:val="20"/>
          <w:szCs w:val="20"/>
          <w:color w:val="auto"/>
        </w:rPr>
      </w:pPr>
    </w:p>
    <w:p>
      <w:pPr>
        <w:ind w:right="380" w:firstLine="456"/>
        <w:spacing w:after="0" w:line="235" w:lineRule="auto"/>
        <w:rPr>
          <w:sz w:val="20"/>
          <w:szCs w:val="20"/>
          <w:color w:val="auto"/>
        </w:rPr>
      </w:pPr>
      <w:r>
        <w:rPr>
          <w:rFonts w:ascii="Arial" w:cs="Arial" w:eastAsia="Arial" w:hAnsi="Arial"/>
          <w:sz w:val="18"/>
          <w:szCs w:val="18"/>
          <w:color w:val="auto"/>
        </w:rPr>
        <w:t>“TI’s strong wireless growth from the year-ago period continued to outpace the industry’s handset shipments, which we believe reflects the company’s increasing content per phone. A big factor in this growth was TI’s family of OMAP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application processors, used to enable real multimedia capabilities in smartphones and 3G handsets,” Engibous said.</w:t>
      </w:r>
    </w:p>
    <w:p>
      <w:pPr>
        <w:spacing w:after="0" w:line="144"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“In all, the strength in customer orders and the continuing momentum of TI products lead us to believe that 2004 will be another strong year for our Semiconductor business. For the first time since 2000, we accrued for TI employee profit sharing, reflecting the company’s expectations for strong growth and improving profitability,” he said. “We are increasing R&amp;D and also are adding capacity for additional assembly and test capabilities and an additional 90-nanometer manufacturing line. These actions will help ensure we can provide customers what they need, when they need it.”</w:t>
      </w:r>
    </w:p>
    <w:p>
      <w:pPr>
        <w:sectPr>
          <w:pgSz w:w="11900" w:h="16838" w:orient="portrait"/>
          <w:cols w:equalWidth="0" w:num="1">
            <w:col w:w="11420"/>
          </w:cols>
          <w:pgMar w:left="240" w:top="274" w:right="239" w:bottom="1440" w:gutter="0" w:footer="0" w:header="0"/>
        </w:sectPr>
      </w:pPr>
    </w:p>
    <w:bookmarkStart w:id="6" w:name="page7"/>
    <w:bookmarkEnd w:id="6"/>
    <w:p>
      <w:pPr>
        <w:spacing w:after="0"/>
        <w:tabs>
          <w:tab w:leader="none" w:pos="10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 Reports 1Q04 Financial Results</w:t>
      </w:r>
      <w:r>
        <w:rPr>
          <w:sz w:val="20"/>
          <w:szCs w:val="20"/>
          <w:color w:val="auto"/>
        </w:rPr>
        <w:tab/>
      </w:r>
      <w:r>
        <w:rPr>
          <w:rFonts w:ascii="Arial" w:cs="Arial" w:eastAsia="Arial" w:hAnsi="Arial"/>
          <w:sz w:val="15"/>
          <w:szCs w:val="15"/>
          <w:b w:val="1"/>
          <w:bCs w:val="1"/>
          <w:color w:val="auto"/>
        </w:rPr>
        <w:t>Page 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Details of Financial Results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first quarter, TI revenue of $2936 million increased by $166 million sequentially and by $744 million from the year-ago quarter.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Gross profit of $1322 million increased 11 percent sequentially and 53 percent from the year-ago quarter. Gross profit margin was 45.0 percent of revenue, up 1.9 percentage points sequentially and up 5.7 percentage points from the year-ago quarter. Gross profit and gross profit margin benefited from higher revenue and the resulting increased utilization of TI’s fixed-cost Semiconductor manufacturing assets. This more than offset the accrual for profit sharing and the annual compensation expense increases that were incurred in the first quarter.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83"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Research and Development (R&amp;D) expense of $494 million increased 10 percent sequentially primarily due to an accrual for profit sharing and annual compensation expense increases that were incurred in the first quarter. R&amp;D expense increased 21 percent compared with the year-ago quarter primarily due to higher Semiconductor product development, particularly for wireless, combined with the profit sharing accrual and the annual compensation expense increases.</w:t>
      </w:r>
    </w:p>
    <w:p>
      <w:pPr>
        <w:spacing w:after="0" w:line="7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Selling, General and Administrative (SG&amp;A) expense of $354 million increased 15 percent sequentially and 18 percent from the year-ago quarter primarily due to the accrual for profit sharing and the annual compensation expense increases.</w:t>
      </w:r>
    </w:p>
    <w:p>
      <w:pPr>
        <w:sectPr>
          <w:pgSz w:w="11900" w:h="16838" w:orient="portrait"/>
          <w:cols w:equalWidth="0" w:num="1">
            <w:col w:w="11420"/>
          </w:cols>
          <w:pgMar w:left="240" w:top="274" w:right="239" w:bottom="1440" w:gutter="0" w:footer="0" w:header="0"/>
        </w:sectPr>
      </w:pPr>
    </w:p>
    <w:bookmarkStart w:id="7" w:name="page8"/>
    <w:bookmarkEnd w:id="7"/>
    <w:p>
      <w:pPr>
        <w:spacing w:after="0"/>
        <w:tabs>
          <w:tab w:leader="none" w:pos="10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 Reports 1Q04 Financial Results</w:t>
      </w:r>
      <w:r>
        <w:rPr>
          <w:sz w:val="20"/>
          <w:szCs w:val="20"/>
          <w:color w:val="auto"/>
        </w:rPr>
        <w:tab/>
      </w:r>
      <w:r>
        <w:rPr>
          <w:rFonts w:ascii="Arial" w:cs="Arial" w:eastAsia="Arial" w:hAnsi="Arial"/>
          <w:sz w:val="15"/>
          <w:szCs w:val="15"/>
          <w:b w:val="1"/>
          <w:bCs w:val="1"/>
          <w:color w:val="auto"/>
        </w:rPr>
        <w:t>Page 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w:t>
      </w:r>
    </w:p>
    <w:p>
      <w:pPr>
        <w:spacing w:after="0" w:line="83"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Operating profit of $474 million, or 16.2 percent of revenue, increased by $36 million sequentially and increased by $321 million compared with the year-ago quarter due to higher gross profit, which more than offset increased R&amp;D and SG&amp;A expenses.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 (OI&amp;E) and Interest Expense</w:t>
      </w:r>
    </w:p>
    <w:p>
      <w:pPr>
        <w:spacing w:after="0" w:line="8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OI&amp;E of $50 million decreased by $81 million from the prior quarter, which included $97 million of pre-tax gain associated with the company’s sale of its remaining shares of Micron Technology, Inc. common stock. Compared with the year-ago quarter, OI&amp;E increased $36 million reflecting TI’s investment write-downs and the charges associated with the retirement of Burr-Brown debt, both of which occurred in the year-ago quarter.</w:t>
      </w:r>
    </w:p>
    <w:p>
      <w:pPr>
        <w:spacing w:after="0" w:line="93" w:lineRule="exact"/>
        <w:rPr>
          <w:sz w:val="20"/>
          <w:szCs w:val="20"/>
          <w:color w:val="auto"/>
        </w:rPr>
      </w:pPr>
    </w:p>
    <w:p>
      <w:pPr>
        <w:ind w:right="740" w:firstLine="456"/>
        <w:spacing w:after="0" w:line="375" w:lineRule="auto"/>
        <w:rPr>
          <w:sz w:val="20"/>
          <w:szCs w:val="20"/>
          <w:color w:val="auto"/>
        </w:rPr>
      </w:pPr>
      <w:r>
        <w:rPr>
          <w:rFonts w:ascii="Arial" w:cs="Arial" w:eastAsia="Arial" w:hAnsi="Arial"/>
          <w:sz w:val="18"/>
          <w:szCs w:val="18"/>
          <w:color w:val="auto"/>
        </w:rPr>
        <w:t xml:space="preserve">Interest expense of $8 million was even sequentially and declined by $5 million from the year-ago quarter due to the company’s lower debt level. </w:t>
      </w:r>
      <w:r>
        <w:rPr>
          <w:rFonts w:ascii="Arial" w:cs="Arial" w:eastAsia="Arial" w:hAnsi="Arial"/>
          <w:sz w:val="18"/>
          <w:szCs w:val="18"/>
          <w:b w:val="1"/>
          <w:bCs w:val="1"/>
          <w:color w:val="auto"/>
        </w:rPr>
        <w:t>Net Income</w:t>
      </w:r>
    </w:p>
    <w:p>
      <w:pPr>
        <w:spacing w:after="0" w:line="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Net income was $367 million, or $0.21 per share, down $145 million sequentially due to the prior quarter’s gain from the sale of Micron stock and the company’s recognition of a previously reserved tax benefit associated with an impairment write-down of TI’s Micron stock in the fourth quarter of 2002, and due to an increase in the company’s effective tax rate. Compared with the year-ago quarter, net income increased $250 million due to higher operating profit. Net income in the first quarter reflects a higher effective tax rate of 29 percent compared with the earlier periods.</w:t>
      </w:r>
    </w:p>
    <w:p>
      <w:pPr>
        <w:sectPr>
          <w:pgSz w:w="11900" w:h="16838" w:orient="portrait"/>
          <w:cols w:equalWidth="0" w:num="1">
            <w:col w:w="11420"/>
          </w:cols>
          <w:pgMar w:left="240" w:top="274" w:right="239" w:bottom="1440" w:gutter="0" w:footer="0" w:header="0"/>
        </w:sectPr>
      </w:pPr>
    </w:p>
    <w:bookmarkStart w:id="8" w:name="page9"/>
    <w:bookmarkEnd w:id="8"/>
    <w:p>
      <w:pPr>
        <w:spacing w:after="0"/>
        <w:tabs>
          <w:tab w:leader="none" w:pos="10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 Reports 1Q04 Financial Results</w:t>
      </w:r>
      <w:r>
        <w:rPr>
          <w:sz w:val="20"/>
          <w:szCs w:val="20"/>
          <w:color w:val="auto"/>
        </w:rPr>
        <w:tab/>
      </w:r>
      <w:r>
        <w:rPr>
          <w:rFonts w:ascii="Arial" w:cs="Arial" w:eastAsia="Arial" w:hAnsi="Arial"/>
          <w:sz w:val="15"/>
          <w:szCs w:val="15"/>
          <w:b w:val="1"/>
          <w:bCs w:val="1"/>
          <w:color w:val="auto"/>
        </w:rPr>
        <w:t>Page 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Orders</w:t>
      </w:r>
    </w:p>
    <w:p>
      <w:pPr>
        <w:spacing w:after="0" w:line="83"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TI orders of $3231 million increased 5 percent sequentially due to growth in Semiconductor, Educational &amp; Productivity Solutions (E&amp;PS) and Sensors &amp; Controls. Compared with the year-ago quarter, orders increased 41 percent primarily due to strength in Semiconductor. Semiconductor orders were $2810 million, up 2 percent sequentially. Compared with the year-ago quarter, Semiconductor orders were up 47 percent due to broad-based demand for the company’s products. The Semiconductor book-to-bill ratio in the first quarter was 1.09.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the end of the first quarter, total cash (cash and cash equivalents plus short-term investments and long-term cash investments) was $5493 million.</w:t>
      </w:r>
    </w:p>
    <w:p>
      <w:pPr>
        <w:spacing w:after="0" w:line="18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Cash flow from operations was $393 million, down $674 million sequentially primarily due to an increase in receivables and inventory. Compared with the year-ago quarter, cash flow was up $197 million due to higher net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 and Depreciation</w:t>
      </w:r>
    </w:p>
    <w:p>
      <w:pPr>
        <w:spacing w:after="0" w:line="8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Capital expenditures of $401 million increased by $129 million sequentially and $269 million from the year-ago quarter. TI’s capital expenditures in the first quarter primarily were used to increase assembly and test capacity, as well as for Semiconductor equipment to establish an additional 90-nanometer production line.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of $348 million decreased by $22 million sequentially and was about even with the year-ago quarter.</w:t>
      </w:r>
    </w:p>
    <w:p>
      <w:pPr>
        <w:sectPr>
          <w:pgSz w:w="11900" w:h="16838" w:orient="portrait"/>
          <w:cols w:equalWidth="0" w:num="1">
            <w:col w:w="11420"/>
          </w:cols>
          <w:pgMar w:left="240" w:top="274" w:right="239" w:bottom="1440" w:gutter="0" w:footer="0" w:header="0"/>
        </w:sectPr>
      </w:pPr>
    </w:p>
    <w:bookmarkStart w:id="9" w:name="page10"/>
    <w:bookmarkEnd w:id="9"/>
    <w:p>
      <w:pPr>
        <w:spacing w:after="0"/>
        <w:tabs>
          <w:tab w:leader="none" w:pos="10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 Reports 1Q04 Financial Results</w:t>
      </w:r>
      <w:r>
        <w:rPr>
          <w:sz w:val="20"/>
          <w:szCs w:val="20"/>
          <w:color w:val="auto"/>
        </w:rPr>
        <w:tab/>
      </w:r>
      <w:r>
        <w:rPr>
          <w:rFonts w:ascii="Arial" w:cs="Arial" w:eastAsia="Arial" w:hAnsi="Arial"/>
          <w:sz w:val="15"/>
          <w:szCs w:val="15"/>
          <w:b w:val="1"/>
          <w:bCs w:val="1"/>
          <w:color w:val="auto"/>
        </w:rPr>
        <w:t>Page 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Inventory</w:t>
      </w:r>
    </w:p>
    <w:p>
      <w:pPr>
        <w:spacing w:after="0" w:line="83"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Accounts receivable of $1678 million increased $227 million sequentially due to a higher revenue level in the final month of the first quarter compared with the final month of the prior quarter. Accounts receivable increased by $313 million from the end of the year-ago quarter due to higher revenue. Days sales outstanding were 51 at the end of the first quarter, compared with 47 at the end of the prior quarter and 56 at the end of the year-ago quarter.</w:t>
      </w:r>
    </w:p>
    <w:p>
      <w:pPr>
        <w:spacing w:after="0" w:line="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Inventory of $1148 million at the end of the first quarter increased $164 million sequentially and $266 million from the year-ago quarter to support anticipated higher shipments. Days of inventory at the end of the first quarter were 64, up from 56 days at the end of the prior quarter and up from 60 days at the end of the year-ago quarter.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At the end of the first quarter, TI’s debt-to-total-capital ratio was 0.06, down from 0.07 at the end of the prior quarter, and down from 0.09 at the end of the year-ago quarter primarily due to the company’s lower debt level.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77"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TI intends to provide a mid-quarter update to its financial outlook on June 7 by issuing a press release and holding a conference call. Both will be available on the company’s web site.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second quarter of 2004, TI expects revenue to be in the following ranges:</w:t>
      </w:r>
    </w:p>
    <w:p>
      <w:pPr>
        <w:spacing w:after="0" w:line="77" w:lineRule="exact"/>
        <w:rPr>
          <w:sz w:val="20"/>
          <w:szCs w:val="20"/>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TI, $3085 million to $3325 million;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Semiconductor, $2650 million to $2850 million;</w:t>
      </w:r>
    </w:p>
    <w:p>
      <w:pPr>
        <w:sectPr>
          <w:pgSz w:w="11900" w:h="16838" w:orient="portrait"/>
          <w:cols w:equalWidth="0" w:num="1">
            <w:col w:w="11420"/>
          </w:cols>
          <w:pgMar w:left="240" w:top="274" w:right="239" w:bottom="1440" w:gutter="0" w:footer="0" w:header="0"/>
        </w:sectPr>
      </w:pPr>
    </w:p>
    <w:bookmarkStart w:id="10" w:name="page11"/>
    <w:bookmarkEnd w:id="10"/>
    <w:p>
      <w:pPr>
        <w:spacing w:after="0"/>
        <w:tabs>
          <w:tab w:leader="none" w:pos="10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 Reports 1Q04 Financial Results</w:t>
      </w:r>
      <w:r>
        <w:rPr>
          <w:sz w:val="20"/>
          <w:szCs w:val="20"/>
          <w:color w:val="auto"/>
        </w:rPr>
        <w:tab/>
      </w:r>
      <w:r>
        <w:rPr>
          <w:rFonts w:ascii="Arial" w:cs="Arial" w:eastAsia="Arial" w:hAnsi="Arial"/>
          <w:sz w:val="15"/>
          <w:szCs w:val="15"/>
          <w:b w:val="1"/>
          <w:bCs w:val="1"/>
          <w:color w:val="auto"/>
        </w:rPr>
        <w:t>Page 7</w:t>
      </w:r>
    </w:p>
    <w:p>
      <w:pPr>
        <w:spacing w:after="0" w:line="164" w:lineRule="exact"/>
        <w:rPr>
          <w:sz w:val="20"/>
          <w:szCs w:val="20"/>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Sensors &amp; Controls, $280 million to $300 million;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E&amp;PS, $160 million to $180 million.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 expects earnings per share to be in the range of $0.23 to $0.26.</w:t>
      </w:r>
    </w:p>
    <w:p>
      <w:pPr>
        <w:spacing w:after="0" w:line="15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For 2004, TI expects: R&amp;D to be about $2.1 billion, up from the prior estimate of $2.0 billion; capital expenditures to be about $1.3 billion, up from the prior estimate of $1.1 billion; and depreciation to be about $1.5 billion, up from the prior estimate of $1.4 billion.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effective tax rate for the year is expected to be about 29 percent, compared with the company’s prior expectation of about 30 percent.</w:t>
      </w:r>
    </w:p>
    <w:p>
      <w:pPr>
        <w:sectPr>
          <w:pgSz w:w="11900" w:h="16838" w:orient="portrait"/>
          <w:cols w:equalWidth="0" w:num="1">
            <w:col w:w="11420"/>
          </w:cols>
          <w:pgMar w:left="240" w:top="274"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8"/>
        </w:trPr>
        <w:tc>
          <w:tcPr>
            <w:tcW w:w="8480" w:type="dxa"/>
            <w:vAlign w:val="bottom"/>
            <w:gridSpan w:val="3"/>
          </w:tcPr>
          <w:p>
            <w:pPr>
              <w:spacing w:after="0"/>
              <w:rPr>
                <w:sz w:val="20"/>
                <w:szCs w:val="20"/>
                <w:color w:val="auto"/>
              </w:rPr>
            </w:pPr>
            <w:r>
              <w:rPr>
                <w:rFonts w:ascii="Arial" w:cs="Arial" w:eastAsia="Arial" w:hAnsi="Arial"/>
                <w:sz w:val="18"/>
                <w:szCs w:val="18"/>
                <w:b w:val="1"/>
                <w:bCs w:val="1"/>
                <w:color w:val="auto"/>
              </w:rPr>
              <w:t>TI Reports 1Q04 Financial Results</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w w:val="86"/>
              </w:rPr>
              <w:t>Page 8</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300" w:type="dxa"/>
            <w:vAlign w:val="bottom"/>
          </w:tcPr>
          <w:p>
            <w:pPr>
              <w:jc w:val="center"/>
              <w:ind w:left="1692"/>
              <w:spacing w:after="0"/>
              <w:rPr>
                <w:sz w:val="20"/>
                <w:szCs w:val="20"/>
                <w:color w:val="auto"/>
              </w:rPr>
            </w:pPr>
            <w:r>
              <w:rPr>
                <w:rFonts w:ascii="Arial" w:cs="Arial" w:eastAsia="Arial" w:hAnsi="Arial"/>
                <w:sz w:val="18"/>
                <w:szCs w:val="18"/>
                <w:color w:val="auto"/>
                <w:w w:val="94"/>
              </w:rPr>
              <w:t>TEXAS INSTRUMENTS INCORPORATED AND SUBSIDIARIES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300" w:type="dxa"/>
            <w:vAlign w:val="bottom"/>
          </w:tcPr>
          <w:p>
            <w:pPr>
              <w:jc w:val="center"/>
              <w:ind w:left="1692"/>
              <w:spacing w:after="0"/>
              <w:rPr>
                <w:sz w:val="20"/>
                <w:szCs w:val="20"/>
                <w:color w:val="auto"/>
              </w:rPr>
            </w:pPr>
            <w:r>
              <w:rPr>
                <w:rFonts w:ascii="Arial" w:cs="Arial" w:eastAsia="Arial" w:hAnsi="Arial"/>
                <w:sz w:val="18"/>
                <w:szCs w:val="18"/>
                <w:color w:val="auto"/>
                <w:w w:val="87"/>
              </w:rPr>
              <w:t>Consolidated Statement of Operations</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300" w:type="dxa"/>
            <w:vAlign w:val="bottom"/>
          </w:tcPr>
          <w:p>
            <w:pPr>
              <w:jc w:val="center"/>
              <w:ind w:left="1692"/>
              <w:spacing w:after="0"/>
              <w:rPr>
                <w:sz w:val="20"/>
                <w:szCs w:val="20"/>
                <w:color w:val="auto"/>
              </w:rPr>
            </w:pPr>
            <w:r>
              <w:rPr>
                <w:rFonts w:ascii="Arial" w:cs="Arial" w:eastAsia="Arial" w:hAnsi="Arial"/>
                <w:sz w:val="18"/>
                <w:szCs w:val="18"/>
                <w:color w:val="auto"/>
                <w:w w:val="89"/>
              </w:rPr>
              <w:t>(In millions of dollars, except per-share amounts)</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8"/>
              </w:rPr>
              <w:t>For Three Months 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Mar. 31</w:t>
            </w:r>
          </w:p>
        </w:tc>
        <w:tc>
          <w:tcPr>
            <w:tcW w:w="500" w:type="dxa"/>
            <w:vAlign w:val="bottom"/>
          </w:tcPr>
          <w:p>
            <w:pPr>
              <w:spacing w:after="0"/>
              <w:rPr>
                <w:sz w:val="20"/>
                <w:szCs w:val="20"/>
                <w:color w:val="auto"/>
              </w:rPr>
            </w:pPr>
          </w:p>
        </w:tc>
        <w:tc>
          <w:tcPr>
            <w:tcW w:w="12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5"/>
              </w:rPr>
              <w:t>Dec. 31</w:t>
            </w:r>
          </w:p>
        </w:tc>
        <w:tc>
          <w:tcPr>
            <w:tcW w:w="20" w:type="dxa"/>
            <w:vAlign w:val="bottom"/>
          </w:tcPr>
          <w:p>
            <w:pPr>
              <w:spacing w:after="0"/>
              <w:rPr>
                <w:sz w:val="20"/>
                <w:szCs w:val="20"/>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Mar.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13"/>
              <w:spacing w:after="0"/>
              <w:rPr>
                <w:sz w:val="20"/>
                <w:szCs w:val="20"/>
                <w:color w:val="auto"/>
              </w:rPr>
            </w:pPr>
            <w:r>
              <w:rPr>
                <w:rFonts w:ascii="Arial" w:cs="Arial" w:eastAsia="Arial" w:hAnsi="Arial"/>
                <w:sz w:val="14"/>
                <w:szCs w:val="14"/>
                <w:b w:val="1"/>
                <w:bCs w:val="1"/>
                <w:color w:val="auto"/>
                <w:w w:val="83"/>
              </w:rPr>
              <w:t>2004</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center"/>
              <w:ind w:right="53"/>
              <w:spacing w:after="0"/>
              <w:rPr>
                <w:sz w:val="20"/>
                <w:szCs w:val="20"/>
                <w:color w:val="auto"/>
              </w:rPr>
            </w:pPr>
            <w:r>
              <w:rPr>
                <w:rFonts w:ascii="Arial" w:cs="Arial" w:eastAsia="Arial" w:hAnsi="Arial"/>
                <w:sz w:val="14"/>
                <w:szCs w:val="14"/>
                <w:b w:val="1"/>
                <w:bCs w:val="1"/>
                <w:color w:val="auto"/>
                <w:w w:val="83"/>
              </w:rPr>
              <w:t>2003</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13"/>
              <w:spacing w:after="0"/>
              <w:rPr>
                <w:sz w:val="20"/>
                <w:szCs w:val="20"/>
                <w:color w:val="auto"/>
              </w:rPr>
            </w:pPr>
            <w:r>
              <w:rPr>
                <w:rFonts w:ascii="Arial" w:cs="Arial" w:eastAsia="Arial" w:hAnsi="Arial"/>
                <w:sz w:val="14"/>
                <w:szCs w:val="14"/>
                <w:b w:val="1"/>
                <w:bCs w:val="1"/>
                <w:color w:val="auto"/>
                <w:w w:val="83"/>
              </w:rPr>
              <w:t>2003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2936</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6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Cost of revenue</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1614</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860"/>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1322</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1194</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 % of revenue</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45.0%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200"/>
              <w:spacing w:after="0"/>
              <w:rPr>
                <w:sz w:val="20"/>
                <w:szCs w:val="20"/>
                <w:color w:val="auto"/>
              </w:rPr>
            </w:pPr>
            <w:r>
              <w:rPr>
                <w:rFonts w:ascii="Arial" w:cs="Arial" w:eastAsia="Arial" w:hAnsi="Arial"/>
                <w:sz w:val="18"/>
                <w:szCs w:val="18"/>
                <w:color w:val="auto"/>
              </w:rPr>
              <w:t>Research and development (R&amp;D)</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494</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448</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R&amp;D % of revenue</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16.8%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200"/>
              <w:spacing w:after="0"/>
              <w:rPr>
                <w:sz w:val="20"/>
                <w:szCs w:val="20"/>
                <w:color w:val="auto"/>
              </w:rPr>
            </w:pPr>
            <w:r>
              <w:rPr>
                <w:rFonts w:ascii="Arial" w:cs="Arial" w:eastAsia="Arial" w:hAnsi="Arial"/>
                <w:sz w:val="18"/>
                <w:szCs w:val="18"/>
                <w:color w:val="auto"/>
              </w:rPr>
              <w:t>Selling, general and administrative (SG&amp;A)</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354</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308</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SG&amp;A % of revenue</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12.0%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3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2462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300" w:type="dxa"/>
            <w:vAlign w:val="bottom"/>
          </w:tcPr>
          <w:p>
            <w:pPr>
              <w:ind w:left="120"/>
              <w:spacing w:after="0"/>
              <w:rPr>
                <w:sz w:val="20"/>
                <w:szCs w:val="20"/>
                <w:color w:val="auto"/>
              </w:rPr>
            </w:pPr>
            <w:r>
              <w:rPr>
                <w:rFonts w:ascii="Arial" w:cs="Arial" w:eastAsia="Arial" w:hAnsi="Arial"/>
                <w:sz w:val="18"/>
                <w:szCs w:val="18"/>
                <w:color w:val="auto"/>
              </w:rPr>
              <w:t>Operating income % of revenue</w:t>
            </w: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16.2%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Interest on loans</w:t>
            </w: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49</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6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7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7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7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6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7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-910590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-910590</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-910590</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-910590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-910590</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-910590</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-910590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-910590</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-910590</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-610235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-610235</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-610235</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-610235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-610235</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-610235</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-610235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-610235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-610235</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-309880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-309880</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-309880</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-309880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-309880</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-309880</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-309880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-309880</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-309880</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60" w:hanging="452"/>
        <w:spacing w:after="0" w:line="287"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Income for the first quarter of 2004 includes, in millions of dollars, a charge of $5 for restructuring actions initiated in the second quarter of 2003, of which $2 is associated with achieving manufacturing efficiencies in the Semiconductor business and $3 is associated with moving certain production lines in the Sensors &amp; Controls business from Attleboro to other TI sites. The $5 restructuring charge is primarily for severance and benefit costs. Of the $5, $4 is included in cost of revenue and $1 is in selling, general and administrative expense. Income for the fourth quarter of 2003 includes, in millions of dollars, a charge of $13 for restructuring actions initiated in the second quarter of 2003, of which $7 is associated with achieving manufacturing efficiencies in the Semiconductor business and $6 is associated with moving certain production lines in the Sensors &amp; Controls business from Attleboro to other TI sites. The $13 restructuring charge is primarily for severance and benefit costs. Of the $13, $11 is included in cost of revenue and $2 is in selling, general and administrative expense. Income for the fourth quarter of 2003 also includes an investment gain of $97, included in other income, from the sale of 32.3 million shares of Micron Technology, Inc. (Micron) common stock. Income for the first quarter of 2003 includes, in millions of dollars, a charge of $10 in other income (expense) net from the redemption of $250 million in convertible notes.</w:t>
      </w:r>
    </w:p>
    <w:p>
      <w:pPr>
        <w:spacing w:after="0" w:line="28"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color w:val="auto"/>
        </w:rPr>
        <w:t>Income includes, in millions of dollars, acquisition-related amortization of $19, $20 and $28 for the first quarter of 2004 and the fourth quarter and first quarter of 2003.</w:t>
      </w:r>
    </w:p>
    <w:p>
      <w:pPr>
        <w:spacing w:after="0" w:line="37" w:lineRule="exact"/>
        <w:rPr>
          <w:sz w:val="20"/>
          <w:szCs w:val="20"/>
          <w:color w:val="auto"/>
        </w:rPr>
      </w:pPr>
    </w:p>
    <w:p>
      <w:pPr>
        <w:ind w:left="460" w:right="8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Diluted earnings per common share are based on average common and dilutive potential common shares outstanding (in millions of shares, 1783.6, 1780.1 and 1753.4 for the first quarter of 2004 and the fourth quarter and first quarter of 2003).</w:t>
      </w:r>
    </w:p>
    <w:p>
      <w:pPr>
        <w:sectPr>
          <w:pgSz w:w="11900" w:h="16838" w:orient="portrait"/>
          <w:cols w:equalWidth="0" w:num="1">
            <w:col w:w="11420"/>
          </w:cols>
          <w:pgMar w:left="240" w:top="274"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8"/>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TI Reports 1Q04 Financial Results</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Page 9</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8520" w:type="dxa"/>
            <w:vAlign w:val="bottom"/>
          </w:tcPr>
          <w:p>
            <w:pPr>
              <w:jc w:val="center"/>
              <w:ind w:left="2792"/>
              <w:spacing w:after="0"/>
              <w:rPr>
                <w:sz w:val="20"/>
                <w:szCs w:val="20"/>
                <w:color w:val="auto"/>
              </w:rPr>
            </w:pPr>
            <w:r>
              <w:rPr>
                <w:rFonts w:ascii="Arial" w:cs="Arial" w:eastAsia="Arial" w:hAnsi="Arial"/>
                <w:sz w:val="18"/>
                <w:szCs w:val="18"/>
                <w:color w:val="auto"/>
                <w:w w:val="94"/>
              </w:rPr>
              <w:t>TEXAS INSTRUMENTS INCORPORATED AND SUBSIDIARIES</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jc w:val="center"/>
              <w:ind w:left="2772"/>
              <w:spacing w:after="0"/>
              <w:rPr>
                <w:sz w:val="20"/>
                <w:szCs w:val="20"/>
                <w:color w:val="auto"/>
              </w:rPr>
            </w:pPr>
            <w:r>
              <w:rPr>
                <w:rFonts w:ascii="Arial" w:cs="Arial" w:eastAsia="Arial" w:hAnsi="Arial"/>
                <w:sz w:val="18"/>
                <w:szCs w:val="18"/>
                <w:color w:val="auto"/>
                <w:w w:val="87"/>
              </w:rPr>
              <w:t>Consolidated Balance Sheet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tcPr>
          <w:p>
            <w:pPr>
              <w:jc w:val="center"/>
              <w:ind w:left="2792"/>
              <w:spacing w:after="0"/>
              <w:rPr>
                <w:sz w:val="20"/>
                <w:szCs w:val="20"/>
                <w:color w:val="auto"/>
              </w:rPr>
            </w:pPr>
            <w:r>
              <w:rPr>
                <w:rFonts w:ascii="Arial" w:cs="Arial" w:eastAsia="Arial" w:hAnsi="Arial"/>
                <w:sz w:val="18"/>
                <w:szCs w:val="18"/>
                <w:color w:val="auto"/>
                <w:w w:val="94"/>
              </w:rPr>
              <w:t>(In millions of dollars)</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120" w:type="dxa"/>
            <w:vAlign w:val="bottom"/>
            <w:gridSpan w:val="4"/>
          </w:tcPr>
          <w:p>
            <w:pPr>
              <w:ind w:left="60"/>
              <w:spacing w:after="0"/>
              <w:rPr>
                <w:sz w:val="20"/>
                <w:szCs w:val="20"/>
                <w:color w:val="auto"/>
              </w:rPr>
            </w:pPr>
            <w:r>
              <w:rPr>
                <w:rFonts w:ascii="Arial" w:cs="Arial" w:eastAsia="Arial" w:hAnsi="Arial"/>
                <w:sz w:val="14"/>
                <w:szCs w:val="14"/>
                <w:b w:val="1"/>
                <w:bCs w:val="1"/>
                <w:color w:val="auto"/>
              </w:rPr>
              <w:t>Mar. 31</w:t>
            </w:r>
          </w:p>
        </w:tc>
        <w:tc>
          <w:tcPr>
            <w:tcW w:w="11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3"/>
              </w:rPr>
              <w:t>Dec. 31</w:t>
            </w:r>
          </w:p>
        </w:tc>
        <w:tc>
          <w:tcPr>
            <w:tcW w:w="6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9"/>
              </w:rPr>
              <w:t>Mar.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2004</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3"/>
              <w:spacing w:after="0"/>
              <w:rPr>
                <w:sz w:val="20"/>
                <w:szCs w:val="20"/>
                <w:color w:val="auto"/>
              </w:rPr>
            </w:pPr>
            <w:r>
              <w:rPr>
                <w:rFonts w:ascii="Arial" w:cs="Arial" w:eastAsia="Arial" w:hAnsi="Arial"/>
                <w:sz w:val="14"/>
                <w:szCs w:val="14"/>
                <w:b w:val="1"/>
                <w:bCs w:val="1"/>
                <w:color w:val="auto"/>
                <w:w w:val="89"/>
              </w:rPr>
              <w:t>2003</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2522</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2511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Accounts receivable, net of allowances for customer adjustments and doubtful accounts of $44 million at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March 31, 2004, $47 million at December 31, 2003, and $62 million at March 31, 2003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692</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624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545</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496</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w w:val="96"/>
              </w:rPr>
              <w:t>(5550)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(5417)</w:t>
            </w: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(4862)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Long-term cash investments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Acquisition-related intangibles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612</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581</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15785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15510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payable and current portion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1553</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1496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Accrued retirement and profit sharing contributions</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82</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Accrued retirement costs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628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349</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w w:val="96"/>
              </w:rPr>
              <w:t>Preferred stock, $25 par value. Authorized - 10,000,000 shares. Participating cumulative preferred. None</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640"/>
              <w:spacing w:after="0"/>
              <w:rPr>
                <w:sz w:val="20"/>
                <w:szCs w:val="20"/>
                <w:color w:val="auto"/>
              </w:rPr>
            </w:pPr>
            <w:r>
              <w:rPr>
                <w:rFonts w:ascii="Arial" w:cs="Arial" w:eastAsia="Arial" w:hAnsi="Arial"/>
                <w:sz w:val="18"/>
                <w:szCs w:val="18"/>
                <w:color w:val="auto"/>
              </w:rPr>
              <w:t>issued.</w:t>
            </w:r>
          </w:p>
        </w:tc>
        <w:tc>
          <w:tcPr>
            <w:tcW w:w="100" w:type="dxa"/>
            <w:vAlign w:val="bottom"/>
          </w:tcPr>
          <w:p>
            <w:pPr>
              <w:spacing w:after="0"/>
              <w:rPr>
                <w:sz w:val="19"/>
                <w:szCs w:val="19"/>
                <w:color w:val="auto"/>
              </w:rPr>
            </w:pPr>
          </w:p>
        </w:tc>
        <w:tc>
          <w:tcPr>
            <w:tcW w:w="102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$1 par value. Authorized - 2,400,000,000 shares. Shares issued: March 31, 2004 –</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1,738,115,567; December 31, 2003 – 1,737,739,654; March 31, 2003 – 1,740,467,816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Paid-in capital</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859</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901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Less treasury common stock at cost: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Shares: March 31, 2004 – 7,012,862; December 31, 2003 – 5,401,665; March 31, 2003 – 11,185,274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compensation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12085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11864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15785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15510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-4068445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-4068445</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-4068445</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-4068445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-4068445</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-4068445</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-4068445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-4068445</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-4068445</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991"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8"/>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TI Reports 1Q04 Financial Results</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gridSpan w:val="5"/>
          </w:tcPr>
          <w:p>
            <w:pPr>
              <w:ind w:left="20"/>
              <w:spacing w:after="0"/>
              <w:rPr>
                <w:sz w:val="20"/>
                <w:szCs w:val="20"/>
                <w:color w:val="auto"/>
              </w:rPr>
            </w:pPr>
            <w:r>
              <w:rPr>
                <w:rFonts w:ascii="Arial" w:cs="Arial" w:eastAsia="Arial" w:hAnsi="Arial"/>
                <w:sz w:val="18"/>
                <w:szCs w:val="18"/>
                <w:b w:val="1"/>
                <w:bCs w:val="1"/>
                <w:color w:val="auto"/>
                <w:w w:val="82"/>
              </w:rPr>
              <w:t>Page 10</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8840" w:type="dxa"/>
            <w:vAlign w:val="bottom"/>
          </w:tcPr>
          <w:p>
            <w:pPr>
              <w:jc w:val="center"/>
              <w:ind w:left="2472"/>
              <w:spacing w:after="0"/>
              <w:rPr>
                <w:sz w:val="20"/>
                <w:szCs w:val="20"/>
                <w:color w:val="auto"/>
              </w:rPr>
            </w:pPr>
            <w:r>
              <w:rPr>
                <w:rFonts w:ascii="Arial" w:cs="Arial" w:eastAsia="Arial" w:hAnsi="Arial"/>
                <w:sz w:val="18"/>
                <w:szCs w:val="18"/>
                <w:color w:val="auto"/>
                <w:w w:val="94"/>
              </w:rPr>
              <w:t>TEXAS INSTRUMENTS INCORPORATED AND SUBSIDIARIES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jc w:val="center"/>
              <w:ind w:left="2472"/>
              <w:spacing w:after="0"/>
              <w:rPr>
                <w:sz w:val="20"/>
                <w:szCs w:val="20"/>
                <w:color w:val="auto"/>
              </w:rPr>
            </w:pPr>
            <w:r>
              <w:rPr>
                <w:rFonts w:ascii="Arial" w:cs="Arial" w:eastAsia="Arial" w:hAnsi="Arial"/>
                <w:sz w:val="18"/>
                <w:szCs w:val="18"/>
                <w:color w:val="auto"/>
                <w:w w:val="87"/>
              </w:rPr>
              <w:t>Statement of Cash Flows</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tcPr>
          <w:p>
            <w:pPr>
              <w:jc w:val="center"/>
              <w:ind w:left="2472"/>
              <w:spacing w:after="0"/>
              <w:rPr>
                <w:sz w:val="20"/>
                <w:szCs w:val="20"/>
                <w:color w:val="auto"/>
              </w:rPr>
            </w:pPr>
            <w:r>
              <w:rPr>
                <w:rFonts w:ascii="Arial" w:cs="Arial" w:eastAsia="Arial" w:hAnsi="Arial"/>
                <w:sz w:val="18"/>
                <w:szCs w:val="18"/>
                <w:color w:val="auto"/>
                <w:w w:val="94"/>
              </w:rPr>
              <w:t>(In millions of dollars)</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w w:val="89"/>
              </w:rPr>
              <w:t>For Three Months Ended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40" w:type="dxa"/>
            <w:vAlign w:val="bottom"/>
          </w:tcPr>
          <w:p>
            <w:pPr>
              <w:spacing w:after="0"/>
              <w:rPr>
                <w:sz w:val="20"/>
                <w:szCs w:val="20"/>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Mar. 31</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 31</w:t>
            </w:r>
          </w:p>
        </w:tc>
        <w:tc>
          <w:tcPr>
            <w:tcW w:w="40" w:type="dxa"/>
            <w:vAlign w:val="bottom"/>
          </w:tcPr>
          <w:p>
            <w:pPr>
              <w:spacing w:after="0"/>
              <w:rPr>
                <w:sz w:val="20"/>
                <w:szCs w:val="20"/>
                <w:color w:val="auto"/>
              </w:rPr>
            </w:pPr>
          </w:p>
        </w:tc>
        <w:tc>
          <w:tcPr>
            <w:tcW w:w="560" w:type="dxa"/>
            <w:vAlign w:val="bottom"/>
            <w:gridSpan w:val="4"/>
          </w:tcPr>
          <w:p>
            <w:pPr>
              <w:spacing w:after="0"/>
              <w:rPr>
                <w:sz w:val="20"/>
                <w:szCs w:val="20"/>
                <w:color w:val="auto"/>
              </w:rPr>
            </w:pPr>
            <w:r>
              <w:rPr>
                <w:rFonts w:ascii="Arial" w:cs="Arial" w:eastAsia="Arial" w:hAnsi="Arial"/>
                <w:sz w:val="14"/>
                <w:szCs w:val="14"/>
                <w:b w:val="1"/>
                <w:bCs w:val="1"/>
                <w:color w:val="auto"/>
              </w:rPr>
              <w:t>Mar.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13"/>
              <w:spacing w:after="0"/>
              <w:rPr>
                <w:sz w:val="20"/>
                <w:szCs w:val="20"/>
                <w:color w:val="auto"/>
              </w:rPr>
            </w:pPr>
            <w:r>
              <w:rPr>
                <w:rFonts w:ascii="Arial" w:cs="Arial" w:eastAsia="Arial" w:hAnsi="Arial"/>
                <w:sz w:val="14"/>
                <w:szCs w:val="14"/>
                <w:b w:val="1"/>
                <w:bCs w:val="1"/>
                <w:color w:val="auto"/>
                <w:w w:val="83"/>
              </w:rPr>
              <w:t>2004</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13"/>
              <w:spacing w:after="0"/>
              <w:rPr>
                <w:sz w:val="20"/>
                <w:szCs w:val="20"/>
                <w:color w:val="auto"/>
              </w:rPr>
            </w:pPr>
            <w:r>
              <w:rPr>
                <w:rFonts w:ascii="Arial" w:cs="Arial" w:eastAsia="Arial" w:hAnsi="Arial"/>
                <w:sz w:val="14"/>
                <w:szCs w:val="14"/>
                <w:b w:val="1"/>
                <w:bCs w:val="1"/>
                <w:color w:val="auto"/>
                <w:w w:val="83"/>
              </w:rPr>
              <w:t>2003</w:t>
            </w: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83"/>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367</w:t>
            </w:r>
          </w:p>
        </w:tc>
        <w:tc>
          <w:tcPr>
            <w:tcW w:w="5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512</w:t>
            </w:r>
          </w:p>
        </w:tc>
        <w:tc>
          <w:tcPr>
            <w:tcW w:w="500" w:type="dxa"/>
            <w:vAlign w:val="bottom"/>
          </w:tcPr>
          <w:p>
            <w:pPr>
              <w:spacing w:after="0"/>
              <w:rPr>
                <w:sz w:val="18"/>
                <w:szCs w:val="18"/>
                <w:color w:val="auto"/>
              </w:rPr>
            </w:pP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Amortization of acquisition-related costs</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Write-downs of equity investments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Gains on sale of equity investments</w:t>
            </w:r>
          </w:p>
        </w:tc>
        <w:tc>
          <w:tcPr>
            <w:tcW w:w="80" w:type="dxa"/>
            <w:vAlign w:val="bottom"/>
          </w:tcPr>
          <w:p>
            <w:pPr>
              <w:spacing w:after="0"/>
              <w:rPr>
                <w:sz w:val="18"/>
                <w:szCs w:val="18"/>
                <w:color w:val="auto"/>
              </w:rPr>
            </w:pPr>
          </w:p>
        </w:tc>
        <w:tc>
          <w:tcPr>
            <w:tcW w:w="920" w:type="dxa"/>
            <w:vAlign w:val="bottom"/>
            <w:gridSpan w:val="2"/>
          </w:tcPr>
          <w:p>
            <w:pPr>
              <w:jc w:val="right"/>
              <w:ind w:right="412"/>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(99)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w w:val="95"/>
              </w:rPr>
              <w:t>(Increase) decrease in working capital (excluding cash and cash equivalents, short-term investments, deferred</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640"/>
              <w:spacing w:after="0"/>
              <w:rPr>
                <w:sz w:val="20"/>
                <w:szCs w:val="20"/>
                <w:color w:val="auto"/>
              </w:rPr>
            </w:pPr>
            <w:r>
              <w:rPr>
                <w:rFonts w:ascii="Arial" w:cs="Arial" w:eastAsia="Arial" w:hAnsi="Arial"/>
                <w:sz w:val="18"/>
                <w:szCs w:val="18"/>
                <w:color w:val="auto"/>
              </w:rPr>
              <w:t>income taxes, and loans payable and current portion long-term debt):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99"/>
              </w:rPr>
              <w:t>(227)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920" w:type="dxa"/>
            <w:vAlign w:val="bottom"/>
            <w:gridSpan w:val="2"/>
          </w:tcPr>
          <w:p>
            <w:pPr>
              <w:jc w:val="right"/>
              <w:ind w:right="412"/>
              <w:spacing w:after="0"/>
              <w:rPr>
                <w:sz w:val="20"/>
                <w:szCs w:val="20"/>
                <w:color w:val="auto"/>
              </w:rPr>
            </w:pPr>
            <w:r>
              <w:rPr>
                <w:rFonts w:ascii="Arial" w:cs="Arial" w:eastAsia="Arial" w:hAnsi="Arial"/>
                <w:sz w:val="18"/>
                <w:szCs w:val="18"/>
                <w:color w:val="auto"/>
                <w:w w:val="99"/>
              </w:rPr>
              <w:t>(164)</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48</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 payable</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860"/>
              <w:spacing w:after="0"/>
              <w:rPr>
                <w:sz w:val="20"/>
                <w:szCs w:val="20"/>
                <w:color w:val="auto"/>
              </w:rPr>
            </w:pPr>
            <w:r>
              <w:rPr>
                <w:rFonts w:ascii="Arial" w:cs="Arial" w:eastAsia="Arial" w:hAnsi="Arial"/>
                <w:sz w:val="18"/>
                <w:szCs w:val="18"/>
                <w:color w:val="auto"/>
              </w:rPr>
              <w:t>Accrued retirement and profit sharing contributions</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noncurrent accrued retirement costs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(102)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1067</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323"/>
        </w:trPr>
        <w:tc>
          <w:tcPr>
            <w:tcW w:w="88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 plant and equipment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99"/>
              </w:rPr>
              <w:t>(401)</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(272)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Purchases of short-term investments</w:t>
            </w:r>
          </w:p>
        </w:tc>
        <w:tc>
          <w:tcPr>
            <w:tcW w:w="80" w:type="dxa"/>
            <w:vAlign w:val="bottom"/>
          </w:tcPr>
          <w:p>
            <w:pPr>
              <w:spacing w:after="0"/>
              <w:rPr>
                <w:sz w:val="18"/>
                <w:szCs w:val="18"/>
                <w:color w:val="auto"/>
              </w:rPr>
            </w:pPr>
          </w:p>
        </w:tc>
        <w:tc>
          <w:tcPr>
            <w:tcW w:w="920" w:type="dxa"/>
            <w:vAlign w:val="bottom"/>
            <w:gridSpan w:val="2"/>
          </w:tcPr>
          <w:p>
            <w:pPr>
              <w:jc w:val="right"/>
              <w:ind w:right="412"/>
              <w:spacing w:after="0"/>
              <w:rPr>
                <w:sz w:val="20"/>
                <w:szCs w:val="20"/>
                <w:color w:val="auto"/>
              </w:rPr>
            </w:pPr>
            <w:r>
              <w:rPr>
                <w:rFonts w:ascii="Arial" w:cs="Arial" w:eastAsia="Arial" w:hAnsi="Arial"/>
                <w:sz w:val="18"/>
                <w:szCs w:val="18"/>
                <w:color w:val="auto"/>
                <w:w w:val="99"/>
              </w:rPr>
              <w:t>(496)</w:t>
            </w:r>
          </w:p>
        </w:tc>
        <w:tc>
          <w:tcPr>
            <w:tcW w:w="8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(640)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maturities of short-term investments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1131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Purchases of long-term cash investments</w:t>
            </w:r>
          </w:p>
        </w:tc>
        <w:tc>
          <w:tcPr>
            <w:tcW w:w="80" w:type="dxa"/>
            <w:vAlign w:val="bottom"/>
          </w:tcPr>
          <w:p>
            <w:pPr>
              <w:spacing w:after="0"/>
              <w:rPr>
                <w:sz w:val="18"/>
                <w:szCs w:val="18"/>
                <w:color w:val="auto"/>
              </w:rPr>
            </w:pPr>
          </w:p>
        </w:tc>
        <w:tc>
          <w:tcPr>
            <w:tcW w:w="920" w:type="dxa"/>
            <w:vAlign w:val="bottom"/>
            <w:gridSpan w:val="2"/>
          </w:tcPr>
          <w:p>
            <w:pPr>
              <w:jc w:val="right"/>
              <w:ind w:right="412"/>
              <w:spacing w:after="0"/>
              <w:rPr>
                <w:sz w:val="20"/>
                <w:szCs w:val="20"/>
                <w:color w:val="auto"/>
              </w:rPr>
            </w:pPr>
            <w:r>
              <w:rPr>
                <w:rFonts w:ascii="Arial" w:cs="Arial" w:eastAsia="Arial" w:hAnsi="Arial"/>
                <w:sz w:val="18"/>
                <w:szCs w:val="18"/>
                <w:color w:val="auto"/>
                <w:w w:val="99"/>
              </w:rPr>
              <w:t>(493)</w:t>
            </w:r>
          </w:p>
        </w:tc>
        <w:tc>
          <w:tcPr>
            <w:tcW w:w="8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(445)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of long-term cash investments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Purchases of equity investments</w:t>
            </w:r>
          </w:p>
        </w:tc>
        <w:tc>
          <w:tcPr>
            <w:tcW w:w="80" w:type="dxa"/>
            <w:vAlign w:val="bottom"/>
          </w:tcPr>
          <w:p>
            <w:pPr>
              <w:spacing w:after="0"/>
              <w:rPr>
                <w:sz w:val="18"/>
                <w:szCs w:val="18"/>
                <w:color w:val="auto"/>
              </w:rPr>
            </w:pPr>
          </w:p>
        </w:tc>
        <w:tc>
          <w:tcPr>
            <w:tcW w:w="920" w:type="dxa"/>
            <w:vAlign w:val="bottom"/>
            <w:gridSpan w:val="2"/>
          </w:tcPr>
          <w:p>
            <w:pPr>
              <w:jc w:val="right"/>
              <w:ind w:right="412"/>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of equity investments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99"/>
              </w:rPr>
              <w:t>(427)</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(115)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3"/>
        </w:trPr>
        <w:tc>
          <w:tcPr>
            <w:tcW w:w="88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loans payable</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Payments on long-term debt</w:t>
            </w:r>
          </w:p>
        </w:tc>
        <w:tc>
          <w:tcPr>
            <w:tcW w:w="80" w:type="dxa"/>
            <w:vAlign w:val="bottom"/>
          </w:tcPr>
          <w:p>
            <w:pPr>
              <w:spacing w:after="0"/>
              <w:rPr>
                <w:sz w:val="18"/>
                <w:szCs w:val="18"/>
                <w:color w:val="auto"/>
              </w:rPr>
            </w:pPr>
          </w:p>
        </w:tc>
        <w:tc>
          <w:tcPr>
            <w:tcW w:w="920" w:type="dxa"/>
            <w:vAlign w:val="bottom"/>
            <w:gridSpan w:val="2"/>
          </w:tcPr>
          <w:p>
            <w:pPr>
              <w:jc w:val="right"/>
              <w:ind w:right="57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 on common stock</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Sales and other common stock transactions</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77</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repurchase program</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99"/>
              </w:rPr>
              <w:t>(172)</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(115)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Decrease in current assets for restricted cash</w:t>
            </w:r>
          </w:p>
        </w:tc>
        <w:tc>
          <w:tcPr>
            <w:tcW w:w="80" w:type="dxa"/>
            <w:vAlign w:val="bottom"/>
          </w:tcPr>
          <w:p>
            <w:pPr>
              <w:spacing w:after="0"/>
              <w:rPr>
                <w:sz w:val="19"/>
                <w:szCs w:val="19"/>
                <w:color w:val="auto"/>
              </w:rPr>
            </w:pPr>
          </w:p>
        </w:tc>
        <w:tc>
          <w:tcPr>
            <w:tcW w:w="920" w:type="dxa"/>
            <w:vAlign w:val="bottom"/>
            <w:gridSpan w:val="2"/>
          </w:tcPr>
          <w:p>
            <w:pPr>
              <w:jc w:val="right"/>
              <w:ind w:right="57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99"/>
              </w:rPr>
              <w:t>(168)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80" w:type="dxa"/>
            <w:vAlign w:val="bottom"/>
          </w:tcPr>
          <w:p>
            <w:pPr>
              <w:spacing w:after="0"/>
              <w:rPr>
                <w:sz w:val="19"/>
                <w:szCs w:val="19"/>
                <w:color w:val="auto"/>
              </w:rPr>
            </w:pPr>
          </w:p>
        </w:tc>
        <w:tc>
          <w:tcPr>
            <w:tcW w:w="920" w:type="dxa"/>
            <w:vAlign w:val="bottom"/>
            <w:gridSpan w:val="2"/>
          </w:tcPr>
          <w:p>
            <w:pPr>
              <w:jc w:val="right"/>
              <w:ind w:right="412"/>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8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99"/>
              </w:rPr>
              <w:t>(203)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1818</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943</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1615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1818</w:t>
            </w:r>
          </w:p>
        </w:tc>
        <w:tc>
          <w:tcPr>
            <w:tcW w:w="5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1089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32131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4" w:name="page15"/>
    <w:bookmarkEnd w:id="14"/>
    <w:p>
      <w:pPr>
        <w:spacing w:after="0"/>
        <w:tabs>
          <w:tab w:leader="none" w:pos="108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 Reports 1Q04 Financial Results</w:t>
      </w:r>
      <w:r>
        <w:rPr>
          <w:sz w:val="20"/>
          <w:szCs w:val="20"/>
          <w:color w:val="auto"/>
        </w:rPr>
        <w:tab/>
      </w:r>
      <w:r>
        <w:rPr>
          <w:rFonts w:ascii="Arial" w:cs="Arial" w:eastAsia="Arial" w:hAnsi="Arial"/>
          <w:sz w:val="15"/>
          <w:szCs w:val="15"/>
          <w:b w:val="1"/>
          <w:bCs w:val="1"/>
          <w:color w:val="auto"/>
        </w:rPr>
        <w:t>Page 11</w:t>
      </w:r>
    </w:p>
    <w:p>
      <w:pPr>
        <w:sectPr>
          <w:pgSz w:w="11900" w:h="16838" w:orient="portrait"/>
          <w:cols w:equalWidth="0" w:num="1">
            <w:col w:w="11420"/>
          </w:cols>
          <w:pgMar w:left="240" w:top="274"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Business Segment Net Revenue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7"/>
          </w:tcPr>
          <w:p>
            <w:pPr>
              <w:jc w:val="center"/>
              <w:spacing w:after="0"/>
              <w:rPr>
                <w:sz w:val="20"/>
                <w:szCs w:val="20"/>
                <w:color w:val="auto"/>
              </w:rPr>
            </w:pPr>
            <w:r>
              <w:rPr>
                <w:rFonts w:ascii="Arial" w:cs="Arial" w:eastAsia="Arial" w:hAnsi="Arial"/>
                <w:sz w:val="14"/>
                <w:szCs w:val="14"/>
                <w:b w:val="1"/>
                <w:bCs w:val="1"/>
                <w:color w:val="auto"/>
                <w:w w:val="88"/>
              </w:rPr>
              <w:t>For Three Months Ended</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Mar. 31</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85"/>
              </w:rPr>
              <w:t>Dec. 31</w:t>
            </w:r>
          </w:p>
        </w:tc>
        <w:tc>
          <w:tcPr>
            <w:tcW w:w="60" w:type="dxa"/>
            <w:vAlign w:val="bottom"/>
          </w:tcPr>
          <w:p>
            <w:pPr>
              <w:spacing w:after="0"/>
              <w:rPr>
                <w:sz w:val="20"/>
                <w:szCs w:val="20"/>
                <w:color w:val="auto"/>
              </w:rPr>
            </w:pPr>
          </w:p>
        </w:tc>
        <w:tc>
          <w:tcPr>
            <w:tcW w:w="56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1"/>
              </w:rPr>
              <w:t>Mar.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3"/>
              </w:rPr>
              <w:t>2003</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Trade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$2573</w:t>
            </w:r>
          </w:p>
        </w:tc>
        <w:tc>
          <w:tcPr>
            <w:tcW w:w="80" w:type="dxa"/>
            <w:vAlign w:val="bottom"/>
          </w:tcPr>
          <w:p>
            <w:pPr>
              <w:spacing w:after="0"/>
              <w:rPr>
                <w:sz w:val="18"/>
                <w:szCs w:val="18"/>
                <w:color w:val="auto"/>
              </w:rPr>
            </w:pPr>
          </w:p>
        </w:tc>
        <w:tc>
          <w:tcPr>
            <w:tcW w:w="600" w:type="dxa"/>
            <w:vAlign w:val="bottom"/>
            <w:gridSpan w:val="3"/>
          </w:tcPr>
          <w:p>
            <w:pPr>
              <w:ind w:left="500"/>
              <w:spacing w:after="0"/>
              <w:rPr>
                <w:sz w:val="20"/>
                <w:szCs w:val="20"/>
                <w:color w:val="auto"/>
              </w:rPr>
            </w:pPr>
            <w:r>
              <w:rPr>
                <w:rFonts w:ascii="Arial" w:cs="Arial" w:eastAsia="Arial" w:hAnsi="Arial"/>
                <w:sz w:val="18"/>
                <w:szCs w:val="18"/>
                <w:color w:val="auto"/>
                <w:w w:val="79"/>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2444</w:t>
            </w:r>
          </w:p>
        </w:tc>
        <w:tc>
          <w:tcPr>
            <w:tcW w:w="500" w:type="dxa"/>
            <w:vAlign w:val="bottom"/>
          </w:tcPr>
          <w:p>
            <w:pPr>
              <w:spacing w:after="0"/>
              <w:rPr>
                <w:sz w:val="18"/>
                <w:szCs w:val="18"/>
                <w:color w:val="auto"/>
              </w:rPr>
            </w:pPr>
          </w:p>
        </w:tc>
        <w:tc>
          <w:tcPr>
            <w:tcW w:w="540" w:type="dxa"/>
            <w:vAlign w:val="bottom"/>
            <w:gridSpan w:val="5"/>
          </w:tcPr>
          <w:p>
            <w:pPr>
              <w:jc w:val="right"/>
              <w:spacing w:after="0"/>
              <w:rPr>
                <w:sz w:val="20"/>
                <w:szCs w:val="20"/>
                <w:color w:val="auto"/>
              </w:rPr>
            </w:pPr>
            <w:r>
              <w:rPr>
                <w:rFonts w:ascii="Arial" w:cs="Arial" w:eastAsia="Arial" w:hAnsi="Arial"/>
                <w:sz w:val="18"/>
                <w:szCs w:val="18"/>
                <w:color w:val="auto"/>
              </w:rPr>
              <w:t>$1863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1867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Sensors &amp; Controls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Trade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251</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Educational &amp; Productivity Solutions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Trade</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76</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Corporate activities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500" w:type="dxa"/>
            <w:vAlign w:val="bottom"/>
            <w:shd w:val="clear" w:color="auto" w:fill="CCEEFF"/>
          </w:tcPr>
          <w:p>
            <w:pPr>
              <w:spacing w:after="0"/>
              <w:rPr>
                <w:sz w:val="18"/>
                <w:szCs w:val="18"/>
                <w:color w:val="auto"/>
              </w:rPr>
            </w:pPr>
          </w:p>
        </w:tc>
        <w:tc>
          <w:tcPr>
            <w:tcW w:w="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60" w:type="dxa"/>
            <w:vAlign w:val="bottom"/>
            <w:vMerge w:val="restart"/>
          </w:tcPr>
          <w:p>
            <w:pPr>
              <w:ind w:left="3700"/>
              <w:spacing w:after="0"/>
              <w:rPr>
                <w:sz w:val="20"/>
                <w:szCs w:val="20"/>
                <w:color w:val="auto"/>
              </w:rPr>
            </w:pPr>
            <w:r>
              <w:rPr>
                <w:rFonts w:ascii="Arial" w:cs="Arial" w:eastAsia="Arial" w:hAnsi="Arial"/>
                <w:sz w:val="18"/>
                <w:szCs w:val="18"/>
                <w:color w:val="auto"/>
              </w:rPr>
              <w:t>Business Segment Profit</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57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ind w:left="3760"/>
              <w:spacing w:after="0"/>
              <w:rPr>
                <w:sz w:val="20"/>
                <w:szCs w:val="20"/>
                <w:color w:val="auto"/>
              </w:rPr>
            </w:pPr>
            <w:r>
              <w:rPr>
                <w:rFonts w:ascii="Arial" w:cs="Arial" w:eastAsia="Arial" w:hAnsi="Arial"/>
                <w:sz w:val="18"/>
                <w:szCs w:val="18"/>
                <w:color w:val="auto"/>
              </w:rPr>
              <w:t>(In millions of dollars)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9"/>
          </w:tcPr>
          <w:p>
            <w:pPr>
              <w:jc w:val="right"/>
              <w:ind w:right="180"/>
              <w:spacing w:after="0"/>
              <w:rPr>
                <w:sz w:val="20"/>
                <w:szCs w:val="20"/>
                <w:color w:val="auto"/>
              </w:rPr>
            </w:pPr>
            <w:r>
              <w:rPr>
                <w:rFonts w:ascii="Arial" w:cs="Arial" w:eastAsia="Arial" w:hAnsi="Arial"/>
                <w:sz w:val="14"/>
                <w:szCs w:val="14"/>
                <w:b w:val="1"/>
                <w:bCs w:val="1"/>
                <w:color w:val="auto"/>
              </w:rPr>
              <w:t>For Three Months Ended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auto"/>
            </w:tcBorders>
            <w:gridSpan w:val="3"/>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3"/>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4"/>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gridSpan w:val="5"/>
          </w:tcPr>
          <w:p>
            <w:pPr>
              <w:ind w:left="20"/>
              <w:spacing w:after="0"/>
              <w:rPr>
                <w:sz w:val="20"/>
                <w:szCs w:val="20"/>
                <w:color w:val="auto"/>
              </w:rPr>
            </w:pPr>
            <w:r>
              <w:rPr>
                <w:rFonts w:ascii="Arial" w:cs="Arial" w:eastAsia="Arial" w:hAnsi="Arial"/>
                <w:sz w:val="14"/>
                <w:szCs w:val="14"/>
                <w:b w:val="1"/>
                <w:bCs w:val="1"/>
                <w:color w:val="auto"/>
              </w:rPr>
              <w:t>Mar. 31</w:t>
            </w:r>
          </w:p>
        </w:tc>
        <w:tc>
          <w:tcPr>
            <w:tcW w:w="380" w:type="dxa"/>
            <w:vAlign w:val="bottom"/>
          </w:tcPr>
          <w:p>
            <w:pPr>
              <w:spacing w:after="0"/>
              <w:rPr>
                <w:sz w:val="20"/>
                <w:szCs w:val="20"/>
                <w:color w:val="auto"/>
              </w:rPr>
            </w:pPr>
          </w:p>
        </w:tc>
        <w:tc>
          <w:tcPr>
            <w:tcW w:w="11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w w:val="85"/>
              </w:rPr>
              <w:t>Dec. 31</w:t>
            </w:r>
          </w:p>
        </w:tc>
        <w:tc>
          <w:tcPr>
            <w:tcW w:w="60" w:type="dxa"/>
            <w:vAlign w:val="bottom"/>
          </w:tcPr>
          <w:p>
            <w:pPr>
              <w:spacing w:after="0"/>
              <w:rPr>
                <w:sz w:val="20"/>
                <w:szCs w:val="20"/>
                <w:color w:val="auto"/>
              </w:rPr>
            </w:pPr>
          </w:p>
        </w:tc>
        <w:tc>
          <w:tcPr>
            <w:tcW w:w="5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Mar.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3"/>
              </w:rPr>
              <w:t>2004</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4"/>
          </w:tcPr>
          <w:p>
            <w:pPr>
              <w:ind w:left="48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433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Sensors &amp; Controls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Educational &amp; Productivity Solutions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Corporate activities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52"/>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w w:val="93"/>
              </w:rPr>
              <w:t>(38)</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Charges/gains and acquisition-related amortization</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Interest on loans/other income (expense) net, excluding a fourth-quarter</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00"/>
              <w:spacing w:after="0"/>
              <w:rPr>
                <w:sz w:val="20"/>
                <w:szCs w:val="20"/>
                <w:color w:val="auto"/>
              </w:rPr>
            </w:pPr>
            <w:r>
              <w:rPr>
                <w:rFonts w:ascii="Arial" w:cs="Arial" w:eastAsia="Arial" w:hAnsi="Arial"/>
                <w:sz w:val="18"/>
                <w:szCs w:val="18"/>
                <w:color w:val="auto"/>
                <w:w w:val="97"/>
              </w:rPr>
              <w:t>2003 gain of $97 and a first-quarter 2003 charge of $10 included above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ind w:left="200"/>
              <w:spacing w:after="0"/>
              <w:rPr>
                <w:sz w:val="20"/>
                <w:szCs w:val="20"/>
                <w:color w:val="auto"/>
              </w:rPr>
            </w:pPr>
            <w:r>
              <w:rPr>
                <w:rFonts w:ascii="Arial" w:cs="Arial" w:eastAsia="Arial" w:hAnsi="Arial"/>
                <w:sz w:val="18"/>
                <w:szCs w:val="18"/>
                <w:color w:val="auto"/>
              </w:rPr>
              <w:t>in Charges/gains and acquisition-related amortization</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gridSpan w:val="2"/>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gridSpan w:val="2"/>
          </w:tcPr>
          <w:p>
            <w:pPr>
              <w:spacing w:after="0"/>
              <w:rPr>
                <w:sz w:val="9"/>
                <w:szCs w:val="9"/>
                <w:color w:val="auto"/>
              </w:rPr>
            </w:pPr>
          </w:p>
        </w:tc>
        <w:tc>
          <w:tcPr>
            <w:tcW w:w="400" w:type="dxa"/>
            <w:vAlign w:val="bottom"/>
            <w:tcBorders>
              <w:bottom w:val="single" w:sz="8" w:color="auto"/>
            </w:tcBorders>
            <w:gridSpan w:val="2"/>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561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-2610485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-2610485</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-2610485</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-2610485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-2610485</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-2610485</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-2610485</wp:posOffset>
            </wp:positionV>
            <wp:extent cx="31305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3055"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15" w:name="page16"/>
    <w:bookmarkEnd w:id="15"/>
    <w:p>
      <w:pPr>
        <w:spacing w:after="0"/>
        <w:tabs>
          <w:tab w:leader="none" w:pos="108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 Reports 1Q04 Financial Results</w:t>
      </w:r>
      <w:r>
        <w:rPr>
          <w:sz w:val="20"/>
          <w:szCs w:val="20"/>
          <w:color w:val="auto"/>
        </w:rPr>
        <w:tab/>
      </w:r>
      <w:r>
        <w:rPr>
          <w:rFonts w:ascii="Arial" w:cs="Arial" w:eastAsia="Arial" w:hAnsi="Arial"/>
          <w:sz w:val="15"/>
          <w:szCs w:val="15"/>
          <w:b w:val="1"/>
          <w:bCs w:val="1"/>
          <w:color w:val="auto"/>
        </w:rPr>
        <w:t>Page 12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Semiconductor</w:t>
      </w:r>
    </w:p>
    <w:p>
      <w:pPr>
        <w:spacing w:after="0" w:line="83" w:lineRule="exact"/>
        <w:rPr>
          <w:sz w:val="20"/>
          <w:szCs w:val="20"/>
          <w:color w:val="auto"/>
        </w:rPr>
      </w:pPr>
    </w:p>
    <w:p>
      <w:pPr>
        <w:ind w:left="340" w:hanging="332"/>
        <w:spacing w:after="0" w:line="256"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first quarter, Semiconductor revenue of $2574 million increased 5 percent sequentially as higher demand across a broad range of products, particularly DLP and high-performance analog, offset a decline in wireless demand that reflected seasonal factors and lower demand from TI’s largest customer. Revenue increased 38 percent from the year-ago quarter primarily due to demand across a broad range of products, particularly DSP and analog products used in the wireless market, as well as high-performance analog products.</w:t>
      </w:r>
    </w:p>
    <w:p>
      <w:pPr>
        <w:spacing w:after="0" w:line="48" w:lineRule="exact"/>
        <w:rPr>
          <w:rFonts w:ascii="Arial" w:cs="Arial" w:eastAsia="Arial" w:hAnsi="Arial"/>
          <w:sz w:val="18"/>
          <w:szCs w:val="18"/>
          <w:color w:val="auto"/>
        </w:rPr>
      </w:pPr>
    </w:p>
    <w:p>
      <w:pPr>
        <w:ind w:left="340" w:right="260" w:hanging="332"/>
        <w:spacing w:after="0" w:line="298"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Gross profit was $1188 million, or 46.2 percent of revenue, an increase of $105 million from the prior quarter and $440 million from the year-ago quarter. Gross profit margin increased 2.0 percentage points sequentially and 6.2 points from the year-ago quarter. Gross profit and gross profit margin benefited from higher revenue and the resulting increased utilization of TI’s fixed-cost Semiconductor manufacturing assets. This more than offset the accrual for profit sharing and the annual compensation expense increases that were incurred in the first quarter.</w:t>
      </w:r>
    </w:p>
    <w:p>
      <w:pPr>
        <w:spacing w:after="0" w:line="18" w:lineRule="exact"/>
        <w:rPr>
          <w:rFonts w:ascii="Arial" w:cs="Arial" w:eastAsia="Arial" w:hAnsi="Arial"/>
          <w:sz w:val="16"/>
          <w:szCs w:val="16"/>
          <w:color w:val="auto"/>
        </w:rPr>
      </w:pPr>
    </w:p>
    <w:p>
      <w:pPr>
        <w:ind w:left="340" w:right="100" w:hanging="332"/>
        <w:spacing w:after="0" w:line="268"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Semiconductor operating profit was $465 million, or 18.1 percent of revenue, up $32 million sequentially and $318 million from the year-ago quarter due to higher gross profit, which more than offset increased R&amp;D and SG&amp;A expenses.</w:t>
      </w:r>
    </w:p>
    <w:p>
      <w:pPr>
        <w:spacing w:after="0" w:line="37" w:lineRule="exact"/>
        <w:rPr>
          <w:rFonts w:ascii="Arial" w:cs="Arial" w:eastAsia="Arial" w:hAnsi="Arial"/>
          <w:sz w:val="18"/>
          <w:szCs w:val="18"/>
          <w:color w:val="auto"/>
        </w:rPr>
      </w:pPr>
    </w:p>
    <w:p>
      <w:pPr>
        <w:ind w:left="340" w:right="160" w:hanging="332"/>
        <w:spacing w:after="0" w:line="306"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Analog revenue increased 9 percent sequentially primarily due to higher demand for high-performance analog products, and increased 42 percent from the year-ago quarter primarily due to higher demand for high-performance and wireless analog products. Revenue from TI’s high-performance analog products increased 14 percent sequentially and 58 percent from the year-ago quarter due to higher demand.</w:t>
      </w:r>
    </w:p>
    <w:p>
      <w:pPr>
        <w:sectPr>
          <w:pgSz w:w="11900" w:h="16838" w:orient="portrait"/>
          <w:cols w:equalWidth="0" w:num="1">
            <w:col w:w="11420"/>
          </w:cols>
          <w:pgMar w:left="240" w:top="274" w:right="239" w:bottom="1440" w:gutter="0" w:footer="0" w:header="0"/>
        </w:sectPr>
      </w:pPr>
    </w:p>
    <w:bookmarkStart w:id="16" w:name="page17"/>
    <w:bookmarkEnd w:id="16"/>
    <w:p>
      <w:pPr>
        <w:spacing w:after="0"/>
        <w:tabs>
          <w:tab w:leader="none" w:pos="108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 Reports 1Q04 Financial Results</w:t>
      </w:r>
      <w:r>
        <w:rPr>
          <w:sz w:val="20"/>
          <w:szCs w:val="20"/>
          <w:color w:val="auto"/>
        </w:rPr>
        <w:tab/>
      </w:r>
      <w:r>
        <w:rPr>
          <w:rFonts w:ascii="Arial" w:cs="Arial" w:eastAsia="Arial" w:hAnsi="Arial"/>
          <w:sz w:val="15"/>
          <w:szCs w:val="15"/>
          <w:b w:val="1"/>
          <w:bCs w:val="1"/>
          <w:color w:val="auto"/>
        </w:rPr>
        <w:t>Page 13</w:t>
      </w:r>
    </w:p>
    <w:p>
      <w:pPr>
        <w:spacing w:after="0" w:line="164" w:lineRule="exact"/>
        <w:rPr>
          <w:sz w:val="20"/>
          <w:szCs w:val="20"/>
          <w:color w:val="auto"/>
        </w:rPr>
      </w:pPr>
    </w:p>
    <w:p>
      <w:pPr>
        <w:ind w:left="340" w:right="220" w:hanging="332"/>
        <w:spacing w:after="0" w:line="325"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DSP revenue decreased 6 percent sequentially and increased 35 percent from the year-ago quarter primarily due to demand in the wireless market. Catalog DSP revenue grew 33 percent sequentially and 49 percent compared with the year-ago quarter due to higher demand.</w:t>
      </w:r>
    </w:p>
    <w:p>
      <w:pPr>
        <w:spacing w:after="0" w:line="1" w:lineRule="exact"/>
        <w:rPr>
          <w:rFonts w:ascii="Arial" w:cs="Arial" w:eastAsia="Arial" w:hAnsi="Arial"/>
          <w:sz w:val="16"/>
          <w:szCs w:val="16"/>
          <w:color w:val="auto"/>
        </w:rPr>
      </w:pPr>
    </w:p>
    <w:p>
      <w:pPr>
        <w:ind w:left="340" w:right="320" w:hanging="332"/>
        <w:spacing w:after="0" w:line="268"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remaining Semiconductor revenue increased 16 percent sequentially primarily due to higher demand for DLP products. Compared with the year-ago quarter, this revenue increased 35 percent due to higher demand across a broad range of products.</w:t>
      </w:r>
    </w:p>
    <w:p>
      <w:pPr>
        <w:spacing w:after="0" w:line="37"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for TI Semiconductor products sold into key end equipments were as follows:</w:t>
      </w:r>
    </w:p>
    <w:p>
      <w:pPr>
        <w:spacing w:after="0" w:line="76" w:lineRule="exact"/>
        <w:rPr>
          <w:rFonts w:ascii="Arial" w:cs="Arial" w:eastAsia="Arial" w:hAnsi="Arial"/>
          <w:sz w:val="18"/>
          <w:szCs w:val="18"/>
          <w:color w:val="auto"/>
        </w:rPr>
      </w:pPr>
    </w:p>
    <w:p>
      <w:pPr>
        <w:ind w:left="800" w:right="340" w:hanging="454"/>
        <w:spacing w:after="0" w:line="259" w:lineRule="auto"/>
        <w:tabs>
          <w:tab w:leader="none" w:pos="800" w:val="left"/>
        </w:tabs>
        <w:numPr>
          <w:ilvl w:val="1"/>
          <w:numId w:val="9"/>
        </w:numPr>
        <w:rPr>
          <w:rFonts w:ascii="Arial" w:cs="Arial" w:eastAsia="Arial" w:hAnsi="Arial"/>
          <w:sz w:val="18"/>
          <w:szCs w:val="18"/>
          <w:color w:val="auto"/>
        </w:rPr>
      </w:pPr>
      <w:r>
        <w:rPr>
          <w:rFonts w:ascii="Arial" w:cs="Arial" w:eastAsia="Arial" w:hAnsi="Arial"/>
          <w:sz w:val="18"/>
          <w:szCs w:val="18"/>
          <w:color w:val="auto"/>
        </w:rPr>
        <w:t>Wireless revenue decreased 5 percent sequentially reflecting the combination of normal handset seasonality and lower demand from TI’s largest customer. Compared with the year-ago quarter, this revenue increased 35 percent due to higher demand for the company’s most-advanced wireless products, including 2.5G modems and OMAP application processors.</w:t>
      </w:r>
    </w:p>
    <w:p>
      <w:pPr>
        <w:spacing w:after="0" w:line="45" w:lineRule="exact"/>
        <w:rPr>
          <w:rFonts w:ascii="Arial" w:cs="Arial" w:eastAsia="Arial" w:hAnsi="Arial"/>
          <w:sz w:val="18"/>
          <w:szCs w:val="18"/>
          <w:color w:val="auto"/>
        </w:rPr>
      </w:pPr>
    </w:p>
    <w:p>
      <w:pPr>
        <w:ind w:left="800" w:right="420" w:hanging="454"/>
        <w:spacing w:after="0" w:line="325" w:lineRule="auto"/>
        <w:tabs>
          <w:tab w:leader="none" w:pos="800" w:val="left"/>
        </w:tabs>
        <w:numPr>
          <w:ilvl w:val="1"/>
          <w:numId w:val="9"/>
        </w:numPr>
        <w:rPr>
          <w:rFonts w:ascii="Arial" w:cs="Arial" w:eastAsia="Arial" w:hAnsi="Arial"/>
          <w:sz w:val="16"/>
          <w:szCs w:val="16"/>
          <w:color w:val="auto"/>
        </w:rPr>
      </w:pPr>
      <w:r>
        <w:rPr>
          <w:rFonts w:ascii="Arial" w:cs="Arial" w:eastAsia="Arial" w:hAnsi="Arial"/>
          <w:sz w:val="16"/>
          <w:szCs w:val="16"/>
          <w:color w:val="auto"/>
        </w:rPr>
        <w:t>Broadband communications revenue, which includes DSL and cable modems, voice over packet (VoP) and wireless LAN (WLAN), increased 15 percent sequentially and 105 percent compared with the year-ago quarter due to higher demand, especially for the company’s DSL products.</w:t>
      </w:r>
    </w:p>
    <w:p>
      <w:pPr>
        <w:spacing w:after="0" w:line="1" w:lineRule="exact"/>
        <w:rPr>
          <w:rFonts w:ascii="Arial" w:cs="Arial" w:eastAsia="Arial" w:hAnsi="Arial"/>
          <w:sz w:val="16"/>
          <w:szCs w:val="16"/>
          <w:color w:val="auto"/>
        </w:rPr>
      </w:pPr>
    </w:p>
    <w:p>
      <w:pPr>
        <w:ind w:left="340" w:right="160" w:hanging="332"/>
        <w:spacing w:after="0" w:line="268"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Semiconductor orders were $2810 million, up 2 percent sequentially. Compared with the year-ago quarter, Semiconductor orders were up 47 percent due to broad-based demand for the company’s products.</w:t>
      </w:r>
    </w:p>
    <w:p>
      <w:pPr>
        <w:sectPr>
          <w:pgSz w:w="11900" w:h="16838" w:orient="portrait"/>
          <w:cols w:equalWidth="0" w:num="1">
            <w:col w:w="11420"/>
          </w:cols>
          <w:pgMar w:left="240" w:top="274" w:right="239" w:bottom="1440" w:gutter="0" w:footer="0" w:header="0"/>
        </w:sectPr>
      </w:pPr>
    </w:p>
    <w:bookmarkStart w:id="17" w:name="page18"/>
    <w:bookmarkEnd w:id="17"/>
    <w:p>
      <w:pPr>
        <w:spacing w:after="0"/>
        <w:tabs>
          <w:tab w:leader="none" w:pos="108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 Reports 1Q04 Financial Results</w:t>
      </w:r>
      <w:r>
        <w:rPr>
          <w:sz w:val="20"/>
          <w:szCs w:val="20"/>
          <w:color w:val="auto"/>
        </w:rPr>
        <w:tab/>
      </w:r>
      <w:r>
        <w:rPr>
          <w:rFonts w:ascii="Arial" w:cs="Arial" w:eastAsia="Arial" w:hAnsi="Arial"/>
          <w:sz w:val="15"/>
          <w:szCs w:val="15"/>
          <w:b w:val="1"/>
          <w:bCs w:val="1"/>
          <w:color w:val="auto"/>
        </w:rPr>
        <w:t>Page 14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 Highlights</w:t>
      </w:r>
    </w:p>
    <w:p>
      <w:pPr>
        <w:spacing w:after="0" w:line="83" w:lineRule="exact"/>
        <w:rPr>
          <w:sz w:val="20"/>
          <w:szCs w:val="20"/>
          <w:color w:val="auto"/>
        </w:rPr>
      </w:pPr>
    </w:p>
    <w:p>
      <w:pPr>
        <w:ind w:left="340" w:right="260" w:hanging="332"/>
        <w:spacing w:after="0" w:line="235"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 unveiled OMAP 2 “All-in-One Entertainment” processors for 2.5G and 3G mobile phones. These next-generation OMAP products will enable handset features such as digital video camcorders, Dolby Digital</w:t>
      </w:r>
      <w:r>
        <w:rPr>
          <w:rFonts w:ascii="Arial" w:cs="Arial" w:eastAsia="Arial" w:hAnsi="Arial"/>
          <w:sz w:val="22"/>
          <w:szCs w:val="22"/>
          <w:color w:val="auto"/>
          <w:vertAlign w:val="superscript"/>
        </w:rPr>
        <w:t>™</w:t>
      </w:r>
      <w:r>
        <w:rPr>
          <w:rFonts w:ascii="Arial" w:cs="Arial" w:eastAsia="Arial" w:hAnsi="Arial"/>
          <w:sz w:val="18"/>
          <w:szCs w:val="18"/>
          <w:color w:val="auto"/>
        </w:rPr>
        <w:t>-quality sound, interactive 3D gaming, DVD-quality video, 4+ megapixel cameras, television reception and more.</w:t>
      </w:r>
    </w:p>
    <w:p>
      <w:pPr>
        <w:spacing w:after="0" w:line="62" w:lineRule="exact"/>
        <w:rPr>
          <w:rFonts w:ascii="Arial" w:cs="Arial" w:eastAsia="Arial" w:hAnsi="Arial"/>
          <w:sz w:val="18"/>
          <w:szCs w:val="18"/>
          <w:color w:val="auto"/>
        </w:rPr>
      </w:pPr>
    </w:p>
    <w:p>
      <w:pPr>
        <w:ind w:left="340" w:right="80" w:hanging="332"/>
        <w:spacing w:after="0" w:line="347" w:lineRule="auto"/>
        <w:tabs>
          <w:tab w:leader="none" w:pos="3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TI disclosed a breakthrough approach to wireless chip design that applies digital technology to radio frequency (RF) processing in portable wireless devices. The new approach reduces power consumption, die area and required board space each by up to 50 percent compared with traditional analog RF designs.</w:t>
      </w:r>
    </w:p>
    <w:p>
      <w:pPr>
        <w:ind w:left="340" w:right="120" w:hanging="332"/>
        <w:spacing w:after="0" w:line="268"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 introduced a broadband residential gateway reference design that combines DSL, Voice over Internet Protocol (VoIP) and 802.11b/g WLAN into a single cost-effective system.</w:t>
      </w:r>
    </w:p>
    <w:p>
      <w:pPr>
        <w:spacing w:after="0" w:line="37" w:lineRule="exact"/>
        <w:rPr>
          <w:rFonts w:ascii="Arial" w:cs="Arial" w:eastAsia="Arial" w:hAnsi="Arial"/>
          <w:sz w:val="18"/>
          <w:szCs w:val="18"/>
          <w:color w:val="auto"/>
        </w:rPr>
      </w:pPr>
    </w:p>
    <w:p>
      <w:pPr>
        <w:ind w:left="340" w:right="100" w:hanging="332"/>
        <w:spacing w:after="0" w:line="268"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Thomson announced new HDTV models that bring DLP products into the flat-panel category. Just 6.85 inches deep, the new RCA Scenium Profiles HDTV comes in 50-inch and 61-inch screens.</w:t>
      </w:r>
    </w:p>
    <w:p>
      <w:pPr>
        <w:spacing w:after="0" w:line="37" w:lineRule="exact"/>
        <w:rPr>
          <w:rFonts w:ascii="Arial" w:cs="Arial" w:eastAsia="Arial" w:hAnsi="Arial"/>
          <w:sz w:val="18"/>
          <w:szCs w:val="18"/>
          <w:color w:val="auto"/>
        </w:rPr>
      </w:pPr>
    </w:p>
    <w:p>
      <w:pPr>
        <w:ind w:left="340" w:right="180" w:hanging="332"/>
        <w:spacing w:after="0" w:line="306"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 disclosed details of the company’s next-generation 65-nanometer semiconductor manufacturing process, which, compared with TI’s advanced 90-nanometer process, increases transistor performance by 40 percent while integrating hundreds of millions of transistors that support both analog and digital functions in single-chip system solutions. The first product built in this new process is expected to sample in the first quarter of 2005.</w:t>
      </w:r>
    </w:p>
    <w:p>
      <w:pPr>
        <w:sectPr>
          <w:pgSz w:w="11900" w:h="16838" w:orient="portrait"/>
          <w:cols w:equalWidth="0" w:num="1">
            <w:col w:w="11420"/>
          </w:cols>
          <w:pgMar w:left="240" w:top="274" w:right="239" w:bottom="1440" w:gutter="0" w:footer="0" w:header="0"/>
        </w:sectPr>
      </w:pPr>
    </w:p>
    <w:bookmarkStart w:id="18" w:name="page19"/>
    <w:bookmarkEnd w:id="18"/>
    <w:p>
      <w:pPr>
        <w:spacing w:after="0"/>
        <w:tabs>
          <w:tab w:leader="none" w:pos="108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 Reports 1Q04 Financial Results</w:t>
      </w:r>
      <w:r>
        <w:rPr>
          <w:sz w:val="20"/>
          <w:szCs w:val="20"/>
          <w:color w:val="auto"/>
        </w:rPr>
        <w:tab/>
      </w:r>
      <w:r>
        <w:rPr>
          <w:rFonts w:ascii="Arial" w:cs="Arial" w:eastAsia="Arial" w:hAnsi="Arial"/>
          <w:sz w:val="15"/>
          <w:szCs w:val="15"/>
          <w:b w:val="1"/>
          <w:bCs w:val="1"/>
          <w:color w:val="auto"/>
        </w:rPr>
        <w:t>Page 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Sensors &amp; Controls</w:t>
      </w:r>
    </w:p>
    <w:p>
      <w:pPr>
        <w:spacing w:after="0" w:line="83" w:lineRule="exact"/>
        <w:rPr>
          <w:sz w:val="20"/>
          <w:szCs w:val="20"/>
          <w:color w:val="auto"/>
        </w:rPr>
      </w:pPr>
    </w:p>
    <w:p>
      <w:pPr>
        <w:ind w:left="340" w:right="360" w:hanging="332"/>
        <w:spacing w:after="0" w:line="268"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Sensors &amp; Controls revenue was $284 million, up 13 percent sequentially and 12 percent from the year-ago quarter due to higher demand across a broad range of product lines.</w:t>
      </w:r>
    </w:p>
    <w:p>
      <w:pPr>
        <w:spacing w:after="0" w:line="37" w:lineRule="exact"/>
        <w:rPr>
          <w:rFonts w:ascii="Arial" w:cs="Arial" w:eastAsia="Arial" w:hAnsi="Arial"/>
          <w:sz w:val="18"/>
          <w:szCs w:val="18"/>
          <w:color w:val="auto"/>
        </w:rPr>
      </w:pPr>
    </w:p>
    <w:p>
      <w:pPr>
        <w:ind w:left="340" w:right="200" w:hanging="332"/>
        <w:spacing w:after="0" w:line="268"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Gross profit was $110 million, or 38.8 percent of revenue, an increase of $15 million from the prior quarter primarily due to higher revenue, and up by $20 million compared with the year-ago quarter primarily due to reduced manufacturing costs.</w:t>
      </w:r>
    </w:p>
    <w:p>
      <w:pPr>
        <w:spacing w:after="0" w:line="37" w:lineRule="exact"/>
        <w:rPr>
          <w:rFonts w:ascii="Arial" w:cs="Arial" w:eastAsia="Arial" w:hAnsi="Arial"/>
          <w:sz w:val="18"/>
          <w:szCs w:val="18"/>
          <w:color w:val="auto"/>
        </w:rPr>
      </w:pPr>
    </w:p>
    <w:p>
      <w:pPr>
        <w:ind w:left="340" w:right="60" w:hanging="332"/>
        <w:spacing w:after="0" w:line="268"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profit was $75 million, or 26.5 percent of revenue, an increase of $11 million sequentially and $14 million from the year-ago quarter due to higher gross profit.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Educational &amp; Productivity Solutions (E&amp;PS)</w:t>
      </w:r>
    </w:p>
    <w:p>
      <w:pPr>
        <w:spacing w:after="0" w:line="83"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E&amp;PS revenue was $79 million, up $3 million sequentially and $2 million from the year-ago quarter.</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Gross profit was $37 million, or 47.0 percent of revenue, about even sequentially and compared with the year-ago quarter.</w:t>
      </w:r>
    </w:p>
    <w:p>
      <w:pPr>
        <w:spacing w:after="0" w:line="76" w:lineRule="exact"/>
        <w:rPr>
          <w:rFonts w:ascii="Arial" w:cs="Arial" w:eastAsia="Arial" w:hAnsi="Arial"/>
          <w:sz w:val="18"/>
          <w:szCs w:val="18"/>
          <w:color w:val="auto"/>
        </w:rPr>
      </w:pPr>
    </w:p>
    <w:p>
      <w:pPr>
        <w:ind w:left="340" w:right="680" w:hanging="332"/>
        <w:spacing w:after="0" w:line="268"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profit was $9 million, or 11.0 percent of revenue, a decrease of $2 million from the prior quarter and $6 million from the year-ago quarter reflecting costs associated with discontinued development activity for a new product.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274" w:right="239" w:bottom="1440" w:gutter="0" w:footer="0" w:header="0"/>
        </w:sectPr>
      </w:pPr>
    </w:p>
    <w:bookmarkStart w:id="19" w:name="page20"/>
    <w:bookmarkEnd w:id="19"/>
    <w:p>
      <w:pPr>
        <w:spacing w:after="0"/>
        <w:tabs>
          <w:tab w:leader="none" w:pos="108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 Reports 1Q04 Financial Results</w:t>
      </w:r>
      <w:r>
        <w:rPr>
          <w:sz w:val="20"/>
          <w:szCs w:val="20"/>
          <w:color w:val="auto"/>
        </w:rPr>
        <w:tab/>
      </w:r>
      <w:r>
        <w:rPr>
          <w:rFonts w:ascii="Arial" w:cs="Arial" w:eastAsia="Arial" w:hAnsi="Arial"/>
          <w:sz w:val="15"/>
          <w:szCs w:val="15"/>
          <w:b w:val="1"/>
          <w:bCs w:val="1"/>
          <w:color w:val="auto"/>
        </w:rPr>
        <w:t>Page 16</w:t>
      </w:r>
    </w:p>
    <w:p>
      <w:pPr>
        <w:spacing w:after="0" w:line="16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3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3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Market demand for semiconductors, particularly for analog chips and digital signal processors in key markets, such as telecommunications and computers;</w:t>
      </w:r>
    </w:p>
    <w:p>
      <w:pPr>
        <w:spacing w:after="0" w:line="99" w:lineRule="exact"/>
        <w:rPr>
          <w:rFonts w:ascii="Arial" w:cs="Arial" w:eastAsia="Arial" w:hAnsi="Arial"/>
          <w:sz w:val="16"/>
          <w:szCs w:val="16"/>
          <w:color w:val="auto"/>
        </w:rPr>
      </w:pPr>
    </w:p>
    <w:p>
      <w:pPr>
        <w:ind w:left="340" w:right="300" w:hanging="332"/>
        <w:spacing w:after="0" w:line="268"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Consolidation of TI’s patent licensees and market conditions reducing royalty payments to TI;</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Timely completion and successful integration of announced acquisitions;</w:t>
      </w:r>
    </w:p>
    <w:p>
      <w:pPr>
        <w:spacing w:after="0" w:line="76" w:lineRule="exact"/>
        <w:rPr>
          <w:rFonts w:ascii="Arial" w:cs="Arial" w:eastAsia="Arial" w:hAnsi="Arial"/>
          <w:sz w:val="18"/>
          <w:szCs w:val="18"/>
          <w:color w:val="auto"/>
        </w:rPr>
      </w:pPr>
    </w:p>
    <w:p>
      <w:pPr>
        <w:ind w:left="340" w:right="480" w:hanging="332"/>
        <w:spacing w:after="0" w:line="268"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37"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of customer inventory adjustments;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of raw materials and critical manufacturing equipment;</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the market value of TI’s investments and in interest rates; and</w:t>
      </w:r>
    </w:p>
    <w:p>
      <w:pPr>
        <w:spacing w:after="0" w:line="76"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18"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For a more detailed discussion of these factors, see the text under the heading “Cautionary Statements Regarding Future Results of Operations” in Item 1 of the company’s most recent Form 10-K. The forward-looking statements included in this release are made only as of the date of publication, and the company undertakes no obligation to update the forward-looking statements to reflect subsequent events or circumstances.</w:t>
      </w:r>
    </w:p>
    <w:p>
      <w:pPr>
        <w:sectPr>
          <w:pgSz w:w="11900" w:h="16838" w:orient="portrait"/>
          <w:cols w:equalWidth="0" w:num="1">
            <w:col w:w="11420"/>
          </w:cols>
          <w:pgMar w:left="240" w:top="274" w:right="239" w:bottom="1440" w:gutter="0" w:footer="0" w:header="0"/>
        </w:sectPr>
      </w:pPr>
    </w:p>
    <w:bookmarkStart w:id="20" w:name="page21"/>
    <w:bookmarkEnd w:id="20"/>
    <w:p>
      <w:pPr>
        <w:spacing w:after="0"/>
        <w:tabs>
          <w:tab w:leader="none" w:pos="108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 Reports 1Q04 Financial Results</w:t>
      </w:r>
      <w:r>
        <w:rPr>
          <w:sz w:val="20"/>
          <w:szCs w:val="20"/>
          <w:color w:val="auto"/>
        </w:rPr>
        <w:tab/>
      </w:r>
      <w:r>
        <w:rPr>
          <w:rFonts w:ascii="Arial" w:cs="Arial" w:eastAsia="Arial" w:hAnsi="Arial"/>
          <w:sz w:val="15"/>
          <w:szCs w:val="15"/>
          <w:b w:val="1"/>
          <w:bCs w:val="1"/>
          <w:color w:val="auto"/>
        </w:rPr>
        <w:t>Page 17</w:t>
      </w:r>
    </w:p>
    <w:p>
      <w:pPr>
        <w:spacing w:after="0" w:line="16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Texas Instruments Incorporated provides innovative DSP and Analog technologies to meet our customers’ real world signal processing requirements. In addition to Semiconductor, the company’s businesses include Sensors &amp; Controls and Educational &amp; Productivity Solutions. TI is headquartered in Dallas, Texas, and has manufacturing, design or sales operations in more than 25 countries.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Texas Instruments is traded on the New York Stock Exchange under the symbol TXN. More information is located on the World Wide Web at </w:t>
      </w:r>
      <w:r>
        <w:rPr>
          <w:rFonts w:ascii="Arial" w:cs="Arial" w:eastAsia="Arial" w:hAnsi="Arial"/>
          <w:sz w:val="16"/>
          <w:szCs w:val="16"/>
          <w:u w:val="single" w:color="auto"/>
          <w:color w:val="auto"/>
        </w:rPr>
        <w:t>www.ti.com</w:t>
      </w:r>
      <w:r>
        <w:rPr>
          <w:rFonts w:ascii="Arial" w:cs="Arial" w:eastAsia="Arial" w:hAnsi="Arial"/>
          <w:sz w:val="16"/>
          <w:szCs w:val="16"/>
          <w:color w:val="auto"/>
        </w:rPr>
        <w:t>.</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TI Trademarks:</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OMAP</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Digital Light Processing</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DLP</w:t>
      </w:r>
    </w:p>
    <w:p>
      <w:pPr>
        <w:spacing w:after="0" w:line="15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lvl w:ilvl="1">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2019-12-13T07:31:44Z</dcterms:created>
  <dcterms:modified xsi:type="dcterms:W3CDTF">2019-12-13T07:31:44Z</dcterms:modified>
</cp:coreProperties>
</file>