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7"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 C.</w:t>
      </w:r>
    </w:p>
    <w:p>
      <w:pPr>
        <w:spacing w:after="0" w:line="207" w:lineRule="exact"/>
        <w:rPr>
          <w:sz w:val="24"/>
          <w:szCs w:val="24"/>
          <w:color w:val="auto"/>
        </w:rPr>
      </w:pPr>
    </w:p>
    <w:p>
      <w:pPr>
        <w:ind w:left="386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FORM 8-K</w:t>
      </w:r>
    </w:p>
    <w:p>
      <w:pPr>
        <w:spacing w:after="0" w:line="20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CURRENT REPORT PURSUANT TO SECTION 13 OR 15(d)</w:t>
      </w:r>
    </w:p>
    <w:p>
      <w:pPr>
        <w:spacing w:after="0" w:line="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Date of Report (Date of earliest event reported): February 28, 1997</w:t>
      </w:r>
    </w:p>
    <w:p>
      <w:pPr>
        <w:spacing w:after="0" w:line="7"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7"/>
          <w:szCs w:val="17"/>
          <w:color w:val="auto"/>
        </w:rPr>
        <w:t>TEXAS INSTRUMENTS INCORPORATED</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448"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jc w:val="center"/>
        <w:ind w:left="720"/>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1-3761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No.)</w:t>
      </w:r>
    </w:p>
    <w:p>
      <w:pPr>
        <w:spacing w:after="0" w:line="200" w:lineRule="exact"/>
        <w:rPr>
          <w:sz w:val="24"/>
          <w:szCs w:val="24"/>
          <w:color w:val="auto"/>
        </w:rPr>
      </w:pPr>
    </w:p>
    <w:p>
      <w:pPr>
        <w:sectPr>
          <w:pgSz w:w="11900" w:h="16838" w:orient="portrait"/>
          <w:cols w:equalWidth="0" w:num="2">
            <w:col w:w="4060" w:space="720"/>
            <w:col w:w="5439"/>
          </w:cols>
          <w:pgMar w:left="240" w:top="448"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75-0289970</w:t>
      </w:r>
    </w:p>
    <w:p>
      <w:pPr>
        <w:spacing w:after="0" w:line="7" w:lineRule="exact"/>
        <w:rPr>
          <w:sz w:val="24"/>
          <w:szCs w:val="24"/>
          <w:color w:val="auto"/>
        </w:rPr>
      </w:pPr>
    </w:p>
    <w:p>
      <w:pPr>
        <w:ind w:left="21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2180"/>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13500 North Central Expressway</w:t>
      </w:r>
    </w:p>
    <w:p>
      <w:pPr>
        <w:spacing w:after="0" w:line="7" w:lineRule="exact"/>
        <w:rPr>
          <w:sz w:val="24"/>
          <w:szCs w:val="24"/>
          <w:color w:val="auto"/>
        </w:rPr>
      </w:pPr>
    </w:p>
    <w:p>
      <w:pPr>
        <w:ind w:left="1460"/>
        <w:spacing w:after="0"/>
        <w:tabs>
          <w:tab w:leader="none" w:pos="5500" w:val="left"/>
        </w:tabs>
        <w:rPr>
          <w:sz w:val="20"/>
          <w:szCs w:val="20"/>
          <w:color w:val="auto"/>
        </w:rPr>
      </w:pPr>
      <w:r>
        <w:rPr>
          <w:rFonts w:ascii="Courier New" w:cs="Courier New" w:eastAsia="Courier New" w:hAnsi="Courier New"/>
          <w:sz w:val="17"/>
          <w:szCs w:val="17"/>
          <w:color w:val="auto"/>
        </w:rPr>
        <w:t>P. O. Box 655474, Dallas, Texas</w:t>
      </w:r>
      <w:r>
        <w:rPr>
          <w:sz w:val="20"/>
          <w:szCs w:val="20"/>
          <w:color w:val="auto"/>
        </w:rPr>
        <w:tab/>
      </w:r>
      <w:r>
        <w:rPr>
          <w:rFonts w:ascii="Courier New" w:cs="Courier New" w:eastAsia="Courier New" w:hAnsi="Courier New"/>
          <w:sz w:val="17"/>
          <w:szCs w:val="17"/>
          <w:color w:val="auto"/>
        </w:rPr>
        <w:t>75265-5474</w:t>
      </w:r>
    </w:p>
    <w:p>
      <w:pPr>
        <w:spacing w:after="0" w:line="7"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360"/>
        <w:spacing w:after="0"/>
        <w:tabs>
          <w:tab w:leader="none" w:pos="5700" w:val="left"/>
        </w:tabs>
        <w:rPr>
          <w:sz w:val="20"/>
          <w:szCs w:val="20"/>
          <w:color w:val="auto"/>
        </w:rPr>
      </w:pPr>
      <w:r>
        <w:rPr>
          <w:rFonts w:ascii="Courier New" w:cs="Courier New" w:eastAsia="Courier New" w:hAnsi="Courier New"/>
          <w:sz w:val="17"/>
          <w:szCs w:val="17"/>
          <w:color w:val="auto"/>
        </w:rPr>
        <w:t>(Address of principal executive offices)</w:t>
        <w:tab/>
        <w:t>(Zip Code)</w:t>
      </w:r>
    </w:p>
    <w:p>
      <w:pPr>
        <w:spacing w:after="0" w:line="200" w:lineRule="exact"/>
        <w:rPr>
          <w:sz w:val="24"/>
          <w:szCs w:val="24"/>
          <w:color w:val="auto"/>
        </w:rPr>
      </w:pPr>
    </w:p>
    <w:p>
      <w:pPr>
        <w:spacing w:after="0" w:line="207" w:lineRule="exact"/>
        <w:rPr>
          <w:sz w:val="24"/>
          <w:szCs w:val="24"/>
          <w:color w:val="auto"/>
        </w:rPr>
      </w:pPr>
    </w:p>
    <w:p>
      <w:pPr>
        <w:ind w:left="740"/>
        <w:spacing w:after="0"/>
        <w:tabs>
          <w:tab w:leader="none" w:pos="6220" w:val="left"/>
        </w:tabs>
        <w:rPr>
          <w:sz w:val="20"/>
          <w:szCs w:val="20"/>
          <w:color w:val="auto"/>
        </w:rPr>
      </w:pPr>
      <w:r>
        <w:rPr>
          <w:rFonts w:ascii="Courier New" w:cs="Courier New" w:eastAsia="Courier New" w:hAnsi="Courier New"/>
          <w:sz w:val="17"/>
          <w:szCs w:val="17"/>
          <w:color w:val="auto"/>
        </w:rPr>
        <w:t>Registrant's telephone number, including area code:</w:t>
        <w:tab/>
        <w:t>972-995-3773</w:t>
      </w:r>
    </w:p>
    <w:p>
      <w:pPr>
        <w:spacing w:after="0" w:line="7"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2.</w:t>
        <w:tab/>
        <w:t>Acquisition or Disposition of Assets.</w:t>
      </w:r>
    </w:p>
    <w:p>
      <w:pPr>
        <w:spacing w:after="0" w:line="207" w:lineRule="exact"/>
        <w:rPr>
          <w:sz w:val="24"/>
          <w:szCs w:val="24"/>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On January 21, 1997, Texas Instruments Incorporated (the "Registrant") entered into an asset purchase agreement with AII Holding Corporation ("AIIH") and its parent, Acer Incorporated, pursuant to which AIIH agreed to purchase substantially all of the assets, and assume certain of the liabilities, of the Registrant's notebook computer business (the "Mobile Computing Business") at a purchase price equal to the net book value of the Mobile Computing Business at December 31, 1996, subject to adjustment for calendar 1997 operating losses incurred by the Mobile Computing Business. The closing of the sale of the U.S. portion of the Mobile Computing Business was consummated on February 28, 1997, and the Registrant anticipates that the non-U.S. portion of the transaction will be consummated on or about March 31, 1997.</w:t>
      </w:r>
    </w:p>
    <w:p>
      <w:pPr>
        <w:sectPr>
          <w:pgSz w:w="11900" w:h="16838" w:orient="portrait"/>
          <w:cols w:equalWidth="0" w:num="1">
            <w:col w:w="10219"/>
          </w:cols>
          <w:pgMar w:left="240" w:top="448"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2</w:t>
      </w: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Financial Statements, Pro Forma Financial Information and Exhibits.</w:t>
      </w:r>
    </w:p>
    <w:p>
      <w:pPr>
        <w:spacing w:after="0" w:line="207" w:lineRule="exact"/>
        <w:rPr>
          <w:sz w:val="20"/>
          <w:szCs w:val="20"/>
          <w:color w:val="auto"/>
        </w:rPr>
      </w:pPr>
    </w:p>
    <w:p>
      <w:pPr>
        <w:ind w:left="1460" w:hanging="518"/>
        <w:spacing w:after="0"/>
        <w:tabs>
          <w:tab w:leader="none" w:pos="14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Information.</w:t>
      </w:r>
    </w:p>
    <w:p>
      <w:pPr>
        <w:spacing w:after="0" w:line="207" w:lineRule="exact"/>
        <w:rPr>
          <w:sz w:val="20"/>
          <w:szCs w:val="20"/>
          <w:color w:val="auto"/>
        </w:rPr>
      </w:pPr>
    </w:p>
    <w:p>
      <w:pPr>
        <w:ind w:right="3520" w:firstLine="1454"/>
        <w:spacing w:after="0" w:line="250" w:lineRule="auto"/>
        <w:rPr>
          <w:sz w:val="20"/>
          <w:szCs w:val="20"/>
          <w:color w:val="auto"/>
        </w:rPr>
      </w:pPr>
      <w:r>
        <w:rPr>
          <w:rFonts w:ascii="Courier New" w:cs="Courier New" w:eastAsia="Courier New" w:hAnsi="Courier New"/>
          <w:sz w:val="17"/>
          <w:szCs w:val="17"/>
          <w:color w:val="auto"/>
        </w:rPr>
        <w:t>The following unaudited pro forma financial statement of income gives effect to the disposition of the Mobile Computing Business as if such transaction had occurred on January 1, 1996:</w:t>
      </w:r>
    </w:p>
    <w:p>
      <w:pPr>
        <w:spacing w:after="0" w:line="197"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TEXAS INSTRUMENTS INCORPORATED</w:t>
      </w:r>
    </w:p>
    <w:p>
      <w:pPr>
        <w:spacing w:after="0" w:line="7"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UNAUDITED PRO FORMA STATEMENT OF INCOME(1)</w:t>
      </w:r>
    </w:p>
    <w:p>
      <w:pPr>
        <w:spacing w:after="0" w:line="7"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Year Ended December 31, 1996</w:t>
      </w:r>
    </w:p>
    <w:p>
      <w:pPr>
        <w:spacing w:after="0" w:line="7"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(in millions of dollars, except per-share amounts)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920" w:type="dxa"/>
            <w:vAlign w:val="bottom"/>
            <w:gridSpan w:val="2"/>
          </w:tcPr>
          <w:p>
            <w:pPr>
              <w:ind w:left="680"/>
              <w:spacing w:after="0"/>
              <w:rPr>
                <w:sz w:val="20"/>
                <w:szCs w:val="20"/>
                <w:color w:val="auto"/>
              </w:rPr>
            </w:pPr>
            <w:r>
              <w:rPr>
                <w:rFonts w:ascii="Courier New" w:cs="Courier New" w:eastAsia="Courier New" w:hAnsi="Courier New"/>
                <w:sz w:val="17"/>
                <w:szCs w:val="17"/>
                <w:color w:val="auto"/>
              </w:rPr>
              <w:t>Pro Forma</w:t>
            </w: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0"/>
        </w:trPr>
        <w:tc>
          <w:tcPr>
            <w:tcW w:w="5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Adjustments for</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0"/>
        </w:trPr>
        <w:tc>
          <w:tcPr>
            <w:tcW w:w="5780" w:type="dxa"/>
            <w:vAlign w:val="bottom"/>
          </w:tcPr>
          <w:p>
            <w:pPr>
              <w:spacing w:after="0"/>
              <w:rPr>
                <w:sz w:val="17"/>
                <w:szCs w:val="17"/>
                <w:color w:val="auto"/>
              </w:rPr>
            </w:pPr>
          </w:p>
        </w:tc>
        <w:tc>
          <w:tcPr>
            <w:tcW w:w="1960" w:type="dxa"/>
            <w:vAlign w:val="bottom"/>
          </w:tcPr>
          <w:p>
            <w:pPr>
              <w:ind w:left="560"/>
              <w:spacing w:after="0"/>
              <w:rPr>
                <w:sz w:val="20"/>
                <w:szCs w:val="20"/>
                <w:color w:val="auto"/>
              </w:rPr>
            </w:pPr>
            <w:r>
              <w:rPr>
                <w:rFonts w:ascii="Courier New" w:cs="Courier New" w:eastAsia="Courier New" w:hAnsi="Courier New"/>
                <w:sz w:val="17"/>
                <w:szCs w:val="17"/>
                <w:color w:val="auto"/>
              </w:rPr>
              <w:t>Historical</w:t>
            </w:r>
          </w:p>
        </w:tc>
        <w:tc>
          <w:tcPr>
            <w:tcW w:w="240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Disposition of the</w:t>
            </w:r>
          </w:p>
        </w:tc>
        <w:tc>
          <w:tcPr>
            <w:tcW w:w="13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Texas</w:t>
            </w:r>
          </w:p>
        </w:tc>
      </w:tr>
      <w:tr>
        <w:trPr>
          <w:trHeight w:val="200"/>
        </w:trPr>
        <w:tc>
          <w:tcPr>
            <w:tcW w:w="5780" w:type="dxa"/>
            <w:vAlign w:val="bottom"/>
          </w:tcPr>
          <w:p>
            <w:pPr>
              <w:spacing w:after="0"/>
              <w:rPr>
                <w:sz w:val="17"/>
                <w:szCs w:val="17"/>
                <w:color w:val="auto"/>
              </w:rPr>
            </w:pPr>
          </w:p>
        </w:tc>
        <w:tc>
          <w:tcPr>
            <w:tcW w:w="19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Texas</w:t>
            </w:r>
          </w:p>
        </w:tc>
        <w:tc>
          <w:tcPr>
            <w:tcW w:w="240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Mobile Computing</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Instruments</w:t>
            </w:r>
          </w:p>
        </w:tc>
      </w:tr>
      <w:tr>
        <w:trPr>
          <w:trHeight w:val="200"/>
        </w:trPr>
        <w:tc>
          <w:tcPr>
            <w:tcW w:w="5780" w:type="dxa"/>
            <w:vAlign w:val="bottom"/>
          </w:tcPr>
          <w:p>
            <w:pPr>
              <w:spacing w:after="0"/>
              <w:rPr>
                <w:sz w:val="17"/>
                <w:szCs w:val="17"/>
                <w:color w:val="auto"/>
              </w:rPr>
            </w:pPr>
          </w:p>
        </w:tc>
        <w:tc>
          <w:tcPr>
            <w:tcW w:w="1960" w:type="dxa"/>
            <w:vAlign w:val="bottom"/>
          </w:tcPr>
          <w:p>
            <w:pPr>
              <w:ind w:left="560"/>
              <w:spacing w:after="0"/>
              <w:rPr>
                <w:sz w:val="20"/>
                <w:szCs w:val="20"/>
                <w:color w:val="auto"/>
              </w:rPr>
            </w:pPr>
            <w:r>
              <w:rPr>
                <w:rFonts w:ascii="Courier New" w:cs="Courier New" w:eastAsia="Courier New" w:hAnsi="Courier New"/>
                <w:sz w:val="17"/>
                <w:szCs w:val="17"/>
                <w:color w:val="auto"/>
              </w:rPr>
              <w:t>Instruments</w:t>
            </w:r>
          </w:p>
        </w:tc>
        <w:tc>
          <w:tcPr>
            <w:tcW w:w="780" w:type="dxa"/>
            <w:vAlign w:val="bottom"/>
          </w:tcPr>
          <w:p>
            <w:pPr>
              <w:spacing w:after="0"/>
              <w:rPr>
                <w:sz w:val="17"/>
                <w:szCs w:val="17"/>
                <w:color w:val="auto"/>
              </w:rPr>
            </w:pPr>
          </w:p>
        </w:tc>
        <w:tc>
          <w:tcPr>
            <w:tcW w:w="114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Business</w:t>
            </w:r>
          </w:p>
        </w:tc>
        <w:tc>
          <w:tcPr>
            <w:tcW w:w="4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as Adjusted</w:t>
            </w:r>
          </w:p>
        </w:tc>
      </w:tr>
      <w:tr>
        <w:trPr>
          <w:trHeight w:val="200"/>
        </w:trPr>
        <w:tc>
          <w:tcPr>
            <w:tcW w:w="5780" w:type="dxa"/>
            <w:vAlign w:val="bottom"/>
          </w:tcPr>
          <w:p>
            <w:pPr>
              <w:spacing w:after="0"/>
              <w:rPr>
                <w:sz w:val="17"/>
                <w:szCs w:val="17"/>
                <w:color w:val="auto"/>
              </w:rPr>
            </w:pPr>
          </w:p>
        </w:tc>
        <w:tc>
          <w:tcPr>
            <w:tcW w:w="1960" w:type="dxa"/>
            <w:vAlign w:val="bottom"/>
          </w:tcPr>
          <w:p>
            <w:pPr>
              <w:ind w:left="660"/>
              <w:spacing w:after="0"/>
              <w:rPr>
                <w:sz w:val="20"/>
                <w:szCs w:val="20"/>
                <w:color w:val="auto"/>
              </w:rPr>
            </w:pPr>
            <w:r>
              <w:rPr>
                <w:rFonts w:ascii="Courier New" w:cs="Courier New" w:eastAsia="Courier New" w:hAnsi="Courier New"/>
                <w:sz w:val="17"/>
                <w:szCs w:val="17"/>
                <w:color w:val="auto"/>
              </w:rPr>
              <w:t>12/31/96</w:t>
            </w:r>
          </w:p>
        </w:tc>
        <w:tc>
          <w:tcPr>
            <w:tcW w:w="780" w:type="dxa"/>
            <w:vAlign w:val="bottom"/>
          </w:tcPr>
          <w:p>
            <w:pPr>
              <w:ind w:left="480"/>
              <w:spacing w:after="0"/>
              <w:rPr>
                <w:sz w:val="20"/>
                <w:szCs w:val="20"/>
                <w:color w:val="auto"/>
              </w:rPr>
            </w:pPr>
            <w:r>
              <w:rPr>
                <w:rFonts w:ascii="Courier New" w:cs="Courier New" w:eastAsia="Courier New" w:hAnsi="Courier New"/>
                <w:sz w:val="17"/>
                <w:szCs w:val="17"/>
                <w:color w:val="auto"/>
                <w:w w:val="91"/>
              </w:rPr>
              <w:t>(2)</w:t>
            </w:r>
          </w:p>
        </w:tc>
        <w:tc>
          <w:tcPr>
            <w:tcW w:w="11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(3)</w:t>
            </w:r>
          </w:p>
        </w:tc>
        <w:tc>
          <w:tcPr>
            <w:tcW w:w="1860" w:type="dxa"/>
            <w:vAlign w:val="bottom"/>
            <w:gridSpan w:val="2"/>
          </w:tcPr>
          <w:p>
            <w:pPr>
              <w:jc w:val="right"/>
              <w:ind w:right="933"/>
              <w:spacing w:after="0"/>
              <w:rPr>
                <w:sz w:val="20"/>
                <w:szCs w:val="20"/>
                <w:color w:val="auto"/>
              </w:rPr>
            </w:pPr>
            <w:r>
              <w:rPr>
                <w:rFonts w:ascii="Courier New" w:cs="Courier New" w:eastAsia="Courier New" w:hAnsi="Courier New"/>
                <w:sz w:val="17"/>
                <w:szCs w:val="17"/>
                <w:color w:val="auto"/>
              </w:rPr>
              <w:t>12/31/96</w:t>
            </w:r>
          </w:p>
        </w:tc>
      </w:tr>
      <w:tr>
        <w:trPr>
          <w:trHeight w:val="200"/>
        </w:trPr>
        <w:tc>
          <w:tcPr>
            <w:tcW w:w="5780" w:type="dxa"/>
            <w:vAlign w:val="bottom"/>
          </w:tcPr>
          <w:p>
            <w:pPr>
              <w:spacing w:after="0"/>
              <w:rPr>
                <w:sz w:val="17"/>
                <w:szCs w:val="17"/>
                <w:color w:val="auto"/>
              </w:rPr>
            </w:pPr>
          </w:p>
        </w:tc>
        <w:tc>
          <w:tcPr>
            <w:tcW w:w="1960" w:type="dxa"/>
            <w:vAlign w:val="bottom"/>
          </w:tcPr>
          <w:p>
            <w:pPr>
              <w:ind w:left="560"/>
              <w:spacing w:after="0"/>
              <w:rPr>
                <w:sz w:val="20"/>
                <w:szCs w:val="20"/>
                <w:color w:val="auto"/>
              </w:rPr>
            </w:pPr>
            <w:r>
              <w:rPr>
                <w:rFonts w:ascii="Courier New" w:cs="Courier New" w:eastAsia="Courier New" w:hAnsi="Courier New"/>
                <w:sz w:val="17"/>
                <w:szCs w:val="17"/>
                <w:color w:val="auto"/>
              </w:rPr>
              <w:t>-----------</w:t>
            </w:r>
          </w:p>
        </w:tc>
        <w:tc>
          <w:tcPr>
            <w:tcW w:w="240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Net revenues</w:t>
            </w:r>
          </w:p>
        </w:tc>
        <w:tc>
          <w:tcPr>
            <w:tcW w:w="19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$9,940</w:t>
            </w:r>
          </w:p>
        </w:tc>
        <w:tc>
          <w:tcPr>
            <w:tcW w:w="1920" w:type="dxa"/>
            <w:vAlign w:val="bottom"/>
            <w:gridSpan w:val="2"/>
          </w:tcPr>
          <w:p>
            <w:pPr>
              <w:jc w:val="right"/>
              <w:ind w:right="533"/>
              <w:spacing w:after="0"/>
              <w:rPr>
                <w:sz w:val="20"/>
                <w:szCs w:val="20"/>
                <w:color w:val="auto"/>
              </w:rPr>
            </w:pPr>
            <w:r>
              <w:rPr>
                <w:rFonts w:ascii="Courier New" w:cs="Courier New" w:eastAsia="Courier New" w:hAnsi="Courier New"/>
                <w:sz w:val="17"/>
                <w:szCs w:val="17"/>
                <w:color w:val="auto"/>
              </w:rPr>
              <w:t>$(677)</w:t>
            </w:r>
          </w:p>
        </w:tc>
        <w:tc>
          <w:tcPr>
            <w:tcW w:w="480" w:type="dxa"/>
            <w:vAlign w:val="bottom"/>
          </w:tcPr>
          <w:p>
            <w:pPr>
              <w:spacing w:after="0"/>
              <w:rPr>
                <w:sz w:val="24"/>
                <w:szCs w:val="24"/>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$9,263</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Operating costs and expenses:</w:t>
            </w:r>
          </w:p>
        </w:tc>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0"/>
        </w:trPr>
        <w:tc>
          <w:tcPr>
            <w:tcW w:w="5780" w:type="dxa"/>
            <w:vAlign w:val="bottom"/>
          </w:tcPr>
          <w:p>
            <w:pPr>
              <w:ind w:left="840"/>
              <w:spacing w:after="0"/>
              <w:rPr>
                <w:sz w:val="20"/>
                <w:szCs w:val="20"/>
                <w:color w:val="auto"/>
              </w:rPr>
            </w:pPr>
            <w:r>
              <w:rPr>
                <w:rFonts w:ascii="Courier New" w:cs="Courier New" w:eastAsia="Courier New" w:hAnsi="Courier New"/>
                <w:sz w:val="17"/>
                <w:szCs w:val="17"/>
                <w:color w:val="auto"/>
              </w:rPr>
              <w:t>Cost of revenues</w:t>
            </w:r>
          </w:p>
        </w:tc>
        <w:tc>
          <w:tcPr>
            <w:tcW w:w="19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7,146</w:t>
            </w:r>
          </w:p>
        </w:tc>
        <w:tc>
          <w:tcPr>
            <w:tcW w:w="780" w:type="dxa"/>
            <w:vAlign w:val="bottom"/>
          </w:tcPr>
          <w:p>
            <w:pPr>
              <w:spacing w:after="0"/>
              <w:rPr>
                <w:sz w:val="24"/>
                <w:szCs w:val="24"/>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97"/>
              </w:rPr>
              <w:t>(814)</w:t>
            </w:r>
          </w:p>
        </w:tc>
        <w:tc>
          <w:tcPr>
            <w:tcW w:w="480" w:type="dxa"/>
            <w:vAlign w:val="bottom"/>
          </w:tcPr>
          <w:p>
            <w:pPr>
              <w:spacing w:after="0"/>
              <w:rPr>
                <w:sz w:val="24"/>
                <w:szCs w:val="24"/>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6,332</w:t>
            </w:r>
          </w:p>
        </w:tc>
      </w:tr>
      <w:tr>
        <w:trPr>
          <w:trHeight w:val="400"/>
        </w:trPr>
        <w:tc>
          <w:tcPr>
            <w:tcW w:w="5780" w:type="dxa"/>
            <w:vAlign w:val="bottom"/>
          </w:tcPr>
          <w:p>
            <w:pPr>
              <w:ind w:left="840"/>
              <w:spacing w:after="0"/>
              <w:rPr>
                <w:sz w:val="20"/>
                <w:szCs w:val="20"/>
                <w:color w:val="auto"/>
              </w:rPr>
            </w:pPr>
            <w:r>
              <w:rPr>
                <w:rFonts w:ascii="Courier New" w:cs="Courier New" w:eastAsia="Courier New" w:hAnsi="Courier New"/>
                <w:sz w:val="17"/>
                <w:szCs w:val="17"/>
                <w:color w:val="auto"/>
              </w:rPr>
              <w:t>Research and development</w:t>
            </w:r>
          </w:p>
        </w:tc>
        <w:tc>
          <w:tcPr>
            <w:tcW w:w="19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1,181</w:t>
            </w:r>
          </w:p>
        </w:tc>
        <w:tc>
          <w:tcPr>
            <w:tcW w:w="780" w:type="dxa"/>
            <w:vAlign w:val="bottom"/>
          </w:tcPr>
          <w:p>
            <w:pPr>
              <w:spacing w:after="0"/>
              <w:rPr>
                <w:sz w:val="24"/>
                <w:szCs w:val="24"/>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(38)</w:t>
            </w:r>
          </w:p>
        </w:tc>
        <w:tc>
          <w:tcPr>
            <w:tcW w:w="480" w:type="dxa"/>
            <w:vAlign w:val="bottom"/>
          </w:tcPr>
          <w:p>
            <w:pPr>
              <w:spacing w:after="0"/>
              <w:rPr>
                <w:sz w:val="24"/>
                <w:szCs w:val="24"/>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1,143</w:t>
            </w:r>
          </w:p>
        </w:tc>
      </w:tr>
      <w:tr>
        <w:trPr>
          <w:trHeight w:val="400"/>
        </w:trPr>
        <w:tc>
          <w:tcPr>
            <w:tcW w:w="5780" w:type="dxa"/>
            <w:vAlign w:val="bottom"/>
          </w:tcPr>
          <w:p>
            <w:pPr>
              <w:ind w:left="840"/>
              <w:spacing w:after="0"/>
              <w:rPr>
                <w:sz w:val="20"/>
                <w:szCs w:val="20"/>
                <w:color w:val="auto"/>
              </w:rPr>
            </w:pPr>
            <w:r>
              <w:rPr>
                <w:rFonts w:ascii="Courier New" w:cs="Courier New" w:eastAsia="Courier New" w:hAnsi="Courier New"/>
                <w:sz w:val="17"/>
                <w:szCs w:val="17"/>
                <w:color w:val="auto"/>
              </w:rPr>
              <w:t>Marketing, general and administrative</w:t>
            </w:r>
          </w:p>
        </w:tc>
        <w:tc>
          <w:tcPr>
            <w:tcW w:w="19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1,639</w:t>
            </w:r>
          </w:p>
        </w:tc>
        <w:tc>
          <w:tcPr>
            <w:tcW w:w="780" w:type="dxa"/>
            <w:vAlign w:val="bottom"/>
          </w:tcPr>
          <w:p>
            <w:pPr>
              <w:spacing w:after="0"/>
              <w:rPr>
                <w:sz w:val="24"/>
                <w:szCs w:val="24"/>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97"/>
              </w:rPr>
              <w:t>(121)</w:t>
            </w:r>
          </w:p>
        </w:tc>
        <w:tc>
          <w:tcPr>
            <w:tcW w:w="480" w:type="dxa"/>
            <w:vAlign w:val="bottom"/>
          </w:tcPr>
          <w:p>
            <w:pPr>
              <w:spacing w:after="0"/>
              <w:rPr>
                <w:sz w:val="24"/>
                <w:szCs w:val="24"/>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1,518</w:t>
            </w:r>
          </w:p>
        </w:tc>
      </w:tr>
      <w:tr>
        <w:trPr>
          <w:trHeight w:val="200"/>
        </w:trPr>
        <w:tc>
          <w:tcPr>
            <w:tcW w:w="5780" w:type="dxa"/>
            <w:vAlign w:val="bottom"/>
          </w:tcPr>
          <w:p>
            <w:pPr>
              <w:spacing w:after="0"/>
              <w:rPr>
                <w:sz w:val="17"/>
                <w:szCs w:val="17"/>
                <w:color w:val="auto"/>
              </w:rPr>
            </w:pPr>
          </w:p>
        </w:tc>
        <w:tc>
          <w:tcPr>
            <w:tcW w:w="19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80"/>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ind w:left="1880"/>
              <w:spacing w:after="0"/>
              <w:rPr>
                <w:sz w:val="20"/>
                <w:szCs w:val="20"/>
                <w:color w:val="auto"/>
              </w:rPr>
            </w:pPr>
            <w:r>
              <w:rPr>
                <w:rFonts w:ascii="Courier New" w:cs="Courier New" w:eastAsia="Courier New" w:hAnsi="Courier New"/>
                <w:sz w:val="17"/>
                <w:szCs w:val="17"/>
                <w:color w:val="auto"/>
              </w:rPr>
              <w:t>Total</w:t>
            </w:r>
          </w:p>
        </w:tc>
        <w:tc>
          <w:tcPr>
            <w:tcW w:w="19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9,966</w:t>
            </w:r>
          </w:p>
        </w:tc>
        <w:tc>
          <w:tcPr>
            <w:tcW w:w="780" w:type="dxa"/>
            <w:vAlign w:val="bottom"/>
          </w:tcPr>
          <w:p>
            <w:pPr>
              <w:spacing w:after="0"/>
              <w:rPr>
                <w:sz w:val="17"/>
                <w:szCs w:val="17"/>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97"/>
              </w:rPr>
              <w:t>(973)</w:t>
            </w: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8,993</w:t>
            </w:r>
          </w:p>
        </w:tc>
      </w:tr>
      <w:tr>
        <w:trPr>
          <w:trHeight w:val="200"/>
        </w:trPr>
        <w:tc>
          <w:tcPr>
            <w:tcW w:w="5780" w:type="dxa"/>
            <w:vAlign w:val="bottom"/>
          </w:tcPr>
          <w:p>
            <w:pPr>
              <w:spacing w:after="0"/>
              <w:rPr>
                <w:sz w:val="17"/>
                <w:szCs w:val="17"/>
                <w:color w:val="auto"/>
              </w:rPr>
            </w:pPr>
          </w:p>
        </w:tc>
        <w:tc>
          <w:tcPr>
            <w:tcW w:w="19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80"/>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Profit (loss from operations)</w:t>
            </w:r>
          </w:p>
        </w:tc>
        <w:tc>
          <w:tcPr>
            <w:tcW w:w="19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(26)</w:t>
            </w:r>
          </w:p>
        </w:tc>
        <w:tc>
          <w:tcPr>
            <w:tcW w:w="780" w:type="dxa"/>
            <w:vAlign w:val="bottom"/>
          </w:tcPr>
          <w:p>
            <w:pPr>
              <w:spacing w:after="0"/>
              <w:rPr>
                <w:sz w:val="17"/>
                <w:szCs w:val="17"/>
                <w:color w:val="auto"/>
              </w:rPr>
            </w:pPr>
          </w:p>
        </w:tc>
        <w:tc>
          <w:tcPr>
            <w:tcW w:w="11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296</w:t>
            </w: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270</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Other income (expense) net</w:t>
            </w:r>
          </w:p>
        </w:tc>
        <w:tc>
          <w:tcPr>
            <w:tcW w:w="19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76</w:t>
            </w:r>
          </w:p>
        </w:tc>
        <w:tc>
          <w:tcPr>
            <w:tcW w:w="780" w:type="dxa"/>
            <w:vAlign w:val="bottom"/>
          </w:tcPr>
          <w:p>
            <w:pPr>
              <w:spacing w:after="0"/>
              <w:rPr>
                <w:sz w:val="24"/>
                <w:szCs w:val="24"/>
                <w:color w:val="auto"/>
              </w:rPr>
            </w:pPr>
          </w:p>
        </w:tc>
        <w:tc>
          <w:tcPr>
            <w:tcW w:w="11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24"/>
                <w:szCs w:val="24"/>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76</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Interest on loans</w:t>
            </w:r>
          </w:p>
        </w:tc>
        <w:tc>
          <w:tcPr>
            <w:tcW w:w="19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73</w:t>
            </w:r>
          </w:p>
        </w:tc>
        <w:tc>
          <w:tcPr>
            <w:tcW w:w="780" w:type="dxa"/>
            <w:vAlign w:val="bottom"/>
          </w:tcPr>
          <w:p>
            <w:pPr>
              <w:spacing w:after="0"/>
              <w:rPr>
                <w:sz w:val="24"/>
                <w:szCs w:val="24"/>
                <w:color w:val="auto"/>
              </w:rPr>
            </w:pPr>
          </w:p>
        </w:tc>
        <w:tc>
          <w:tcPr>
            <w:tcW w:w="11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24"/>
                <w:szCs w:val="24"/>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73</w:t>
            </w:r>
          </w:p>
        </w:tc>
      </w:tr>
      <w:tr>
        <w:trPr>
          <w:trHeight w:val="200"/>
        </w:trPr>
        <w:tc>
          <w:tcPr>
            <w:tcW w:w="5780" w:type="dxa"/>
            <w:vAlign w:val="bottom"/>
          </w:tcPr>
          <w:p>
            <w:pPr>
              <w:spacing w:after="0"/>
              <w:rPr>
                <w:sz w:val="17"/>
                <w:szCs w:val="17"/>
                <w:color w:val="auto"/>
              </w:rPr>
            </w:pPr>
          </w:p>
        </w:tc>
        <w:tc>
          <w:tcPr>
            <w:tcW w:w="19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80"/>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 income taxes</w:t>
            </w:r>
          </w:p>
        </w:tc>
        <w:tc>
          <w:tcPr>
            <w:tcW w:w="19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(23)</w:t>
            </w:r>
          </w:p>
        </w:tc>
        <w:tc>
          <w:tcPr>
            <w:tcW w:w="780" w:type="dxa"/>
            <w:vAlign w:val="bottom"/>
          </w:tcPr>
          <w:p>
            <w:pPr>
              <w:spacing w:after="0"/>
              <w:rPr>
                <w:sz w:val="17"/>
                <w:szCs w:val="17"/>
                <w:color w:val="auto"/>
              </w:rPr>
            </w:pPr>
          </w:p>
        </w:tc>
        <w:tc>
          <w:tcPr>
            <w:tcW w:w="11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296</w:t>
            </w: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273</w:t>
            </w:r>
          </w:p>
        </w:tc>
      </w:tr>
      <w:tr>
        <w:trPr>
          <w:trHeight w:val="4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96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23</w:t>
            </w:r>
          </w:p>
        </w:tc>
        <w:tc>
          <w:tcPr>
            <w:tcW w:w="780" w:type="dxa"/>
            <w:vAlign w:val="bottom"/>
          </w:tcPr>
          <w:p>
            <w:pPr>
              <w:spacing w:after="0"/>
              <w:rPr>
                <w:sz w:val="24"/>
                <w:szCs w:val="24"/>
                <w:color w:val="auto"/>
              </w:rPr>
            </w:pPr>
          </w:p>
        </w:tc>
        <w:tc>
          <w:tcPr>
            <w:tcW w:w="11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104</w:t>
            </w:r>
          </w:p>
        </w:tc>
        <w:tc>
          <w:tcPr>
            <w:tcW w:w="480" w:type="dxa"/>
            <w:vAlign w:val="bottom"/>
          </w:tcPr>
          <w:p>
            <w:pPr>
              <w:spacing w:after="0"/>
              <w:rPr>
                <w:sz w:val="24"/>
                <w:szCs w:val="24"/>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127</w:t>
            </w:r>
          </w:p>
        </w:tc>
      </w:tr>
      <w:tr>
        <w:trPr>
          <w:trHeight w:val="200"/>
        </w:trPr>
        <w:tc>
          <w:tcPr>
            <w:tcW w:w="5780" w:type="dxa"/>
            <w:vAlign w:val="bottom"/>
          </w:tcPr>
          <w:p>
            <w:pPr>
              <w:spacing w:after="0"/>
              <w:rPr>
                <w:sz w:val="17"/>
                <w:szCs w:val="17"/>
                <w:color w:val="auto"/>
              </w:rPr>
            </w:pPr>
          </w:p>
        </w:tc>
        <w:tc>
          <w:tcPr>
            <w:tcW w:w="19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80"/>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Income (loss) from continuing operations</w:t>
            </w:r>
          </w:p>
        </w:tc>
        <w:tc>
          <w:tcPr>
            <w:tcW w:w="19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(46)</w:t>
            </w:r>
          </w:p>
        </w:tc>
        <w:tc>
          <w:tcPr>
            <w:tcW w:w="780" w:type="dxa"/>
            <w:vAlign w:val="bottom"/>
          </w:tcPr>
          <w:p>
            <w:pPr>
              <w:spacing w:after="0"/>
              <w:rPr>
                <w:sz w:val="17"/>
                <w:szCs w:val="17"/>
                <w:color w:val="auto"/>
              </w:rPr>
            </w:pPr>
          </w:p>
        </w:tc>
        <w:tc>
          <w:tcPr>
            <w:tcW w:w="114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192</w:t>
            </w: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146</w:t>
            </w:r>
          </w:p>
        </w:tc>
      </w:tr>
      <w:tr>
        <w:trPr>
          <w:trHeight w:val="200"/>
        </w:trPr>
        <w:tc>
          <w:tcPr>
            <w:tcW w:w="5780" w:type="dxa"/>
            <w:vAlign w:val="bottom"/>
          </w:tcPr>
          <w:p>
            <w:pPr>
              <w:spacing w:after="0"/>
              <w:rPr>
                <w:sz w:val="17"/>
                <w:szCs w:val="17"/>
                <w:color w:val="auto"/>
              </w:rPr>
            </w:pPr>
          </w:p>
        </w:tc>
        <w:tc>
          <w:tcPr>
            <w:tcW w:w="19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1920" w:type="dxa"/>
            <w:vAlign w:val="bottom"/>
            <w:gridSpan w:val="2"/>
          </w:tcPr>
          <w:p>
            <w:pPr>
              <w:ind w:left="680"/>
              <w:spacing w:after="0"/>
              <w:rPr>
                <w:sz w:val="20"/>
                <w:szCs w:val="20"/>
                <w:color w:val="auto"/>
              </w:rPr>
            </w:pPr>
            <w:r>
              <w:rPr>
                <w:rFonts w:ascii="Courier New" w:cs="Courier New" w:eastAsia="Courier New" w:hAnsi="Courier New"/>
                <w:sz w:val="17"/>
                <w:szCs w:val="17"/>
                <w:color w:val="auto"/>
              </w:rPr>
              <w:t>======</w:t>
            </w: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r>
      <w:tr>
        <w:trPr>
          <w:trHeight w:val="200"/>
        </w:trPr>
        <w:tc>
          <w:tcPr>
            <w:tcW w:w="5780" w:type="dxa"/>
            <w:vAlign w:val="bottom"/>
          </w:tcPr>
          <w:p>
            <w:pPr>
              <w:spacing w:after="0"/>
              <w:rPr>
                <w:sz w:val="20"/>
                <w:szCs w:val="20"/>
                <w:color w:val="auto"/>
              </w:rPr>
            </w:pPr>
            <w:r>
              <w:rPr>
                <w:rFonts w:ascii="Courier New" w:cs="Courier New" w:eastAsia="Courier New" w:hAnsi="Courier New"/>
                <w:sz w:val="17"/>
                <w:szCs w:val="17"/>
                <w:color w:val="auto"/>
              </w:rPr>
              <w:t>Income (loss) from continuing operations per share</w:t>
            </w:r>
          </w:p>
        </w:tc>
        <w:tc>
          <w:tcPr>
            <w:tcW w:w="19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 (.24)</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.76</w:t>
            </w:r>
          </w:p>
        </w:tc>
      </w:tr>
      <w:tr>
        <w:trPr>
          <w:trHeight w:val="200"/>
        </w:trPr>
        <w:tc>
          <w:tcPr>
            <w:tcW w:w="5780" w:type="dxa"/>
            <w:vAlign w:val="bottom"/>
          </w:tcPr>
          <w:p>
            <w:pPr>
              <w:spacing w:after="0"/>
              <w:rPr>
                <w:sz w:val="17"/>
                <w:szCs w:val="17"/>
                <w:color w:val="auto"/>
              </w:rPr>
            </w:pPr>
          </w:p>
        </w:tc>
        <w:tc>
          <w:tcPr>
            <w:tcW w:w="1960" w:type="dxa"/>
            <w:vAlign w:val="bottom"/>
          </w:tcPr>
          <w:p>
            <w:pPr>
              <w:ind w:left="6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color w:val="auto"/>
        </w:rPr>
        <w:t>NOTES TO PRO FORMA STATEMENT OF INCOME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A pro forma consolidated balance sheet is not presented herein because</w:t>
      </w:r>
    </w:p>
    <w:p>
      <w:pPr>
        <w:sectPr>
          <w:pgSz w:w="11900" w:h="16838" w:orient="portrait"/>
          <w:cols w:equalWidth="0" w:num="1">
            <w:col w:w="11520"/>
          </w:cols>
          <w:pgMar w:left="240" w:top="1440" w:right="139" w:bottom="0" w:gutter="0" w:footer="0" w:header="0"/>
        </w:sectPr>
      </w:pPr>
    </w:p>
    <w:bookmarkStart w:id="2" w:name="page3"/>
    <w:bookmarkEnd w:id="2"/>
    <w:p>
      <w:pPr>
        <w:ind w:right="2219"/>
        <w:spacing w:after="0" w:line="251" w:lineRule="auto"/>
        <w:rPr>
          <w:sz w:val="20"/>
          <w:szCs w:val="20"/>
          <w:color w:val="auto"/>
        </w:rPr>
      </w:pPr>
      <w:r>
        <w:rPr>
          <w:rFonts w:ascii="Courier New" w:cs="Courier New" w:eastAsia="Courier New" w:hAnsi="Courier New"/>
          <w:sz w:val="17"/>
          <w:szCs w:val="17"/>
          <w:color w:val="auto"/>
        </w:rPr>
        <w:t>the assets and liabilities of the Mobile Computing Business were not material to the Registrant.</w:t>
      </w:r>
    </w:p>
    <w:p>
      <w:pPr>
        <w:spacing w:after="0" w:line="200" w:lineRule="exact"/>
        <w:rPr>
          <w:sz w:val="20"/>
          <w:szCs w:val="20"/>
          <w:color w:val="auto"/>
        </w:rPr>
      </w:pPr>
    </w:p>
    <w:p>
      <w:pPr>
        <w:spacing w:after="0" w:line="39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3</w:t>
      </w:r>
    </w:p>
    <w:p>
      <w:pPr>
        <w:spacing w:after="0" w:line="207" w:lineRule="exact"/>
        <w:rPr>
          <w:sz w:val="20"/>
          <w:szCs w:val="20"/>
          <w:color w:val="auto"/>
        </w:rPr>
      </w:pPr>
    </w:p>
    <w:p>
      <w:pPr>
        <w:ind w:right="2519" w:firstLine="7"/>
        <w:spacing w:after="0" w:line="251"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reflect operating results of the Mobile Computing Business for 1996.</w:t>
      </w:r>
    </w:p>
    <w:p>
      <w:pPr>
        <w:spacing w:after="0" w:line="196" w:lineRule="exact"/>
        <w:rPr>
          <w:rFonts w:ascii="Courier New" w:cs="Courier New" w:eastAsia="Courier New" w:hAnsi="Courier New"/>
          <w:sz w:val="17"/>
          <w:szCs w:val="17"/>
          <w:color w:val="auto"/>
        </w:rPr>
      </w:pPr>
    </w:p>
    <w:p>
      <w:pPr>
        <w:ind w:right="2319" w:firstLine="7"/>
        <w:spacing w:after="0" w:line="250"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 results of the Mobile Computing Business include a fourth quarter pretax charge of $112 million, of which $101 million was for asset write-downs and $11 million was for severance actions completed by year end.</w:t>
      </w:r>
    </w:p>
    <w:p>
      <w:pPr>
        <w:spacing w:after="0" w:line="197" w:lineRule="exact"/>
        <w:rPr>
          <w:sz w:val="20"/>
          <w:szCs w:val="20"/>
          <w:color w:val="auto"/>
        </w:rPr>
      </w:pPr>
    </w:p>
    <w:p>
      <w:pPr>
        <w:ind w:right="2219" w:firstLine="416"/>
        <w:spacing w:after="0" w:line="250" w:lineRule="auto"/>
        <w:rPr>
          <w:sz w:val="20"/>
          <w:szCs w:val="20"/>
          <w:color w:val="auto"/>
        </w:rPr>
      </w:pPr>
      <w:r>
        <w:rPr>
          <w:rFonts w:ascii="Courier New" w:cs="Courier New" w:eastAsia="Courier New" w:hAnsi="Courier New"/>
          <w:sz w:val="17"/>
          <w:szCs w:val="17"/>
          <w:color w:val="auto"/>
        </w:rPr>
        <w:t>In addition to the charge taken in the fourth quarter, the Registrant expects to take a charge in the first quarter of 1997 for severance and other costs associated with the sale of the Mobile Computing Business.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SIGNATURE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0"/>
          <w:szCs w:val="20"/>
          <w:color w:val="auto"/>
        </w:rPr>
      </w:pPr>
    </w:p>
    <w:p>
      <w:pPr>
        <w:ind w:right="2219" w:firstLine="519"/>
        <w:spacing w:after="0" w:line="250"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7"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By /s/ WILLIAM A. AYLESWORTH</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William A. Aylesworth</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Senior Vice President, Treasurer</w:t>
      </w:r>
    </w:p>
    <w:p>
      <w:pPr>
        <w:spacing w:after="0" w:line="7"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and Chief Financial Officer</w:t>
      </w:r>
    </w:p>
    <w:p>
      <w:pPr>
        <w:spacing w:after="0" w:line="200" w:lineRule="exact"/>
        <w:rPr>
          <w:sz w:val="20"/>
          <w:szCs w:val="20"/>
          <w:color w:val="auto"/>
        </w:rPr>
      </w:pP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March 14,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2019-12-13T07:50:42Z</dcterms:created>
  <dcterms:modified xsi:type="dcterms:W3CDTF">2019-12-13T07:50:42Z</dcterms:modified>
</cp:coreProperties>
</file>