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333-262523</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4, 2022)</w:t>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$700,000,000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182245</wp:posOffset>
            </wp:positionV>
            <wp:extent cx="28714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$400,000,000 3.650% Notes due 2032</w:t>
      </w:r>
    </w:p>
    <w:p>
      <w:pPr>
        <w:spacing w:after="0" w:line="4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$300,000,000 4.100% Notes due 2052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Texas Instruments Incorporated is offering $400,000,000 aggregate principal amount of its 3.650% Notes due 2032 (the “2032 Notes”) and</w:t>
      </w:r>
    </w:p>
    <w:p>
      <w:pPr>
        <w:spacing w:after="0" w:line="27" w:lineRule="exact"/>
        <w:rPr>
          <w:sz w:val="24"/>
          <w:szCs w:val="24"/>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$300,000,000 aggregate principal amount of its 4.100% Notes due 2052 (the “2052 Notes” and, together with the 2032 Notes, the “Notes”), which will bear interest at the applicable rate per year for each series as set forth above. Interest on the Notes will be payable semi-annually in arrears on February 16 and August 16 of each year, beginning on February 16, 2023.</w:t>
      </w:r>
    </w:p>
    <w:p>
      <w:pPr>
        <w:spacing w:after="0" w:line="18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2032 Notes will mature on August 16, 2032 and the 2052 Notes will mature on August 16, 2052.</w:t>
      </w:r>
    </w:p>
    <w:p>
      <w:pPr>
        <w:spacing w:after="0" w:line="225" w:lineRule="exact"/>
        <w:rPr>
          <w:sz w:val="24"/>
          <w:szCs w:val="24"/>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at the redemption prices indicated under the caption “Description of the Notes—Optional Redemption.”</w:t>
      </w:r>
    </w:p>
    <w:p>
      <w:pPr>
        <w:spacing w:after="0" w:line="162" w:lineRule="exact"/>
        <w:rPr>
          <w:sz w:val="24"/>
          <w:szCs w:val="24"/>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2032 Notes</w:t>
            </w: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10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2052 Notes</w:t>
            </w:r>
          </w:p>
        </w:tc>
        <w:tc>
          <w:tcPr>
            <w:tcW w:w="100" w:type="dxa"/>
            <w:vAlign w:val="bottom"/>
          </w:tcPr>
          <w:p>
            <w:pPr>
              <w:spacing w:after="0"/>
              <w:rPr>
                <w:sz w:val="13"/>
                <w:szCs w:val="13"/>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Notes 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2032 Note</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2052 Note</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398,836,000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296,121,000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694,957,000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1,400,000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3,200,000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397,436,000</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294,321,000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691,757,000</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on the Notes will accrue from August 16, 2022 to the date of delivery.</w:t>
      </w:r>
    </w:p>
    <w:p>
      <w:pPr>
        <w:spacing w:after="0" w:line="225"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only in book-entry form through the facilities of The Depository Trust Company and its participants, including Euroclear Bank S.A./N.V. and Clearstream Banking, S.A., on or about August 16, 2022, which is the fourth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36" w:lineRule="exact"/>
        <w:rPr>
          <w:sz w:val="24"/>
          <w:szCs w:val="24"/>
          <w:color w:val="auto"/>
        </w:rPr>
      </w:pPr>
    </w:p>
    <w:p>
      <w:pPr>
        <w:ind w:left="120"/>
        <w:spacing w:after="0"/>
        <w:tabs>
          <w:tab w:leader="none" w:pos="5060" w:val="left"/>
          <w:tab w:leader="none" w:pos="96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8"/>
          <w:szCs w:val="28"/>
          <w:b w:val="1"/>
          <w:bCs w:val="1"/>
          <w:color w:val="auto"/>
        </w:rPr>
        <w:t>US Bancorp</w:t>
      </w:r>
    </w:p>
    <w:p>
      <w:pPr>
        <w:sectPr>
          <w:pgSz w:w="11900" w:h="16838" w:orient="portrait"/>
          <w:cols w:equalWidth="0" w:num="1">
            <w:col w:w="11140"/>
          </w:cols>
          <w:pgMar w:left="320" w:top="226" w:right="439" w:bottom="1440" w:gutter="0" w:footer="0" w:header="0"/>
        </w:sectPr>
      </w:pP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August 10, 2022</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20" w:type="dxa"/>
            <w:vAlign w:val="bottom"/>
            <w:gridSpan w:val="3"/>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4"/>
          </w:tcPr>
          <w:p>
            <w:pPr>
              <w:jc w:val="right"/>
              <w:ind w:right="4751"/>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283"/>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17"/>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20" w:type="dxa"/>
            <w:vAlign w:val="bottom"/>
            <w:gridSpan w:val="3"/>
          </w:tcPr>
          <w:p>
            <w:pPr>
              <w:jc w:val="right"/>
              <w:ind w:right="5231"/>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283"/>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1940" w:type="dxa"/>
            <w:vAlign w:val="bottom"/>
            <w:gridSpan w:val="8"/>
          </w:tcPr>
          <w:p>
            <w:pPr>
              <w:spacing w:after="0"/>
              <w:rPr>
                <w:sz w:val="18"/>
                <w:szCs w:val="18"/>
                <w:color w:val="auto"/>
              </w:rPr>
            </w:pP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340" w:type="dxa"/>
            <w:vAlign w:val="bottom"/>
            <w:gridSpan w:val="4"/>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800" w:type="dxa"/>
            <w:vAlign w:val="bottom"/>
            <w:gridSpan w:val="7"/>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060" w:type="dxa"/>
            <w:vAlign w:val="bottom"/>
            <w:gridSpan w:val="10"/>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78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93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jc w:val="both"/>
        <w:ind w:left="300" w:right="2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$400,000,000 aggregate principal amount of 3.650% Notes due 2032.</w:t>
            </w:r>
          </w:p>
        </w:tc>
      </w:tr>
      <w:tr>
        <w:trPr>
          <w:trHeight w:val="40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$300,000,000 aggregate principal amount of 4.100% Notes due 2052.</w:t>
            </w:r>
          </w:p>
        </w:tc>
      </w:tr>
      <w:tr>
        <w:trPr>
          <w:trHeight w:val="675"/>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August 16, 2032 for the 2032 Notes.</w:t>
            </w:r>
          </w:p>
        </w:tc>
      </w:tr>
      <w:tr>
        <w:trPr>
          <w:trHeight w:val="418"/>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August 16, 2052 for the 2052 Notes.</w:t>
            </w:r>
          </w:p>
        </w:tc>
      </w:tr>
      <w:tr>
        <w:trPr>
          <w:trHeight w:val="675"/>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August 16, 2022.</w:t>
            </w:r>
          </w:p>
        </w:tc>
      </w:tr>
      <w:tr>
        <w:trPr>
          <w:trHeight w:val="468"/>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Fixed rate of 3.650% for the 2032 Notes.</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Fixed rate of 4.100% for the 2052 Notes.</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Each February 16 and August 16, beginning on February 16, 2023, and on the maturity</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r>
      <w:tr>
        <w:trPr>
          <w:trHeight w:val="441"/>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As of June 30, 2022, Texas Instruments Incorporated had approximately $7.3 billion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June 30, 2022, Texas Instruments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Incorporated had approximately $10.6 billion of total liabilities on a consolidated basis.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$10.6 billion of consolidated total liabilities, approximately $1.0 billion of liabilities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(including trade payables and excluding intercompany debt) were held by subsidiaries of</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 to which the Notes will be effectively subordinated.</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 under “Description of the Notes—Book-</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Entry; Delivery and Form; Global Note,” Notes in certificated form will not be issued or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exchanged for interests in global securities.</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172"/>
        </w:trPr>
        <w:tc>
          <w:tcPr>
            <w:tcW w:w="308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at the redemption prices indicated under the heading “Description of the Notes—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advised us that they intend to make a market in the Notes, but they are not obligated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do so and may 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each series of Notes may not develop.</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are currently no public markets for any series of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1"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2022, we had approximately $10.6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June 30, 2022, Texas Instruments Incorporated would have had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$7.4 billion of total long-term indebtedness (including the Notes, but excluding the current portion of long-term indebtedness), all of which would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been unsecured and unsubordinated.</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$691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June 30, 2022.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142"/>
        </w:trPr>
        <w:tc>
          <w:tcPr>
            <w:tcW w:w="8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2032 Notes offered hereby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2052 Notes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long-term debt</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30"/>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$1 par value. Shares authorized–2400;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issued–1,741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48,280</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(826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(38,532)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(38,532)</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14,092</w:t>
            </w:r>
          </w:p>
        </w:tc>
        <w:tc>
          <w:tcPr>
            <w:tcW w:w="0" w:type="dxa"/>
            <w:vAlign w:val="bottom"/>
          </w:tcPr>
          <w:p>
            <w:pPr>
              <w:spacing w:after="0"/>
              <w:rPr>
                <w:sz w:val="1"/>
                <w:szCs w:val="1"/>
                <w:color w:val="auto"/>
              </w:rPr>
            </w:pPr>
          </w:p>
        </w:tc>
      </w:tr>
      <w:tr>
        <w:trPr>
          <w:trHeight w:val="223"/>
        </w:trPr>
        <w:tc>
          <w:tcPr>
            <w:tcW w:w="88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 billion principal amount of our existing outstanding notes less net unamortized discounts, premiums and debt issuance costs of $56 million, less $499 million representing the current portion of long-term debt.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2032 Notes will mature on August 16, 2032 and the 2052 Notes will mature on August 16, 2052. The Notes will be issued in book-entry form only, in denominations of $2,000 and multiples of $1,000 in excess thereof. Interest on each series of the Notes will accrue from August 16, 2022 at the rate per annum shown on the cover of this prospectus supplement. Interest on the Notes will be payable semi-annually on February 16 and August 16, commencing on February 16, 2023 to the persons in whose names the Notes are registered at the close of business on the preceding February 2 or August 2, as the case may be. Interest on the Notes will be paid to but excluding the relevant interest payment date. Interest on the Notes will be calculated on the basis of a 360-day year comprised of twelve 30-day months.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2022, Texas Instruments Incorporated had approximately $7.3 billion principal amount of outstanding indebtedness. As of June 30, 2022, Texas Instruments Incorporated had approximately $10.6 billion of total liabilities on a consolidated basis. Of the $10.6 billion of consolidated total liabilities, approximately $1.0 billion of liabilities (including trade payables and excluding intercompany debt) were held by subsidiaries of Texas Instruments Incorporated to which the Notes will be effectively subordinated.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June 30, 2022:</w:t>
      </w:r>
    </w:p>
    <w:p>
      <w:pPr>
        <w:spacing w:after="0" w:line="131" w:lineRule="exact"/>
        <w:rPr>
          <w:sz w:val="20"/>
          <w:szCs w:val="20"/>
          <w:color w:val="auto"/>
        </w:rPr>
      </w:pPr>
    </w:p>
    <w:p>
      <w:pPr>
        <w:ind w:left="1080" w:right="5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$7.4 billion of total long-term indebtedness (including the Notes, but excluding the current portion of long-term indebtedness), all of which would constitute senior and unsubordinated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$11.3 billion of total liabilities on a consolidated basis;</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$1.0 billion of liabilities (including trade payables but excluding intercompany debt) to which the Notes would have been structurally subordinated.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either series by issuing additional Notes of such series in the future on the same terms and conditions, except for any differences in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two series of Notes offered 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Prior to the Par Call Date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32" w:lineRule="exact"/>
        <w:rPr>
          <w:sz w:val="20"/>
          <w:szCs w:val="20"/>
          <w:color w:val="auto"/>
        </w:rPr>
      </w:pPr>
    </w:p>
    <w:p>
      <w:pPr>
        <w:ind w:left="120" w:right="380" w:firstLine="436"/>
        <w:spacing w:after="0" w:line="26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plus 15 basis points with respect to the 2032 Notes and 20 basis points with respect to the 2052 Notes less (b) interest accrued to the date of redemption, and</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2032 Notes, May 16, 2032 (the date that is three months prior to the maturity date of the 2032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2052 Notes, February 16, 2052 (the date that is six months prior to the maturity date of the 2052 Notes).</w:t>
      </w:r>
    </w:p>
    <w:p>
      <w:pPr>
        <w:spacing w:after="0" w:line="22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93"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made on account of beneficial ownership interests in the registered global note or for maintaining, supervising or reviewing any records relating to those beneficial ownership interests.</w:t>
      </w:r>
    </w:p>
    <w:p>
      <w:pPr>
        <w:spacing w:after="0" w:line="162"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72"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 and an affiliate of the trustee is an underwriter of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7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Citigroup Global Markets Inc. and U.S. Bancorp Investments,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6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2032 Notes</w:t>
            </w:r>
          </w:p>
        </w:tc>
        <w:tc>
          <w:tcPr>
            <w:tcW w:w="1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2052 Notes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133,334,000</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100,000,000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133,333,000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133,333,000</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400,000,000</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300,000,000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-599440</wp:posOffset>
            </wp:positionV>
            <wp:extent cx="25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-179070</wp:posOffset>
            </wp:positionV>
            <wp:extent cx="25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25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25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38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0.200% per 2032 Note and 0.400% per 2052 Note. Any such securities dealers may resell any Notes purchased from the underwriters to certain other brokers or dealers at a discount from the initial public offering price not to exceed 0.150% per 2032 Note and 0.200% per 2052 Note. If all the Notes are not sold at the initial offering price, the underwriters may change the offering price and the other selling terms.</w:t>
      </w:r>
    </w:p>
    <w:p>
      <w:pPr>
        <w:spacing w:after="0" w:line="18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r>
      <w:tr>
        <w:trPr>
          <w:trHeight w:val="149"/>
        </w:trPr>
        <w:tc>
          <w:tcPr>
            <w:tcW w:w="64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73"/>
        </w:trPr>
        <w:tc>
          <w:tcPr>
            <w:tcW w:w="6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Borders>
              <w:bottom w:val="single" w:sz="8" w:color="CCEEFF"/>
            </w:tcBorders>
          </w:tcPr>
          <w:p>
            <w:pPr>
              <w:spacing w:after="0"/>
              <w:rPr>
                <w:sz w:val="15"/>
                <w:szCs w:val="15"/>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2032 Note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0.350%</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Per 2052 Note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0.600%</w:t>
            </w:r>
          </w:p>
        </w:tc>
      </w:tr>
    </w:tbl>
    <w:p>
      <w:pPr>
        <w:spacing w:after="0" w:line="17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$4.3 million, including underwriting discounts. The underwriters have agreed to reimburse us for certain of our expenses in connection with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fourth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T+4, to specify alternative settlement arrangements to prevent a failed settlement.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In addition, an affiliate of one of the underwriters is the trustee for the Notes and our other debt securities outstanding under the indenture.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7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document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Conflicts </w:t>
      </w:r>
      <w:r>
        <w:rPr>
          <w:rFonts w:ascii="Times New Roman" w:cs="Times New Roman" w:eastAsia="Times New Roman" w:hAnsi="Times New Roman"/>
          <w:sz w:val="18"/>
          <w:szCs w:val="18"/>
          <w:b w:val="1"/>
          <w:bCs w:val="1"/>
          <w:color w:val="auto"/>
        </w:rPr>
        <w:t>(“NI 33-105”). Pursuant to section 3A.3 of NI 33-105, this document is exempt from the requirement to provide investors with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conflicts of interest disclosure pertaining to “connected issuer” and/or “related issuer” relationships as would otherwise be required pursuant to subsection 2.1(1) of NI 33-105.</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1" w:lineRule="exact"/>
        <w:rPr>
          <w:sz w:val="20"/>
          <w:szCs w:val="20"/>
          <w:color w:val="auto"/>
        </w:rPr>
      </w:pPr>
    </w:p>
    <w:p>
      <w:pPr>
        <w:ind w:left="108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Securities and Futures Act Product Classification </w:t>
      </w:r>
      <w:r>
        <w:rPr>
          <w:rFonts w:ascii="Times New Roman" w:cs="Times New Roman" w:eastAsia="Times New Roman" w:hAnsi="Times New Roman"/>
          <w:sz w:val="18"/>
          <w:szCs w:val="18"/>
          <w:color w:val="auto"/>
        </w:rPr>
        <w:t>– Solely for the purposes of its obligations pursuant to sections 309B(1)(a)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4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52">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2021, filed on February 4, 2022, the sections of our Definitive Proxy Statement on </w:t>
      </w:r>
      <w:hyperlink r:id="rId53">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stockholders, filed on March 15, 2022 that are incorporated by reference in 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our Quarterly Reports on Form 10-Q for the quarters ended </w:t>
      </w:r>
      <w:hyperlink r:id="rId54">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xml:space="preserve">, filed on April 27, 2022 and July 27, 2022, respectively, our Current Reports on Form 8-K filed on </w:t>
      </w:r>
      <w:hyperlink r:id="rId56">
        <w:r>
          <w:rPr>
            <w:rFonts w:ascii="Times New Roman" w:cs="Times New Roman" w:eastAsia="Times New Roman" w:hAnsi="Times New Roman"/>
            <w:sz w:val="18"/>
            <w:szCs w:val="18"/>
            <w:u w:val="single" w:color="auto"/>
            <w:color w:val="0000EE"/>
          </w:rPr>
          <w:t>January 26, 2022</w:t>
        </w:r>
      </w:hyperlink>
      <w:r>
        <w:rPr>
          <w:rFonts w:ascii="Times New Roman" w:cs="Times New Roman" w:eastAsia="Times New Roman" w:hAnsi="Times New Roman"/>
          <w:sz w:val="18"/>
          <w:szCs w:val="18"/>
          <w:color w:val="auto"/>
        </w:rPr>
        <w:t xml:space="preserve">, and </w:t>
      </w:r>
      <w:hyperlink r:id="rId57">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8"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0"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668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6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4, 2022</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6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7">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filed on February 4, 2022, the Current Report on </w:t>
      </w:r>
      <w:hyperlink r:id="rId56">
        <w:r>
          <w:rPr>
            <w:rFonts w:ascii="Times New Roman" w:cs="Times New Roman" w:eastAsia="Times New Roman" w:hAnsi="Times New Roman"/>
            <w:sz w:val="17"/>
            <w:szCs w:val="17"/>
            <w:u w:val="single" w:color="auto"/>
            <w:color w:val="0000EE"/>
          </w:rPr>
          <w:t>Form 8-K</w:t>
        </w:r>
      </w:hyperlink>
      <w:r>
        <w:rPr>
          <w:rFonts w:ascii="Times New Roman" w:cs="Times New Roman" w:eastAsia="Times New Roman" w:hAnsi="Times New Roman"/>
          <w:sz w:val="17"/>
          <w:szCs w:val="17"/>
          <w:color w:val="auto"/>
        </w:rPr>
        <w:t xml:space="preserve">, filed on January 26, 2022, the description of our common stock contained in our registration statement on </w:t>
      </w:r>
      <w:hyperlink r:id="rId68">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1" w:lineRule="exact"/>
        <w:rPr>
          <w:rFonts w:ascii="Times New Roman" w:cs="Times New Roman" w:eastAsia="Times New Roman" w:hAnsi="Times New Roman"/>
          <w:sz w:val="17"/>
          <w:szCs w:val="17"/>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rFonts w:ascii="Times New Roman" w:cs="Times New Roman" w:eastAsia="Times New Roman" w:hAnsi="Times New Roman"/>
          <w:sz w:val="17"/>
          <w:szCs w:val="17"/>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rFonts w:ascii="Times New Roman" w:cs="Times New Roman" w:eastAsia="Times New Roman" w:hAnsi="Times New Roman"/>
          <w:sz w:val="17"/>
          <w:szCs w:val="17"/>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5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 ;</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282" w:lineRule="auto"/>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953770</wp:posOffset>
            </wp:positionV>
            <wp:extent cx="2871470" cy="676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287147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5"/>
          <w:szCs w:val="25"/>
          <w:b w:val="1"/>
          <w:bCs w:val="1"/>
          <w:color w:val="auto"/>
        </w:rPr>
        <w:t>$400,000,000 3.650% Notes due 2032</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5"/>
          <w:szCs w:val="25"/>
          <w:b w:val="1"/>
          <w:bCs w:val="1"/>
          <w:color w:val="auto"/>
        </w:rPr>
        <w:t>$300,000,000 4.100% Notes due 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714375</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07" w:lineRule="exact"/>
        <w:rPr>
          <w:sz w:val="20"/>
          <w:szCs w:val="20"/>
          <w:color w:val="auto"/>
        </w:rPr>
      </w:pPr>
    </w:p>
    <w:p>
      <w:pPr>
        <w:ind w:left="120"/>
        <w:spacing w:after="0"/>
        <w:tabs>
          <w:tab w:leader="none" w:pos="5200" w:val="left"/>
          <w:tab w:leader="none" w:pos="96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8"/>
          <w:szCs w:val="28"/>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729615</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424(b)(2)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offerings. The maximum aggregate amount of those offerings is $694,957,000.</w:t>
      </w:r>
    </w:p>
    <w:p>
      <w:pPr>
        <w:spacing w:after="0" w:line="187" w:lineRule="exact"/>
        <w:rPr>
          <w:sz w:val="20"/>
          <w:szCs w:val="20"/>
          <w:color w:val="auto"/>
        </w:rPr>
      </w:pPr>
    </w:p>
    <w:tbl>
      <w:tblPr>
        <w:tblLayout w:type="fixed"/>
        <w:tblInd w:w="1330" w:type="dxa"/>
        <w:tblCellMar>
          <w:top w:w="0" w:type="dxa"/>
          <w:left w:w="0" w:type="dxa"/>
          <w:bottom w:w="0" w:type="dxa"/>
          <w:right w:w="0" w:type="dxa"/>
        </w:tblCellMar>
      </w:tblPr>
      <w:tr>
        <w:trPr>
          <w:trHeight w:val="144"/>
        </w:trPr>
        <w:tc>
          <w:tcPr>
            <w:tcW w:w="100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2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r>
      <w:tr>
        <w:trPr>
          <w:trHeight w:val="135"/>
        </w:trPr>
        <w:tc>
          <w:tcPr>
            <w:tcW w:w="10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2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40"/>
        </w:trPr>
        <w:tc>
          <w:tcPr>
            <w:tcW w:w="1000" w:type="dxa"/>
            <w:vAlign w:val="bottom"/>
            <w:tcBorders>
              <w:left w:val="single" w:sz="8" w:color="auto"/>
              <w:right w:val="single" w:sz="8" w:color="auto"/>
            </w:tcBorders>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or Carry</w:t>
            </w:r>
          </w:p>
        </w:tc>
        <w:tc>
          <w:tcPr>
            <w:tcW w:w="1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12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Maximum</w:t>
            </w:r>
          </w:p>
        </w:tc>
        <w:tc>
          <w:tcPr>
            <w:tcW w:w="7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100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2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 Offering</w:t>
            </w:r>
          </w:p>
        </w:tc>
        <w:tc>
          <w:tcPr>
            <w:tcW w:w="7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100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Amount Registered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33"/>
        </w:trPr>
        <w:tc>
          <w:tcPr>
            <w:tcW w:w="100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09"/>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3.650%</w:t>
            </w: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w:t>
            </w: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$92.70</w:t>
            </w:r>
          </w:p>
        </w:tc>
        <w:tc>
          <w:tcPr>
            <w:tcW w:w="10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w:t>
            </w: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1080" w:type="dxa"/>
            <w:vAlign w:val="bottom"/>
            <w:tcBorders>
              <w:right w:val="single" w:sz="8" w:color="auto"/>
            </w:tcBorders>
          </w:tcPr>
          <w:p>
            <w:pPr>
              <w:spacing w:after="0"/>
              <w:rPr>
                <w:sz w:val="18"/>
                <w:szCs w:val="18"/>
                <w:color w:val="auto"/>
              </w:rPr>
            </w:pPr>
          </w:p>
        </w:tc>
      </w:tr>
      <w:tr>
        <w:trPr>
          <w:trHeight w:val="255"/>
        </w:trPr>
        <w:tc>
          <w:tcPr>
            <w:tcW w:w="1000" w:type="dxa"/>
            <w:vAlign w:val="bottom"/>
            <w:tcBorders>
              <w:left w:val="single" w:sz="8" w:color="auto"/>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$400,000,000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99.709%</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$398,836,000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$36,972.10</w:t>
            </w:r>
          </w:p>
        </w:tc>
      </w:tr>
      <w:tr>
        <w:trPr>
          <w:trHeight w:val="211"/>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4.100%</w:t>
            </w: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w:t>
            </w: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$92.70</w:t>
            </w:r>
          </w:p>
        </w:tc>
        <w:tc>
          <w:tcPr>
            <w:tcW w:w="10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due</w:t>
            </w: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1080" w:type="dxa"/>
            <w:vAlign w:val="bottom"/>
            <w:tcBorders>
              <w:right w:val="single" w:sz="8" w:color="auto"/>
            </w:tcBorders>
          </w:tcPr>
          <w:p>
            <w:pPr>
              <w:spacing w:after="0"/>
              <w:rPr>
                <w:sz w:val="18"/>
                <w:szCs w:val="18"/>
                <w:color w:val="auto"/>
              </w:rPr>
            </w:pPr>
          </w:p>
        </w:tc>
      </w:tr>
      <w:tr>
        <w:trPr>
          <w:trHeight w:val="255"/>
        </w:trPr>
        <w:tc>
          <w:tcPr>
            <w:tcW w:w="1000" w:type="dxa"/>
            <w:vAlign w:val="bottom"/>
            <w:tcBorders>
              <w:left w:val="single" w:sz="8" w:color="auto"/>
              <w:bottom w:val="single" w:sz="8" w:color="auto"/>
              <w:right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Debt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$300,000,000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98.707%</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$296,121,000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$27,450.42</w:t>
            </w:r>
          </w:p>
        </w:tc>
      </w:tr>
      <w:tr>
        <w:trPr>
          <w:trHeight w:val="211"/>
        </w:trPr>
        <w:tc>
          <w:tcPr>
            <w:tcW w:w="100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$92.70</w:t>
            </w:r>
          </w:p>
        </w:tc>
        <w:tc>
          <w:tcPr>
            <w:tcW w:w="1080" w:type="dxa"/>
            <w:vAlign w:val="bottom"/>
            <w:tcBorders>
              <w:right w:val="single" w:sz="8" w:color="auto"/>
            </w:tcBorders>
          </w:tcPr>
          <w:p>
            <w:pPr>
              <w:spacing w:after="0"/>
              <w:rPr>
                <w:sz w:val="18"/>
                <w:szCs w:val="18"/>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w:t>
            </w:r>
          </w:p>
        </w:tc>
        <w:tc>
          <w:tcPr>
            <w:tcW w:w="1080" w:type="dxa"/>
            <w:vAlign w:val="bottom"/>
            <w:tcBorders>
              <w:right w:val="single" w:sz="8" w:color="auto"/>
            </w:tcBorders>
          </w:tcPr>
          <w:p>
            <w:pPr>
              <w:spacing w:after="0"/>
              <w:rPr>
                <w:sz w:val="18"/>
                <w:szCs w:val="18"/>
                <w:color w:val="auto"/>
              </w:rPr>
            </w:pPr>
          </w:p>
        </w:tc>
      </w:tr>
      <w:tr>
        <w:trPr>
          <w:trHeight w:val="234"/>
        </w:trPr>
        <w:tc>
          <w:tcPr>
            <w:tcW w:w="10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TOTAL</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$700,000,000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$694,957,000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$64,422.51</w:t>
            </w:r>
          </w:p>
        </w:tc>
      </w:tr>
      <w:tr>
        <w:trPr>
          <w:trHeight w:val="68"/>
        </w:trPr>
        <w:tc>
          <w:tcPr>
            <w:tcW w:w="1000" w:type="dxa"/>
            <w:vAlign w:val="bottom"/>
            <w:tcBorders>
              <w:left w:val="single" w:sz="8" w:color="auto"/>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lvl w:ilvl="1">
      <w:lvlJc w:val="left"/>
      <w:lvlText w:val="(%2)"/>
      <w:numFmt w:val="decimal"/>
      <w:start w:val="1"/>
    </w:lvl>
  </w:abstractNum>
  <w:abstractNum w:abstractNumId="10">
    <w:nsid w:val="B03E0C6"/>
    <w:multiLevelType w:val="hybridMultilevel"/>
    <w:lvl w:ilvl="0">
      <w:lvlJc w:val="left"/>
      <w:lvlText w:val="•"/>
      <w:numFmt w:val="bullet"/>
      <w:start w:val="1"/>
    </w:lvl>
    <w:lvl w:ilvl="1">
      <w:lvlJc w:val="left"/>
      <w:lvlText w:val="(%2)"/>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
      <w:numFmt w:val="bullet"/>
      <w:start w:val="1"/>
    </w:lvl>
  </w:abstractNum>
  <w:abstractNum w:abstractNumId="30">
    <w:nsid w:val="5072367"/>
    <w:multiLevelType w:val="hybridMultilevel"/>
    <w:lvl w:ilvl="0">
      <w:lvlJc w:val="left"/>
      <w:lvlText w:val="•"/>
      <w:numFmt w:val="bullet"/>
      <w:start w:val="1"/>
    </w:lvl>
    <w:lvl w:ilvl="1">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lvl w:ilvl="1">
      <w:lvlJc w:val="left"/>
      <w:lvlText w:val="•"/>
      <w:numFmt w:val="bullet"/>
      <w:start w:val="1"/>
    </w:lvl>
  </w:abstractNum>
  <w:abstractNum w:abstractNumId="33">
    <w:nsid w:val="7724C67E"/>
    <w:multiLevelType w:val="hybridMultilevel"/>
    <w:lvl w:ilvl="0">
      <w:lvlJc w:val="left"/>
      <w:lvlText w:val="•"/>
      <w:numFmt w:val="bullet"/>
      <w:start w:val="1"/>
    </w:lvl>
    <w:lvl w:ilvl="1">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jpe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jpe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52" Type="http://schemas.openxmlformats.org/officeDocument/2006/relationships/hyperlink" Target="http://www.sec.gov/ix?doc=/Archives/edgar/data/97476/000009747622000009/txn-20211231.htm" TargetMode="External"/><Relationship Id="rId53" Type="http://schemas.openxmlformats.org/officeDocument/2006/relationships/hyperlink" Target="http://www.sec.gov/Archives/edgar/data/97476/000009747622000018/a2022proxystatement.htm" TargetMode="External"/><Relationship Id="rId54" Type="http://schemas.openxmlformats.org/officeDocument/2006/relationships/hyperlink" Target="http://www.sec.gov/ix?doc=/Archives/edgar/data/97476/000009747622000028/txn-20220331.htm" TargetMode="External"/><Relationship Id="rId55" Type="http://schemas.openxmlformats.org/officeDocument/2006/relationships/hyperlink" Target="http://www.sec.gov/ix?doc=/Archives/edgar/data/97476/000009747622000040/txn-20220630.htm" TargetMode="External"/><Relationship Id="rId56" Type="http://schemas.openxmlformats.org/officeDocument/2006/relationships/hyperlink" Target="http://www.sec.gov/ix?doc=/Archives/edgar/data/97476/000119312522018409/d252810d8k.htm" TargetMode="External"/><Relationship Id="rId57" Type="http://schemas.openxmlformats.org/officeDocument/2006/relationships/hyperlink" Target="http://www.sec.gov/ix?doc=/Archives/edgar/data/97476/000009747622000034/txn-20220428.htm" TargetMode="External"/><Relationship Id="rId67" Type="http://schemas.openxmlformats.org/officeDocument/2006/relationships/hyperlink" Target="http://www.sec.gov/ix?doc=/Archives/edgar/data/0000097476/000009747622000009/txn-20211231.htm" TargetMode="External"/><Relationship Id="rId68"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2022-08-13T11:41:26Z</dcterms:created>
  <dcterms:modified xsi:type="dcterms:W3CDTF">2022-08-13T11:41:26Z</dcterms:modified>
</cp:coreProperties>
</file>