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BANKERS TRUST COMPANY</w:t>
      </w:r>
    </w:p>
    <w:p>
      <w:pPr>
        <w:spacing w:after="0" w:line="238" w:lineRule="auto"/>
        <w:rPr>
          <w:sz w:val="20"/>
          <w:szCs w:val="20"/>
          <w:color w:val="auto"/>
        </w:rPr>
      </w:pPr>
      <w:r>
        <w:rPr>
          <w:rFonts w:ascii="Courier New" w:cs="Courier New" w:eastAsia="Courier New" w:hAnsi="Courier New"/>
          <w:sz w:val="18"/>
          <w:szCs w:val="18"/>
          <w:color w:val="auto"/>
        </w:rPr>
        <w:t>One Bankers Trust Plaza</w:t>
      </w:r>
    </w:p>
    <w:p>
      <w:pPr>
        <w:spacing w:after="0"/>
        <w:tabs>
          <w:tab w:leader="none" w:pos="210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10006</w:t>
      </w:r>
    </w:p>
    <w:p>
      <w:pPr>
        <w:spacing w:after="0" w:line="200" w:lineRule="exact"/>
        <w:rPr>
          <w:sz w:val="24"/>
          <w:szCs w:val="24"/>
          <w:color w:val="auto"/>
        </w:rPr>
      </w:pP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Clarke S. Edgar</w:t>
            </w:r>
          </w:p>
        </w:tc>
        <w:tc>
          <w:tcPr>
            <w:tcW w:w="2840" w:type="dxa"/>
            <w:vAlign w:val="bottom"/>
            <w:gridSpan w:val="3"/>
          </w:tcPr>
          <w:p>
            <w:pPr>
              <w:ind w:left="640"/>
              <w:spacing w:after="0"/>
              <w:rPr>
                <w:sz w:val="20"/>
                <w:szCs w:val="20"/>
                <w:color w:val="auto"/>
              </w:rPr>
            </w:pPr>
            <w:r>
              <w:rPr>
                <w:rFonts w:ascii="Courier New" w:cs="Courier New" w:eastAsia="Courier New" w:hAnsi="Courier New"/>
                <w:sz w:val="18"/>
                <w:szCs w:val="18"/>
                <w:color w:val="auto"/>
              </w:rPr>
              <w:t>Mailing Address:</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Vice President</w:t>
            </w:r>
          </w:p>
        </w:tc>
        <w:tc>
          <w:tcPr>
            <w:tcW w:w="154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P.O. Box</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w:t>
            </w:r>
          </w:p>
        </w:tc>
        <w:tc>
          <w:tcPr>
            <w:tcW w:w="88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Telephone: 212-250-9399</w:t>
            </w:r>
          </w:p>
        </w:tc>
        <w:tc>
          <w:tcPr>
            <w:tcW w:w="28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6"/>
              </w:rPr>
              <w:t>Church Street Station</w:t>
            </w:r>
          </w:p>
        </w:tc>
      </w:tr>
      <w:tr>
        <w:trPr>
          <w:trHeight w:val="203"/>
        </w:trPr>
        <w:tc>
          <w:tcPr>
            <w:tcW w:w="3060" w:type="dxa"/>
            <w:vAlign w:val="bottom"/>
          </w:tcPr>
          <w:p>
            <w:pPr>
              <w:spacing w:after="0"/>
              <w:rPr>
                <w:sz w:val="17"/>
                <w:szCs w:val="17"/>
                <w:color w:val="auto"/>
              </w:rPr>
            </w:pPr>
          </w:p>
        </w:tc>
        <w:tc>
          <w:tcPr>
            <w:tcW w:w="196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New York, NY</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10008</w:t>
            </w:r>
          </w:p>
        </w:tc>
      </w:tr>
      <w:tr>
        <w:trPr>
          <w:trHeight w:val="608"/>
        </w:trPr>
        <w:tc>
          <w:tcPr>
            <w:tcW w:w="3060" w:type="dxa"/>
            <w:vAlign w:val="bottom"/>
          </w:tcPr>
          <w:p>
            <w:pPr>
              <w:spacing w:after="0"/>
              <w:rPr>
                <w:sz w:val="24"/>
                <w:szCs w:val="24"/>
                <w:color w:val="auto"/>
              </w:rPr>
            </w:pPr>
          </w:p>
        </w:tc>
        <w:tc>
          <w:tcPr>
            <w:tcW w:w="1540" w:type="dxa"/>
            <w:vAlign w:val="bottom"/>
          </w:tcPr>
          <w:p>
            <w:pPr>
              <w:ind w:left="640"/>
              <w:spacing w:after="0"/>
              <w:rPr>
                <w:sz w:val="20"/>
                <w:szCs w:val="20"/>
                <w:color w:val="auto"/>
              </w:rPr>
            </w:pPr>
            <w:r>
              <w:rPr>
                <w:rFonts w:ascii="Courier New" w:cs="Courier New" w:eastAsia="Courier New" w:hAnsi="Courier New"/>
                <w:sz w:val="18"/>
                <w:szCs w:val="18"/>
                <w:color w:val="auto"/>
              </w:rPr>
              <w:t>February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1995</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SEC Document Control</w:t>
      </w:r>
    </w:p>
    <w:p>
      <w:pPr>
        <w:spacing w:after="0"/>
        <w:rPr>
          <w:sz w:val="20"/>
          <w:szCs w:val="20"/>
          <w:color w:val="auto"/>
        </w:rPr>
      </w:pPr>
      <w:r>
        <w:rPr>
          <w:rFonts w:ascii="Courier New" w:cs="Courier New" w:eastAsia="Courier New" w:hAnsi="Courier New"/>
          <w:sz w:val="18"/>
          <w:szCs w:val="18"/>
          <w:color w:val="auto"/>
        </w:rPr>
        <w:t>450 Fifth Street, N.W.</w:t>
      </w:r>
    </w:p>
    <w:p>
      <w:pPr>
        <w:spacing w:after="0"/>
        <w:tabs>
          <w:tab w:leader="none" w:pos="16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tabs>
          <w:tab w:leader="none" w:pos="72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Filing Desk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Sirs:</w:t>
      </w:r>
    </w:p>
    <w:p>
      <w:pPr>
        <w:spacing w:after="0" w:line="201" w:lineRule="exact"/>
        <w:rPr>
          <w:sz w:val="24"/>
          <w:szCs w:val="24"/>
          <w:color w:val="auto"/>
        </w:rPr>
      </w:pPr>
    </w:p>
    <w:p>
      <w:pPr>
        <w:ind w:left="540"/>
        <w:spacing w:after="0"/>
        <w:tabs>
          <w:tab w:leader="none" w:pos="104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6"/>
          <w:szCs w:val="16"/>
          <w:color w:val="auto"/>
        </w:rPr>
        <w:t>Filing of Schedule 13G on</w:t>
      </w:r>
    </w:p>
    <w:p>
      <w:pPr>
        <w:ind w:left="1060"/>
        <w:spacing w:after="0" w:line="238" w:lineRule="auto"/>
        <w:rPr>
          <w:sz w:val="20"/>
          <w:szCs w:val="20"/>
          <w:color w:val="auto"/>
        </w:rPr>
      </w:pPr>
      <w:r>
        <w:rPr>
          <w:rFonts w:ascii="Courier New" w:cs="Courier New" w:eastAsia="Courier New" w:hAnsi="Courier New"/>
          <w:sz w:val="18"/>
          <w:szCs w:val="18"/>
          <w:color w:val="auto"/>
        </w:rPr>
        <w:t>Texas Instruments Inc.</w:t>
      </w:r>
    </w:p>
    <w:p>
      <w:pPr>
        <w:spacing w:after="0" w:line="200" w:lineRule="exact"/>
        <w:rPr>
          <w:sz w:val="24"/>
          <w:szCs w:val="24"/>
          <w:color w:val="auto"/>
        </w:rPr>
      </w:pPr>
    </w:p>
    <w:p>
      <w:pPr>
        <w:spacing w:after="0" w:line="210"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Pursuant to Rule 13d-1 of the General Rules and Regulations under the Securities Exchange Act of 1934, the following is one copy of the Schedule 13G with respect to the common stock of the above referenced corporation.</w:t>
      </w:r>
    </w:p>
    <w:p>
      <w:pPr>
        <w:spacing w:after="0" w:line="207"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Please acknowledge your receipt of the Schedule 13G filing submission through the EDGAR-Link System software, by E-Mail confirmation.</w:t>
      </w: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/s/Clarke S. Edgar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Enclosures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SECURITIES AND EXCHANGE COMMISSION</w:t>
      </w:r>
    </w:p>
    <w:p>
      <w:pPr>
        <w:ind w:left="1900"/>
        <w:spacing w:after="0"/>
        <w:tabs>
          <w:tab w:leader="none" w:pos="378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39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4099"/>
        <w:spacing w:after="0"/>
        <w:tabs>
          <w:tab w:leader="none" w:pos="20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1 )*</w:t>
      </w:r>
    </w:p>
    <w:p>
      <w:pPr>
        <w:ind w:left="3480"/>
        <w:spacing w:after="0"/>
        <w:rPr>
          <w:sz w:val="20"/>
          <w:szCs w:val="20"/>
          <w:color w:val="auto"/>
        </w:rPr>
      </w:pPr>
      <w:r>
        <w:rPr>
          <w:rFonts w:ascii="Courier New" w:cs="Courier New" w:eastAsia="Courier New" w:hAnsi="Courier New"/>
          <w:sz w:val="18"/>
          <w:szCs w:val="18"/>
          <w:color w:val="auto"/>
        </w:rPr>
        <w:t>____</w:t>
      </w:r>
    </w:p>
    <w:p>
      <w:pPr>
        <w:spacing w:after="0" w:line="200"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Texas Instruments Inc.</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2320"/>
        <w:spacing w:after="0"/>
        <w:rPr>
          <w:sz w:val="20"/>
          <w:szCs w:val="20"/>
          <w:color w:val="auto"/>
        </w:rPr>
      </w:pPr>
      <w:r>
        <w:rPr>
          <w:rFonts w:ascii="Courier New" w:cs="Courier New" w:eastAsia="Courier New" w:hAnsi="Courier New"/>
          <w:sz w:val="18"/>
          <w:szCs w:val="18"/>
          <w:color w:val="auto"/>
        </w:rPr>
        <w:t>NAME OF ISSUER:</w:t>
      </w:r>
    </w:p>
    <w:p>
      <w:pPr>
        <w:ind w:left="1480"/>
        <w:spacing w:after="0" w:line="237" w:lineRule="auto"/>
        <w:rPr>
          <w:sz w:val="20"/>
          <w:szCs w:val="20"/>
          <w:color w:val="auto"/>
        </w:rPr>
      </w:pPr>
      <w:r>
        <w:rPr>
          <w:rFonts w:ascii="Courier New" w:cs="Courier New" w:eastAsia="Courier New" w:hAnsi="Courier New"/>
          <w:sz w:val="18"/>
          <w:szCs w:val="18"/>
          <w:color w:val="auto"/>
        </w:rPr>
        <w:t>Common Stock (Par Value $1.00)</w:t>
      </w:r>
    </w:p>
    <w:p>
      <w:pPr>
        <w:ind w:left="1060"/>
        <w:spacing w:after="0" w:line="238" w:lineRule="auto"/>
        <w:rPr>
          <w:sz w:val="20"/>
          <w:szCs w:val="20"/>
          <w:color w:val="auto"/>
        </w:rPr>
      </w:pPr>
      <w:r>
        <w:rPr>
          <w:rFonts w:ascii="Courier New" w:cs="Courier New" w:eastAsia="Courier New" w:hAnsi="Courier New"/>
          <w:sz w:val="18"/>
          <w:szCs w:val="18"/>
          <w:color w:val="auto"/>
        </w:rPr>
        <w:t>_______________________________________</w:t>
      </w:r>
    </w:p>
    <w:p>
      <w:pPr>
        <w:ind w:left="1580"/>
        <w:spacing w:after="0"/>
        <w:rPr>
          <w:sz w:val="20"/>
          <w:szCs w:val="20"/>
          <w:color w:val="auto"/>
        </w:rPr>
      </w:pPr>
      <w:r>
        <w:rPr>
          <w:rFonts w:ascii="Courier New" w:cs="Courier New" w:eastAsia="Courier New" w:hAnsi="Courier New"/>
          <w:sz w:val="18"/>
          <w:szCs w:val="18"/>
          <w:color w:val="auto"/>
        </w:rPr>
        <w:t>TITLE OF CLASS OF SECURITIES</w:t>
      </w:r>
    </w:p>
    <w:p>
      <w:pPr>
        <w:ind w:left="2640"/>
        <w:spacing w:after="0" w:line="237" w:lineRule="auto"/>
        <w:rPr>
          <w:sz w:val="20"/>
          <w:szCs w:val="20"/>
          <w:color w:val="auto"/>
        </w:rPr>
      </w:pPr>
      <w:r>
        <w:rPr>
          <w:rFonts w:ascii="Courier New" w:cs="Courier New" w:eastAsia="Courier New" w:hAnsi="Courier New"/>
          <w:sz w:val="18"/>
          <w:szCs w:val="18"/>
          <w:color w:val="auto"/>
        </w:rPr>
        <w:t>882508104</w:t>
      </w:r>
    </w:p>
    <w:p>
      <w:pPr>
        <w:ind w:left="1060"/>
        <w:spacing w:after="0"/>
        <w:rPr>
          <w:sz w:val="20"/>
          <w:szCs w:val="20"/>
          <w:color w:val="auto"/>
        </w:rPr>
      </w:pPr>
      <w:r>
        <w:rPr>
          <w:rFonts w:ascii="Courier New" w:cs="Courier New" w:eastAsia="Courier New" w:hAnsi="Courier New"/>
          <w:sz w:val="18"/>
          <w:szCs w:val="18"/>
          <w:color w:val="auto"/>
        </w:rPr>
        <w:t>_______________________________________</w:t>
      </w:r>
    </w:p>
    <w:p>
      <w:pPr>
        <w:ind w:left="2440"/>
        <w:spacing w:after="0" w:line="237"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left="540" w:right="4099"/>
        <w:spacing w:after="0" w:line="273"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five percent of the class of securities described in Item</w:t>
      </w:r>
    </w:p>
    <w:p>
      <w:pPr>
        <w:sectPr>
          <w:pgSz w:w="11900" w:h="16850" w:orient="portrait"/>
          <w:cols w:equalWidth="0" w:num="1">
            <w:col w:w="10219"/>
          </w:cols>
          <w:pgMar w:left="240" w:top="244" w:right="1440" w:bottom="0" w:gutter="0" w:footer="0" w:header="0"/>
        </w:sectPr>
      </w:pPr>
    </w:p>
    <w:bookmarkStart w:id="1" w:name="page2"/>
    <w:bookmarkEnd w:id="1"/>
    <w:p>
      <w:pPr>
        <w:ind w:right="3999"/>
        <w:spacing w:after="0" w:line="236" w:lineRule="auto"/>
        <w:rPr>
          <w:sz w:val="20"/>
          <w:szCs w:val="20"/>
          <w:color w:val="auto"/>
        </w:rPr>
      </w:pPr>
      <w:r>
        <w:rPr>
          <w:rFonts w:ascii="Courier New" w:cs="Courier New" w:eastAsia="Courier New" w:hAnsi="Courier New"/>
          <w:sz w:val="18"/>
          <w:szCs w:val="18"/>
          <w:color w:val="auto"/>
        </w:rPr>
        <w:t>1; and (2) has filed no amendment subsequent thereto reporting beneficial ownership of five percent or less of such class.) (See Rule 13d-7.)</w:t>
      </w:r>
    </w:p>
    <w:p>
      <w:pPr>
        <w:spacing w:after="0" w:line="209"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0" w:lineRule="exact"/>
        <w:rPr>
          <w:sz w:val="20"/>
          <w:szCs w:val="20"/>
          <w:color w:val="auto"/>
        </w:rPr>
      </w:pPr>
    </w:p>
    <w:p>
      <w:pPr>
        <w:ind w:right="4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0"/>
          <w:szCs w:val="20"/>
          <w:color w:val="auto"/>
        </w:rPr>
      </w:pPr>
    </w:p>
    <w:p>
      <w:pPr>
        <w:spacing w:after="0" w:line="208"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9679"/>
          </w:cols>
          <w:pgMar w:left="78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CUSIP No.</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882508104</w:t>
            </w:r>
          </w:p>
        </w:tc>
        <w:tc>
          <w:tcPr>
            <w:tcW w:w="1220" w:type="dxa"/>
            <w:vAlign w:val="bottom"/>
          </w:tcPr>
          <w:p>
            <w:pPr>
              <w:ind w:left="740"/>
              <w:spacing w:after="0"/>
              <w:rPr>
                <w:sz w:val="20"/>
                <w:szCs w:val="20"/>
                <w:color w:val="auto"/>
              </w:rPr>
            </w:pPr>
            <w:r>
              <w:rPr>
                <w:rFonts w:ascii="Courier New" w:cs="Courier New" w:eastAsia="Courier New" w:hAnsi="Courier New"/>
                <w:sz w:val="18"/>
                <w:szCs w:val="18"/>
                <w:color w:val="auto"/>
              </w:rPr>
              <w:t>Page</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2 of 6</w:t>
            </w:r>
          </w:p>
        </w:tc>
        <w:tc>
          <w:tcPr>
            <w:tcW w:w="580" w:type="dxa"/>
            <w:vAlign w:val="bottom"/>
          </w:tcPr>
          <w:p>
            <w:pPr>
              <w:ind w:left="40"/>
              <w:spacing w:after="0"/>
              <w:rPr>
                <w:sz w:val="20"/>
                <w:szCs w:val="20"/>
                <w:color w:val="auto"/>
              </w:rPr>
            </w:pPr>
            <w:r>
              <w:rPr>
                <w:rFonts w:ascii="Courier New" w:cs="Courier New" w:eastAsia="Courier New" w:hAnsi="Courier New"/>
                <w:sz w:val="18"/>
                <w:szCs w:val="18"/>
                <w:color w:val="auto"/>
                <w:w w:val="96"/>
              </w:rPr>
              <w:t>Pages</w:t>
            </w:r>
          </w:p>
        </w:tc>
      </w:tr>
      <w:tr>
        <w:trPr>
          <w:trHeight w:val="608"/>
        </w:trPr>
        <w:tc>
          <w:tcPr>
            <w:tcW w:w="700" w:type="dxa"/>
            <w:vAlign w:val="bottom"/>
          </w:tcPr>
          <w:p>
            <w:pPr>
              <w:jc w:val="right"/>
              <w:spacing w:after="0"/>
              <w:rPr>
                <w:sz w:val="20"/>
                <w:szCs w:val="20"/>
                <w:color w:val="auto"/>
              </w:rPr>
            </w:pPr>
            <w:r>
              <w:rPr>
                <w:rFonts w:ascii="Courier New" w:cs="Courier New" w:eastAsia="Courier New" w:hAnsi="Courier New"/>
                <w:sz w:val="18"/>
                <w:szCs w:val="18"/>
                <w:color w:val="auto"/>
                <w:w w:val="95"/>
              </w:rPr>
              <w:t>1.NAME</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OF</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REPORTING PERSON</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3"/>
        </w:trPr>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S.S.</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w:t>
            </w:r>
          </w:p>
        </w:tc>
        <w:tc>
          <w:tcPr>
            <w:tcW w:w="37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I.R.S. IDENTIFICATION NO. OF ABOVE</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spacing w:after="0"/>
              <w:rPr>
                <w:sz w:val="17"/>
                <w:szCs w:val="17"/>
                <w:color w:val="auto"/>
              </w:rPr>
            </w:pPr>
          </w:p>
        </w:tc>
      </w:tr>
    </w:tbl>
    <w:p>
      <w:pPr>
        <w:spacing w:after="0" w:line="207" w:lineRule="exact"/>
        <w:rPr>
          <w:sz w:val="20"/>
          <w:szCs w:val="20"/>
          <w:color w:val="auto"/>
        </w:rPr>
      </w:pPr>
    </w:p>
    <w:p>
      <w:pPr>
        <w:ind w:left="220" w:right="3899"/>
        <w:spacing w:after="0" w:line="237" w:lineRule="auto"/>
        <w:rPr>
          <w:sz w:val="20"/>
          <w:szCs w:val="20"/>
          <w:color w:val="auto"/>
        </w:rPr>
      </w:pPr>
      <w:r>
        <w:rPr>
          <w:rFonts w:ascii="Courier New" w:cs="Courier New" w:eastAsia="Courier New" w:hAnsi="Courier New"/>
          <w:sz w:val="18"/>
          <w:szCs w:val="18"/>
          <w:color w:val="auto"/>
        </w:rPr>
        <w:t>Bankers Trust New York Corporation and its wholly-owned subsidiary, Bankers Trust Company, as Trustee for various trusts, and employee benefit plans, and investment advisor 13-6180473</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2.CHECK THE APPROPRIATE BOX IF A MEMBER OF A GROUP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580" w:hanging="519"/>
        <w:spacing w:after="0" w:line="238" w:lineRule="auto"/>
        <w:tabs>
          <w:tab w:leader="none" w:pos="15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3.SEC USE ONLY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4.CITIZENSHIP OR PLACE OF ORGANIZATION</w:t>
      </w:r>
    </w:p>
    <w:p>
      <w:pPr>
        <w:spacing w:after="0" w:line="207" w:lineRule="exact"/>
        <w:rPr>
          <w:sz w:val="20"/>
          <w:szCs w:val="20"/>
          <w:color w:val="auto"/>
        </w:rPr>
      </w:pPr>
    </w:p>
    <w:p>
      <w:pPr>
        <w:ind w:left="220" w:right="3999"/>
        <w:spacing w:after="0" w:line="235" w:lineRule="auto"/>
        <w:rPr>
          <w:sz w:val="20"/>
          <w:szCs w:val="20"/>
          <w:color w:val="auto"/>
        </w:rPr>
      </w:pPr>
      <w:r>
        <w:rPr>
          <w:rFonts w:ascii="Courier New" w:cs="Courier New" w:eastAsia="Courier New" w:hAnsi="Courier New"/>
          <w:sz w:val="18"/>
          <w:szCs w:val="18"/>
          <w:color w:val="auto"/>
        </w:rPr>
        <w:t>Both Bankers Trust New York Corporation and Bankers Trust Company are New York Corporations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NUMBER OF</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SHARES</w:t>
            </w:r>
          </w:p>
        </w:tc>
        <w:tc>
          <w:tcPr>
            <w:tcW w:w="42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948,474</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405"/>
        </w:trPr>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OWNED BY</w:t>
            </w:r>
          </w:p>
        </w:tc>
        <w:tc>
          <w:tcPr>
            <w:tcW w:w="42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2,000</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EACH</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42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1,678,686</w:t>
            </w:r>
          </w:p>
        </w:tc>
      </w:tr>
      <w:tr>
        <w:trPr>
          <w:trHeight w:val="405"/>
        </w:trPr>
        <w:tc>
          <w:tcPr>
            <w:tcW w:w="1440" w:type="dxa"/>
            <w:vAlign w:val="bottom"/>
          </w:tcPr>
          <w:p>
            <w:pPr>
              <w:ind w:left="120"/>
              <w:spacing w:after="0"/>
              <w:rPr>
                <w:sz w:val="20"/>
                <w:szCs w:val="20"/>
                <w:color w:val="auto"/>
              </w:rPr>
            </w:pPr>
            <w:r>
              <w:rPr>
                <w:rFonts w:ascii="Courier New" w:cs="Courier New" w:eastAsia="Courier New" w:hAnsi="Courier New"/>
                <w:sz w:val="18"/>
                <w:szCs w:val="18"/>
                <w:color w:val="auto"/>
              </w:rPr>
              <w:t>PERSON</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40" w:type="dxa"/>
            <w:vAlign w:val="bottom"/>
          </w:tcPr>
          <w:p>
            <w:pPr>
              <w:ind w:left="220"/>
              <w:spacing w:after="0"/>
              <w:rPr>
                <w:sz w:val="20"/>
                <w:szCs w:val="20"/>
                <w:color w:val="auto"/>
              </w:rPr>
            </w:pPr>
            <w:r>
              <w:rPr>
                <w:rFonts w:ascii="Courier New" w:cs="Courier New" w:eastAsia="Courier New" w:hAnsi="Courier New"/>
                <w:sz w:val="18"/>
                <w:szCs w:val="18"/>
                <w:color w:val="auto"/>
              </w:rPr>
              <w:t>WITH</w:t>
            </w:r>
          </w:p>
        </w:tc>
        <w:tc>
          <w:tcPr>
            <w:tcW w:w="420" w:type="dxa"/>
            <w:vAlign w:val="bottom"/>
          </w:tcPr>
          <w:p>
            <w:pPr>
              <w:spacing w:after="0"/>
              <w:rPr>
                <w:sz w:val="24"/>
                <w:szCs w:val="24"/>
                <w:color w:val="auto"/>
              </w:rPr>
            </w:pPr>
          </w:p>
        </w:tc>
        <w:tc>
          <w:tcPr>
            <w:tcW w:w="2580" w:type="dxa"/>
            <w:vAlign w:val="bottom"/>
          </w:tcPr>
          <w:p>
            <w:pPr>
              <w:ind w:left="260"/>
              <w:spacing w:after="0"/>
              <w:rPr>
                <w:sz w:val="20"/>
                <w:szCs w:val="20"/>
                <w:color w:val="auto"/>
              </w:rPr>
            </w:pPr>
            <w:r>
              <w:rPr>
                <w:rFonts w:ascii="Courier New" w:cs="Courier New" w:eastAsia="Courier New" w:hAnsi="Courier New"/>
                <w:sz w:val="18"/>
                <w:szCs w:val="18"/>
                <w:color w:val="auto"/>
              </w:rPr>
              <w:t>2,000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9.AGGREGATE AMOUNT BENEFICIALLY OWNED BY EACH REPORTING PERSON</w:t>
      </w:r>
    </w:p>
    <w:p>
      <w:pPr>
        <w:spacing w:after="0" w:line="21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1,680,686</w:t>
      </w:r>
    </w:p>
    <w:p>
      <w:pPr>
        <w:spacing w:after="0" w:line="207" w:lineRule="exact"/>
        <w:rPr>
          <w:sz w:val="20"/>
          <w:szCs w:val="20"/>
          <w:color w:val="auto"/>
        </w:rPr>
      </w:pPr>
    </w:p>
    <w:p>
      <w:pPr>
        <w:ind w:left="320" w:right="3579" w:hanging="315"/>
        <w:spacing w:after="0" w:line="235" w:lineRule="auto"/>
        <w:rPr>
          <w:sz w:val="20"/>
          <w:szCs w:val="20"/>
          <w:color w:val="auto"/>
        </w:rPr>
      </w:pPr>
      <w:r>
        <w:rPr>
          <w:rFonts w:ascii="Courier New" w:cs="Courier New" w:eastAsia="Courier New" w:hAnsi="Courier New"/>
          <w:sz w:val="18"/>
          <w:szCs w:val="18"/>
          <w:color w:val="auto"/>
        </w:rPr>
        <w:t>10.CHECK BOX IF THE AGGREGATE AMOUNT IN ROW(9) EXCLUDES CERTAIN SHARES *</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11.PERCENT OF CLASS REPRESENTED BY AMOUNT IN ROW 9</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12.TYPE OF REPORTING PERSON *</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Bankers Trust New York Corporation - HC</w:t>
      </w:r>
    </w:p>
    <w:p>
      <w:pPr>
        <w:ind w:left="540"/>
        <w:spacing w:after="0" w:line="238" w:lineRule="auto"/>
        <w:rPr>
          <w:sz w:val="20"/>
          <w:szCs w:val="20"/>
          <w:color w:val="auto"/>
        </w:rPr>
      </w:pPr>
      <w:r>
        <w:rPr>
          <w:rFonts w:ascii="Courier New" w:cs="Courier New" w:eastAsia="Courier New" w:hAnsi="Courier New"/>
          <w:sz w:val="18"/>
          <w:szCs w:val="18"/>
          <w:color w:val="auto"/>
        </w:rPr>
        <w:t>Bankers Trust Company - BK</w:t>
      </w:r>
    </w:p>
    <w:p>
      <w:pPr>
        <w:sectPr>
          <w:pgSz w:w="11900" w:h="16838" w:orient="portrait"/>
          <w:cols w:equalWidth="0" w:num="1">
            <w:col w:w="10219"/>
          </w:cols>
          <w:pgMar w:left="240" w:top="514" w:right="1440" w:bottom="1440" w:gutter="0" w:footer="0" w:header="0"/>
        </w:sectPr>
      </w:pPr>
    </w:p>
    <w:bookmarkStart w:id="3" w:name="page4"/>
    <w:bookmarkEnd w:id="3"/>
    <w:p>
      <w:pPr>
        <w:ind w:left="580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jc w:val="center"/>
        <w:ind w:right="3679"/>
        <w:spacing w:after="0"/>
        <w:rPr>
          <w:sz w:val="20"/>
          <w:szCs w:val="20"/>
          <w:color w:val="auto"/>
        </w:rPr>
      </w:pPr>
      <w:r>
        <w:rPr>
          <w:rFonts w:ascii="Courier New" w:cs="Courier New" w:eastAsia="Courier New" w:hAnsi="Courier New"/>
          <w:sz w:val="18"/>
          <w:szCs w:val="18"/>
          <w:color w:val="auto"/>
        </w:rPr>
        <w:t>DISCLAIMER OF BENEFICIAL OWNERSHIP</w:t>
      </w:r>
    </w:p>
    <w:p>
      <w:pPr>
        <w:spacing w:after="0" w:line="207" w:lineRule="exact"/>
        <w:rPr>
          <w:sz w:val="20"/>
          <w:szCs w:val="20"/>
          <w:color w:val="auto"/>
        </w:rPr>
      </w:pPr>
    </w:p>
    <w:p>
      <w:pPr>
        <w:ind w:left="540" w:right="3679"/>
        <w:spacing w:after="0" w:line="237" w:lineRule="auto"/>
        <w:rPr>
          <w:sz w:val="20"/>
          <w:szCs w:val="20"/>
          <w:color w:val="auto"/>
        </w:rPr>
      </w:pPr>
      <w:r>
        <w:rPr>
          <w:rFonts w:ascii="Courier New" w:cs="Courier New" w:eastAsia="Courier New" w:hAnsi="Courier New"/>
          <w:sz w:val="18"/>
          <w:szCs w:val="18"/>
          <w:color w:val="auto"/>
        </w:rPr>
        <w:t>THE FILING OF THIS SCHEDULE G STATEMENT SHALL NOT BE CONSTRUED AS AN ADMISSION THAT BANKERS TRUST NEW YORK CORPORATION OR BANKERS TRUST COMPANY, AS TRUSTEE (THE "BANK") IS, FOR THE PURPOSE OF SECTION 13(g) OF THE SECURITIES AND EXCHANGE ACT OF 1934, OR FOR ANY OTHER PURPOSE, THE BENEFICIAL OWNER OF THE SECURITIES SET FORTH IN ITEM 4(a)(i) HEREOF.</w:t>
      </w:r>
    </w:p>
    <w:p>
      <w:pPr>
        <w:spacing w:after="0" w:line="20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Texas Instruments Inc.</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13500 North Central Expressway</w:t>
      </w:r>
    </w:p>
    <w:p>
      <w:pPr>
        <w:ind w:left="1380"/>
        <w:spacing w:after="0" w:line="238" w:lineRule="auto"/>
        <w:rPr>
          <w:sz w:val="20"/>
          <w:szCs w:val="20"/>
          <w:color w:val="auto"/>
        </w:rPr>
      </w:pPr>
      <w:r>
        <w:rPr>
          <w:rFonts w:ascii="Courier New" w:cs="Courier New" w:eastAsia="Courier New" w:hAnsi="Courier New"/>
          <w:sz w:val="18"/>
          <w:szCs w:val="18"/>
          <w:color w:val="auto"/>
        </w:rPr>
        <w:t>P.O. Box 655474</w:t>
      </w:r>
    </w:p>
    <w:p>
      <w:pPr>
        <w:ind w:left="1380"/>
        <w:spacing w:after="0"/>
        <w:tabs>
          <w:tab w:leader="none" w:pos="262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pacing w:after="0" w:line="20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7" w:lineRule="exact"/>
        <w:rPr>
          <w:sz w:val="20"/>
          <w:szCs w:val="20"/>
          <w:color w:val="auto"/>
        </w:rPr>
      </w:pPr>
    </w:p>
    <w:p>
      <w:pPr>
        <w:jc w:val="both"/>
        <w:ind w:left="1380" w:right="3479"/>
        <w:spacing w:after="0" w:line="237" w:lineRule="auto"/>
        <w:rPr>
          <w:sz w:val="20"/>
          <w:szCs w:val="20"/>
          <w:color w:val="auto"/>
        </w:rPr>
      </w:pPr>
      <w:r>
        <w:rPr>
          <w:rFonts w:ascii="Courier New" w:cs="Courier New" w:eastAsia="Courier New" w:hAnsi="Courier New"/>
          <w:sz w:val="18"/>
          <w:szCs w:val="18"/>
          <w:color w:val="auto"/>
        </w:rPr>
        <w:t>Bankers Trust New York Corporation, and its wholly-owned subsidiary, Bankers Trust Company, as Trustee for various trusts, and employee benefit plans, and investment advisor .</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280 Park Avenue</w:t>
      </w:r>
    </w:p>
    <w:p>
      <w:pPr>
        <w:ind w:left="1380"/>
        <w:spacing w:after="0" w:line="238" w:lineRule="auto"/>
        <w:tabs>
          <w:tab w:leader="none" w:pos="3460" w:val="left"/>
        </w:tabs>
        <w:rPr>
          <w:sz w:val="20"/>
          <w:szCs w:val="20"/>
          <w:color w:val="auto"/>
        </w:rPr>
      </w:pPr>
      <w:r>
        <w:rPr>
          <w:rFonts w:ascii="Courier New" w:cs="Courier New" w:eastAsia="Courier New" w:hAnsi="Courier New"/>
          <w:sz w:val="18"/>
          <w:szCs w:val="18"/>
          <w:color w:val="auto"/>
        </w:rPr>
        <w:t>New York, New York</w:t>
        <w:tab/>
        <w:t>10017</w:t>
      </w:r>
    </w:p>
    <w:p>
      <w:pPr>
        <w:spacing w:after="0" w:line="202"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Bankers Trust New York Corporation and Bankers Trust Company, as Trustee for various trusts, and employee benefit plans, and investment advisor, are both corporations incorporated in the State of New York with their principal business offices located in New York.</w:t>
      </w: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7" w:lineRule="exact"/>
        <w:rPr>
          <w:sz w:val="20"/>
          <w:szCs w:val="20"/>
          <w:color w:val="auto"/>
        </w:rPr>
      </w:pPr>
    </w:p>
    <w:p>
      <w:pPr>
        <w:ind w:left="1380" w:right="3479"/>
        <w:spacing w:after="0" w:line="235" w:lineRule="auto"/>
        <w:rPr>
          <w:sz w:val="20"/>
          <w:szCs w:val="20"/>
          <w:color w:val="auto"/>
        </w:rPr>
      </w:pPr>
      <w:r>
        <w:rPr>
          <w:rFonts w:ascii="Courier New" w:cs="Courier New" w:eastAsia="Courier New" w:hAnsi="Courier New"/>
          <w:sz w:val="18"/>
          <w:szCs w:val="18"/>
          <w:color w:val="auto"/>
        </w:rPr>
        <w:t>Common Stock (Par Value $1.00) of Texas Instruments Inc., a Delaware corporation.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882508104</w:t>
      </w:r>
    </w:p>
    <w:p>
      <w:pPr>
        <w:sectPr>
          <w:pgSz w:w="11900" w:h="16838" w:orient="portrait"/>
          <w:cols w:equalWidth="0" w:num="1">
            <w:col w:w="10219"/>
          </w:cols>
          <w:pgMar w:left="240" w:top="514" w:right="1440" w:bottom="1440" w:gutter="0" w:footer="0" w:header="0"/>
        </w:sectPr>
      </w:pPr>
    </w:p>
    <w:bookmarkStart w:id="4" w:name="page5"/>
    <w:bookmarkEnd w:id="4"/>
    <w:p>
      <w:pPr>
        <w:ind w:left="580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IS A:</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 Bankers Trust New York Corporation,</w:t>
      </w:r>
    </w:p>
    <w:p>
      <w:pPr>
        <w:spacing w:after="0" w:line="207" w:lineRule="exact"/>
        <w:rPr>
          <w:sz w:val="20"/>
          <w:szCs w:val="20"/>
          <w:color w:val="auto"/>
        </w:rPr>
      </w:pPr>
    </w:p>
    <w:p>
      <w:pPr>
        <w:ind w:left="1800" w:right="3999" w:hanging="1160"/>
        <w:spacing w:after="0" w:line="235" w:lineRule="auto"/>
        <w:tabs>
          <w:tab w:leader="none" w:pos="137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240.13d-1(b)(ii)(G)</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For Bankers Trust Company,</w:t>
      </w:r>
    </w:p>
    <w:p>
      <w:pPr>
        <w:spacing w:after="0" w:line="201" w:lineRule="exact"/>
        <w:rPr>
          <w:sz w:val="20"/>
          <w:szCs w:val="20"/>
          <w:color w:val="auto"/>
        </w:rPr>
      </w:pPr>
    </w:p>
    <w:p>
      <w:pPr>
        <w:ind w:left="1380" w:hanging="740"/>
        <w:spacing w:after="0"/>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3(a)(6) of the Act.</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380" w:hanging="740"/>
        <w:spacing w:after="0"/>
        <w:tabs>
          <w:tab w:leader="none" w:pos="1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6" w:lineRule="exact"/>
        <w:rPr>
          <w:rFonts w:ascii="Courier New" w:cs="Courier New" w:eastAsia="Courier New" w:hAnsi="Courier New"/>
          <w:sz w:val="18"/>
          <w:szCs w:val="18"/>
          <w:color w:val="auto"/>
        </w:rPr>
      </w:pPr>
    </w:p>
    <w:p>
      <w:pPr>
        <w:ind w:left="1380" w:right="3259" w:hanging="3"/>
        <w:spacing w:after="0" w:line="275" w:lineRule="auto"/>
        <w:tabs>
          <w:tab w:leader="none" w:pos="201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December 31, 1994, Bankers Trust Company, as Trustee for various trusts, and employee benefit plans, and investment advisor (the "Bank"), was the beneficial owner of 1,680,686 shares of common stock.</w:t>
      </w:r>
    </w:p>
    <w:p>
      <w:pPr>
        <w:spacing w:after="0" w:line="384" w:lineRule="exact"/>
        <w:rPr>
          <w:rFonts w:ascii="Courier New" w:cs="Courier New" w:eastAsia="Courier New" w:hAnsi="Courier New"/>
          <w:sz w:val="16"/>
          <w:szCs w:val="16"/>
          <w:color w:val="auto"/>
        </w:rPr>
      </w:pPr>
    </w:p>
    <w:p>
      <w:pPr>
        <w:ind w:left="1380" w:right="3159" w:hanging="3"/>
        <w:spacing w:after="0" w:line="237" w:lineRule="auto"/>
        <w:tabs>
          <w:tab w:leader="none" w:pos="201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 was also the record owner of 7,046,807 shares held by the Bank as Trustee of the Texas Instruments Inc. Employee Universal Profit Sharing Plan (the "Plan") with respect to which the bank disclaims beneficial ownership.</w:t>
      </w:r>
    </w:p>
    <w:p>
      <w:pPr>
        <w:spacing w:after="0" w:line="6" w:lineRule="exact"/>
        <w:rPr>
          <w:rFonts w:ascii="Courier New" w:cs="Courier New" w:eastAsia="Courier New" w:hAnsi="Courier New"/>
          <w:sz w:val="18"/>
          <w:szCs w:val="18"/>
          <w:color w:val="auto"/>
        </w:rPr>
      </w:pPr>
    </w:p>
    <w:p>
      <w:pPr>
        <w:ind w:left="1380" w:right="3159" w:firstLine="632"/>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Plan states that each Plan participant shall have the right to direct the manner in which shares of common stock shall be voted at all stockholders' meetings. The Department of Labor has expressed the view that, under certain circumstances, ERISA may require the Trustee to vote shares which are not allocated to participants' accounts and unvoted shares. Since, in the view of the Bank and Bankers Trust New York Corporation, such voting power is merely a residual power based upon the occurrence of an unlikely contingency and is not a sole or shared power to vote the securities, the Bank and Bankers Trust New York Corporation hereby disclaim beneficial ownership of such securities.</w:t>
      </w:r>
    </w:p>
    <w:p>
      <w:pPr>
        <w:sectPr>
          <w:pgSz w:w="11900" w:h="16838" w:orient="portrait"/>
          <w:cols w:equalWidth="0" w:num="1">
            <w:col w:w="10219"/>
          </w:cols>
          <w:pgMar w:left="240" w:top="514" w:right="1440" w:bottom="1440" w:gutter="0" w:footer="0" w:header="0"/>
        </w:sectPr>
      </w:pPr>
    </w:p>
    <w:bookmarkStart w:id="5" w:name="page6"/>
    <w:bookmarkEnd w:id="5"/>
    <w:p>
      <w:pPr>
        <w:ind w:left="580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900" w:hanging="523"/>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7" w:lineRule="exact"/>
        <w:rPr>
          <w:sz w:val="20"/>
          <w:szCs w:val="20"/>
          <w:color w:val="auto"/>
        </w:rPr>
      </w:pPr>
    </w:p>
    <w:p>
      <w:pPr>
        <w:ind w:left="1380" w:right="3159"/>
        <w:spacing w:after="0" w:line="237" w:lineRule="auto"/>
        <w:rPr>
          <w:sz w:val="20"/>
          <w:szCs w:val="20"/>
          <w:color w:val="auto"/>
        </w:rPr>
      </w:pPr>
      <w:r>
        <w:rPr>
          <w:rFonts w:ascii="Courier New" w:cs="Courier New" w:eastAsia="Courier New" w:hAnsi="Courier New"/>
          <w:sz w:val="18"/>
          <w:szCs w:val="18"/>
          <w:color w:val="auto"/>
        </w:rPr>
        <w:t>The common stock described in Item 4(a) above as to which the Bank acknowledges beneficial ownership constitutes 1.8% of the Issuer's outstanding Common Stock. The Common Stock as to which the Bank disclaims beneficial ownership constitutes 7.6% of the Issuer's outstanding Common Stock.</w:t>
      </w:r>
    </w:p>
    <w:p>
      <w:pPr>
        <w:spacing w:after="0" w:line="204" w:lineRule="exact"/>
        <w:rPr>
          <w:sz w:val="20"/>
          <w:szCs w:val="20"/>
          <w:color w:val="auto"/>
        </w:rPr>
      </w:pPr>
    </w:p>
    <w:p>
      <w:pPr>
        <w:ind w:left="1900" w:hanging="523"/>
        <w:spacing w:after="0"/>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Bank has:</w:t>
      </w:r>
    </w:p>
    <w:p>
      <w:pPr>
        <w:spacing w:after="0" w:line="4" w:lineRule="exact"/>
        <w:rPr>
          <w:rFonts w:ascii="Courier New" w:cs="Courier New" w:eastAsia="Courier New" w:hAnsi="Courier New"/>
          <w:sz w:val="18"/>
          <w:szCs w:val="18"/>
          <w:color w:val="auto"/>
        </w:rPr>
      </w:pPr>
    </w:p>
    <w:p>
      <w:pPr>
        <w:ind w:left="2740" w:right="3779" w:hanging="520"/>
        <w:spacing w:after="0" w:line="235" w:lineRule="auto"/>
        <w:tabs>
          <w:tab w:leader="none" w:pos="2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- 948,474</w:t>
      </w:r>
    </w:p>
    <w:p>
      <w:pPr>
        <w:spacing w:after="0" w:line="208" w:lineRule="exact"/>
        <w:rPr>
          <w:rFonts w:ascii="Courier New" w:cs="Courier New" w:eastAsia="Courier New" w:hAnsi="Courier New"/>
          <w:sz w:val="18"/>
          <w:szCs w:val="18"/>
          <w:color w:val="auto"/>
        </w:rPr>
      </w:pPr>
    </w:p>
    <w:p>
      <w:pPr>
        <w:ind w:left="2740" w:right="3579" w:hanging="625"/>
        <w:spacing w:after="0" w:line="235" w:lineRule="auto"/>
        <w:tabs>
          <w:tab w:leader="none" w:pos="2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- 2,000</w:t>
      </w:r>
    </w:p>
    <w:p>
      <w:pPr>
        <w:spacing w:after="0" w:line="208" w:lineRule="exact"/>
        <w:rPr>
          <w:rFonts w:ascii="Courier New" w:cs="Courier New" w:eastAsia="Courier New" w:hAnsi="Courier New"/>
          <w:sz w:val="18"/>
          <w:szCs w:val="18"/>
          <w:color w:val="auto"/>
        </w:rPr>
      </w:pPr>
    </w:p>
    <w:p>
      <w:pPr>
        <w:ind w:left="2740" w:right="3479" w:hanging="730"/>
        <w:spacing w:after="0" w:line="235" w:lineRule="auto"/>
        <w:tabs>
          <w:tab w:leader="none" w:pos="27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- 1,678,686</w:t>
      </w:r>
    </w:p>
    <w:p>
      <w:pPr>
        <w:spacing w:after="0" w:line="208" w:lineRule="exact"/>
        <w:rPr>
          <w:rFonts w:ascii="Courier New" w:cs="Courier New" w:eastAsia="Courier New" w:hAnsi="Courier New"/>
          <w:sz w:val="18"/>
          <w:szCs w:val="18"/>
          <w:color w:val="auto"/>
        </w:rPr>
      </w:pPr>
    </w:p>
    <w:p>
      <w:pPr>
        <w:ind w:left="2640" w:right="3679" w:hanging="525"/>
        <w:spacing w:after="0" w:line="235" w:lineRule="auto"/>
        <w:tabs>
          <w:tab w:leader="none" w:pos="2745"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- 2,000</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[X]</w:t>
      </w:r>
    </w:p>
    <w:p>
      <w:pPr>
        <w:spacing w:after="0" w:line="207" w:lineRule="exact"/>
        <w:rPr>
          <w:sz w:val="20"/>
          <w:szCs w:val="20"/>
          <w:color w:val="auto"/>
        </w:rPr>
      </w:pPr>
    </w:p>
    <w:p>
      <w:pPr>
        <w:ind w:left="1380" w:right="37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8" w:lineRule="exact"/>
        <w:rPr>
          <w:sz w:val="20"/>
          <w:szCs w:val="20"/>
          <w:color w:val="auto"/>
        </w:rPr>
      </w:pPr>
    </w:p>
    <w:p>
      <w:pPr>
        <w:ind w:left="1380" w:right="3159"/>
        <w:spacing w:after="0" w:line="237" w:lineRule="auto"/>
        <w:rPr>
          <w:sz w:val="20"/>
          <w:szCs w:val="20"/>
          <w:color w:val="auto"/>
        </w:rPr>
      </w:pPr>
      <w:r>
        <w:rPr>
          <w:rFonts w:ascii="Courier New" w:cs="Courier New" w:eastAsia="Courier New" w:hAnsi="Courier New"/>
          <w:sz w:val="18"/>
          <w:szCs w:val="18"/>
          <w:color w:val="auto"/>
        </w:rPr>
        <w:t>The Issuer's Plan, and various trusts, and employee benefit plan for which the Bank serves as Trustee, and accounts for which the Bank serves as investment advisor, have the right to receive and/or the power to direct the receipt of dividends from, or the proceeds from the sale of, such securities.</w:t>
      </w:r>
    </w:p>
    <w:p>
      <w:pPr>
        <w:spacing w:after="0" w:line="210" w:lineRule="exact"/>
        <w:rPr>
          <w:sz w:val="20"/>
          <w:szCs w:val="20"/>
          <w:color w:val="auto"/>
        </w:rPr>
      </w:pPr>
    </w:p>
    <w:p>
      <w:pPr>
        <w:ind w:left="1380" w:right="3359" w:hanging="1368"/>
        <w:spacing w:after="0" w:line="236" w:lineRule="auto"/>
        <w:tabs>
          <w:tab w:leader="none" w:pos="13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See Item 3 above.</w:t>
      </w:r>
    </w:p>
    <w:p>
      <w:pPr>
        <w:spacing w:after="0" w:line="207" w:lineRule="exact"/>
        <w:rPr>
          <w:sz w:val="20"/>
          <w:szCs w:val="20"/>
          <w:color w:val="auto"/>
        </w:rPr>
      </w:pPr>
    </w:p>
    <w:p>
      <w:pPr>
        <w:ind w:left="1380" w:right="347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514" w:right="1440" w:bottom="1440" w:gutter="0" w:footer="0" w:header="0"/>
        </w:sectPr>
      </w:pPr>
    </w:p>
    <w:bookmarkStart w:id="6" w:name="page7"/>
    <w:bookmarkEnd w:id="6"/>
    <w:p>
      <w:pPr>
        <w:ind w:left="5800"/>
        <w:spacing w:after="0"/>
        <w:rPr>
          <w:sz w:val="20"/>
          <w:szCs w:val="20"/>
          <w:color w:val="auto"/>
        </w:rPr>
      </w:pPr>
      <w:r>
        <w:rPr>
          <w:rFonts w:ascii="Courier New" w:cs="Courier New" w:eastAsia="Courier New" w:hAnsi="Courier New"/>
          <w:sz w:val="18"/>
          <w:szCs w:val="18"/>
          <w:color w:val="auto"/>
        </w:rPr>
        <w:t>6</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359" w:firstLine="136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359" w:firstLine="136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514"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of December 31, 1994</w:t>
      </w:r>
    </w:p>
    <w:p>
      <w:pPr>
        <w:spacing w:after="0" w:line="216" w:lineRule="exact"/>
        <w:rPr>
          <w:sz w:val="20"/>
          <w:szCs w:val="20"/>
          <w:color w:val="auto"/>
        </w:rPr>
      </w:pPr>
    </w:p>
    <w:p>
      <w:pPr>
        <w:sectPr>
          <w:pgSz w:w="11900" w:h="16838" w:orient="portrait"/>
          <w:cols w:equalWidth="0" w:num="2">
            <w:col w:w="560" w:space="720"/>
            <w:col w:w="893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Bankers Trust New York Corporation</w:t>
      </w:r>
    </w:p>
    <w:p>
      <w:pPr>
        <w:spacing w:after="0" w:line="200" w:lineRule="exact"/>
        <w:rPr>
          <w:sz w:val="20"/>
          <w:szCs w:val="20"/>
          <w:color w:val="auto"/>
        </w:rPr>
      </w:pPr>
    </w:p>
    <w:p>
      <w:pPr>
        <w:sectPr>
          <w:pgSz w:w="11900" w:h="16838" w:orient="portrait"/>
          <w:cols w:equalWidth="0" w:num="2">
            <w:col w:w="1060" w:space="220"/>
            <w:col w:w="8939"/>
          </w:cols>
          <w:pgMar w:left="240" w:top="514"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6"/>
          <w:szCs w:val="16"/>
          <w:color w:val="auto"/>
        </w:rPr>
        <w:t>/s/James T. Byrne, Jr.</w:t>
      </w:r>
    </w:p>
    <w:p>
      <w:pPr>
        <w:spacing w:after="0" w:line="16"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8"/>
          <w:szCs w:val="18"/>
          <w:color w:val="auto"/>
        </w:rPr>
        <w:t>James T. Byrne, Jr.</w:t>
      </w:r>
    </w:p>
    <w:p>
      <w:pPr>
        <w:spacing w:after="0" w:line="200" w:lineRule="exact"/>
        <w:rPr>
          <w:sz w:val="20"/>
          <w:szCs w:val="20"/>
          <w:color w:val="auto"/>
        </w:rPr>
      </w:pPr>
    </w:p>
    <w:p>
      <w:pPr>
        <w:sectPr>
          <w:pgSz w:w="11900" w:h="16838" w:orient="portrait"/>
          <w:cols w:equalWidth="0" w:num="2">
            <w:col w:w="760" w:space="720"/>
            <w:col w:w="873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Secretary</w:t>
      </w:r>
    </w:p>
    <w:p>
      <w:pPr>
        <w:spacing w:after="0" w:line="200" w:lineRule="exact"/>
        <w:rPr>
          <w:sz w:val="20"/>
          <w:szCs w:val="20"/>
          <w:color w:val="auto"/>
        </w:rPr>
      </w:pPr>
    </w:p>
    <w:p>
      <w:pPr>
        <w:sectPr>
          <w:pgSz w:w="11900" w:h="16838" w:orient="portrait"/>
          <w:cols w:equalWidth="0" w:num="2">
            <w:col w:w="1080" w:space="720"/>
            <w:col w:w="8419"/>
          </w:cols>
          <w:pgMar w:left="240" w:top="514" w:right="1440" w:bottom="1440" w:gutter="0" w:footer="0" w:header="0"/>
          <w:type w:val="continuous"/>
        </w:sectPr>
      </w:pPr>
    </w:p>
    <w:p>
      <w:pPr>
        <w:spacing w:after="0" w:line="226"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Signature: Bankers Trust Company, as Trustee for various trusts, and employee benefit plans, and investment advisor.</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38" w:lineRule="auto"/>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6"/>
          <w:szCs w:val="16"/>
          <w:color w:val="auto"/>
        </w:rPr>
        <w:t>/s/James T. Byrne, Jr.</w:t>
      </w:r>
    </w:p>
    <w:p>
      <w:pPr>
        <w:spacing w:after="0" w:line="16" w:lineRule="exact"/>
        <w:rPr>
          <w:sz w:val="20"/>
          <w:szCs w:val="20"/>
          <w:color w:val="auto"/>
        </w:rPr>
      </w:pPr>
    </w:p>
    <w:p>
      <w:pPr>
        <w:jc w:val="right"/>
        <w:ind w:right="6419"/>
        <w:spacing w:after="0"/>
        <w:rPr>
          <w:sz w:val="20"/>
          <w:szCs w:val="20"/>
          <w:color w:val="auto"/>
        </w:rPr>
      </w:pPr>
      <w:r>
        <w:rPr>
          <w:rFonts w:ascii="Courier New" w:cs="Courier New" w:eastAsia="Courier New" w:hAnsi="Courier New"/>
          <w:sz w:val="18"/>
          <w:szCs w:val="18"/>
          <w:color w:val="auto"/>
        </w:rPr>
        <w:t>James T. Byrne, Jr.</w:t>
      </w:r>
    </w:p>
    <w:p>
      <w:pPr>
        <w:spacing w:after="0" w:line="200" w:lineRule="exact"/>
        <w:rPr>
          <w:sz w:val="20"/>
          <w:szCs w:val="20"/>
          <w:color w:val="auto"/>
        </w:rPr>
      </w:pPr>
    </w:p>
    <w:p>
      <w:pPr>
        <w:sectPr>
          <w:pgSz w:w="11900" w:h="16838" w:orient="portrait"/>
          <w:cols w:equalWidth="0" w:num="2">
            <w:col w:w="760" w:space="720"/>
            <w:col w:w="8739"/>
          </w:cols>
          <w:pgMar w:left="240" w:top="51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Secretary</w:t>
      </w:r>
    </w:p>
    <w:sectPr>
      <w:pgSz w:w="11900" w:h="16838" w:orient="portrait"/>
      <w:cols w:equalWidth="0" w:num="2">
        <w:col w:w="1080" w:space="720"/>
        <w:col w:w="8419"/>
      </w:cols>
      <w:pgMar w:left="240" w:top="5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1"/>
    </w:lvl>
  </w:abstractNum>
  <w:abstractNum w:abstractNumId="1">
    <w:nsid w:val="625558EC"/>
    <w:multiLevelType w:val="hybridMultilevel"/>
    <w:lvl w:ilvl="0">
      <w:lvlJc w:val="left"/>
      <w:lvlText w:val="(%1)"/>
      <w:numFmt w:val="lowerLetter"/>
      <w:start w:val="7"/>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lvl w:ilvl="1">
      <w:lvlJc w:val="left"/>
      <w:lvlText w:val="(%2)"/>
      <w:numFmt w:val="lowerRoman"/>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2019-12-13T07:42:55Z</dcterms:created>
  <dcterms:modified xsi:type="dcterms:W3CDTF">2019-12-13T07:42:55Z</dcterms:modified>
</cp:coreProperties>
</file>