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25" w:lineRule="exact"/>
        <w:rPr>
          <w:sz w:val="24"/>
          <w:szCs w:val="24"/>
          <w:color w:val="auto"/>
        </w:rPr>
      </w:pPr>
    </w:p>
    <w:p>
      <w:pPr>
        <w:ind w:left="3472"/>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INFORMATION TO BE INCLUDED IN STATEMENTS FILED PURSUANT TO RULE 13D-1(B), (C)</w:t>
      </w:r>
    </w:p>
    <w:p>
      <w:pPr>
        <w:spacing w:after="0" w:line="16" w:lineRule="exact"/>
        <w:rPr>
          <w:sz w:val="24"/>
          <w:szCs w:val="24"/>
          <w:color w:val="auto"/>
        </w:rPr>
      </w:pPr>
    </w:p>
    <w:p>
      <w:pPr>
        <w:ind w:left="1052"/>
        <w:spacing w:after="0"/>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1"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67"/>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67"/>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72"/>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COMMON STOCK, PAR VALUE $.10 PER SHARE</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32"/>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595112103</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72"/>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72"/>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jc w:val="center"/>
        <w:ind w:right="1767"/>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3152"/>
        <w:spacing w:after="0"/>
        <w:tabs>
          <w:tab w:leader="none" w:pos="3872"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3892" w:hanging="732"/>
        <w:spacing w:after="0"/>
        <w:tabs>
          <w:tab w:leader="none" w:pos="3892"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31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852" w:right="19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85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Texas Instruments Incorporated (IRS no. 75-0289970)</w:t>
      </w:r>
    </w:p>
    <w:p>
      <w:pPr>
        <w:spacing w:after="0" w:line="20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212"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600" w:type="dxa"/>
            <w:vAlign w:val="bottom"/>
          </w:tcPr>
          <w:p>
            <w:pPr>
              <w:ind w:left="2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r>
    </w:tbl>
    <w:p>
      <w:pPr>
        <w:spacing w:after="0" w:line="207" w:lineRule="exact"/>
        <w:rPr>
          <w:sz w:val="24"/>
          <w:szCs w:val="24"/>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852" w:right="5579" w:hanging="632"/>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ectPr>
          <w:pgSz w:w="11900" w:h="16838" w:orient="portrait"/>
          <w:cols w:equalWidth="0" w:num="1">
            <w:col w:w="10211"/>
          </w:cols>
          <w:pgMar w:left="248" w:top="144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56,952,399</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56,952,399</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56,952,399</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if the Aggregate Amount in Row (9) Excludes Certain Shares [ ]</w:t>
      </w:r>
    </w:p>
    <w:p>
      <w:pPr>
        <w:spacing w:after="0" w:line="20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6"/>
          <w:szCs w:val="16"/>
          <w:color w:val="auto"/>
        </w:rPr>
      </w:pPr>
    </w:p>
    <w:p>
      <w:pPr>
        <w:ind w:left="860" w:right="4199" w:hanging="73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11Percent of Class Represented by Amount in Row (9) 9.5%</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This Amendment No. 2 to Schedule 13G, amends, supplements and restates the Statement on Schedule 13G initially filed with the Securities and Exchange Commission on October 9, 1998 by Texas Instruments Incorporated.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tabs>
          <w:tab w:leader="none" w:pos="520" w:val="left"/>
          <w:tab w:leader="none" w:pos="3560" w:val="left"/>
        </w:tabs>
        <w:rPr>
          <w:sz w:val="20"/>
          <w:szCs w:val="20"/>
          <w:color w:val="auto"/>
        </w:rPr>
      </w:pPr>
      <w:r>
        <w:rPr>
          <w:rFonts w:ascii="Courier New" w:cs="Courier New" w:eastAsia="Courier New" w:hAnsi="Courier New"/>
          <w:sz w:val="18"/>
          <w:szCs w:val="18"/>
          <w:color w:val="auto"/>
        </w:rPr>
        <w:t>(a)</w:t>
        <w:tab/>
        <w:t>Name of Issuer:</w:t>
      </w:r>
      <w:r>
        <w:rPr>
          <w:sz w:val="20"/>
          <w:szCs w:val="20"/>
          <w:color w:val="auto"/>
        </w:rPr>
        <w:tab/>
      </w:r>
      <w:r>
        <w:rPr>
          <w:rFonts w:ascii="Courier New" w:cs="Courier New" w:eastAsia="Courier New" w:hAnsi="Courier New"/>
          <w:sz w:val="16"/>
          <w:szCs w:val="16"/>
          <w:color w:val="auto"/>
        </w:rPr>
        <w:t>Micron Technology, Inc.</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8000 S. Federal Way</w:t>
      </w:r>
    </w:p>
    <w:p>
      <w:pPr>
        <w:ind w:left="3800"/>
        <w:spacing w:after="0" w:line="238" w:lineRule="auto"/>
        <w:rPr>
          <w:sz w:val="20"/>
          <w:szCs w:val="20"/>
          <w:color w:val="auto"/>
        </w:rPr>
      </w:pPr>
      <w:r>
        <w:rPr>
          <w:rFonts w:ascii="Courier New" w:cs="Courier New" w:eastAsia="Courier New" w:hAnsi="Courier New"/>
          <w:sz w:val="18"/>
          <w:szCs w:val="18"/>
          <w:color w:val="auto"/>
        </w:rPr>
        <w:t>P.O. Box 6</w:t>
      </w:r>
    </w:p>
    <w:p>
      <w:pPr>
        <w:ind w:left="3800"/>
        <w:spacing w:after="0"/>
        <w:rPr>
          <w:sz w:val="20"/>
          <w:szCs w:val="20"/>
          <w:color w:val="auto"/>
        </w:rPr>
      </w:pPr>
      <w:r>
        <w:rPr>
          <w:rFonts w:ascii="Courier New" w:cs="Courier New" w:eastAsia="Courier New" w:hAnsi="Courier New"/>
          <w:sz w:val="18"/>
          <w:szCs w:val="18"/>
          <w:color w:val="auto"/>
        </w:rPr>
        <w:t>Boise, Idaho 83707-0006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Name of Persons Filing: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ectPr>
          <w:pgSz w:w="11900" w:h="16838" w:orient="portrait"/>
          <w:cols w:equalWidth="0" w:num="2">
            <w:col w:w="2860" w:space="520"/>
            <w:col w:w="6839"/>
          </w:cols>
          <w:pgMar w:left="240" w:top="142" w:right="1440" w:bottom="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12500 TI Boulevard</w:t>
      </w:r>
    </w:p>
    <w:p>
      <w:pPr>
        <w:ind w:left="3800"/>
        <w:spacing w:after="0" w:line="238" w:lineRule="auto"/>
        <w:rPr>
          <w:sz w:val="20"/>
          <w:szCs w:val="20"/>
          <w:color w:val="auto"/>
        </w:rPr>
      </w:pPr>
      <w:r>
        <w:rPr>
          <w:rFonts w:ascii="Courier New" w:cs="Courier New" w:eastAsia="Courier New" w:hAnsi="Courier New"/>
          <w:sz w:val="18"/>
          <w:szCs w:val="18"/>
          <w:color w:val="auto"/>
        </w:rPr>
        <w:t>P.O. Box 660199</w:t>
      </w:r>
    </w:p>
    <w:p>
      <w:pPr>
        <w:ind w:left="3800"/>
        <w:spacing w:after="0"/>
        <w:rPr>
          <w:sz w:val="20"/>
          <w:szCs w:val="20"/>
          <w:color w:val="auto"/>
        </w:rPr>
      </w:pPr>
      <w:r>
        <w:rPr>
          <w:rFonts w:ascii="Courier New" w:cs="Courier New" w:eastAsia="Courier New" w:hAnsi="Courier New"/>
          <w:sz w:val="18"/>
          <w:szCs w:val="18"/>
          <w:color w:val="auto"/>
        </w:rPr>
        <w:t>Dallas, TX 75266-0199</w:t>
      </w:r>
    </w:p>
    <w:p>
      <w:pPr>
        <w:spacing w:after="0" w:line="200"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(c)</w:t>
        <w:tab/>
        <w:t>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(e)  CUSIP Number:</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595112103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56,952,399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9.5%</w:t>
            </w:r>
          </w:p>
        </w:tc>
      </w:tr>
    </w:tbl>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(All percentages computed by reference to the 600,222,082 shares that the Issuer reported as outstanding as of January 9, 2002, in its Report</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3359"/>
        <w:spacing w:after="0" w:line="235" w:lineRule="auto"/>
        <w:rPr>
          <w:sz w:val="20"/>
          <w:szCs w:val="20"/>
          <w:color w:val="auto"/>
        </w:rPr>
      </w:pPr>
      <w:r>
        <w:rPr>
          <w:rFonts w:ascii="Courier New" w:cs="Courier New" w:eastAsia="Courier New" w:hAnsi="Courier New"/>
          <w:sz w:val="18"/>
          <w:szCs w:val="18"/>
          <w:color w:val="auto"/>
        </w:rPr>
        <w:t>on Form 10-Q filed with the Securities and Exchange Commission on January 14, 2002.)</w:t>
      </w:r>
    </w:p>
    <w:p>
      <w:pPr>
        <w:spacing w:after="0" w:line="200" w:lineRule="exact"/>
        <w:rPr>
          <w:sz w:val="20"/>
          <w:szCs w:val="20"/>
          <w:color w:val="auto"/>
        </w:rPr>
      </w:pPr>
    </w:p>
    <w:p>
      <w:pPr>
        <w:spacing w:after="0" w:line="205"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56,952,399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56,952,399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320" w:right="35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2002</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WILLIAM A. AYLESWORTH</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w:t>
      </w:r>
    </w:p>
    <w:p>
      <w:pPr>
        <w:spacing w:after="0"/>
        <w:rPr>
          <w:sz w:val="20"/>
          <w:szCs w:val="20"/>
          <w:color w:val="auto"/>
        </w:rPr>
      </w:pPr>
      <w:r>
        <w:rPr>
          <w:rFonts w:ascii="Courier New" w:cs="Courier New" w:eastAsia="Courier New" w:hAnsi="Courier New"/>
          <w:sz w:val="18"/>
          <w:szCs w:val="18"/>
          <w:color w:val="auto"/>
        </w:rPr>
        <w:t>William A. Aylesworth</w:t>
      </w:r>
    </w:p>
    <w:p>
      <w:pPr>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38" w:lineRule="auto"/>
        <w:rPr>
          <w:sz w:val="20"/>
          <w:szCs w:val="20"/>
          <w:color w:val="auto"/>
        </w:rPr>
      </w:pPr>
      <w:r>
        <w:rPr>
          <w:rFonts w:ascii="Courier New" w:cs="Courier New" w:eastAsia="Courier New" w:hAnsi="Courier New"/>
          <w:sz w:val="18"/>
          <w:szCs w:val="18"/>
          <w:color w:val="auto"/>
        </w:rPr>
        <w:t>Treasurer and</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decimal"/>
      <w:start w:val="1"/>
    </w:lvl>
    <w:lvl w:ilvl="2">
      <w:lvlJc w:val="left"/>
      <w:lvlText w:val="[%3]"/>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2019-12-13T13:08:51Z</dcterms:created>
  <dcterms:modified xsi:type="dcterms:W3CDTF">2019-12-13T13:08:51Z</dcterms:modified>
</cp:coreProperties>
</file>