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75565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9"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600" w:type="dxa"/>
            <w:vAlign w:val="bottom"/>
            <w:gridSpan w:val="2"/>
          </w:tcPr>
          <w:p>
            <w:pPr>
              <w:ind w:left="3280"/>
              <w:spacing w:after="0" w:line="204" w:lineRule="exact"/>
              <w:rPr>
                <w:sz w:val="20"/>
                <w:szCs w:val="20"/>
                <w:color w:val="auto"/>
              </w:rPr>
            </w:pPr>
            <w:r>
              <w:rPr>
                <w:rFonts w:ascii="Arial" w:cs="Arial" w:eastAsia="Arial" w:hAnsi="Arial"/>
                <w:sz w:val="18"/>
                <w:szCs w:val="18"/>
                <w:b w:val="1"/>
                <w:bCs w:val="1"/>
                <w:color w:val="auto"/>
                <w:w w:val="92"/>
              </w:rPr>
              <w:t>for the transition period from</w:t>
            </w:r>
          </w:p>
        </w:tc>
        <w:tc>
          <w:tcPr>
            <w:tcW w:w="200" w:type="dxa"/>
            <w:vAlign w:val="bottom"/>
            <w:tcBorders>
              <w:bottom w:val="single" w:sz="8" w:color="auto"/>
            </w:tcBorders>
            <w:gridSpan w:val="2"/>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gridSpan w:val="2"/>
          </w:tcPr>
          <w:p>
            <w:pPr>
              <w:ind w:left="80"/>
              <w:spacing w:after="0" w:line="204" w:lineRule="exact"/>
              <w:rPr>
                <w:sz w:val="20"/>
                <w:szCs w:val="20"/>
                <w:color w:val="auto"/>
              </w:rPr>
            </w:pPr>
            <w:r>
              <w:rPr>
                <w:rFonts w:ascii="Arial" w:cs="Arial" w:eastAsia="Arial" w:hAnsi="Arial"/>
                <w:sz w:val="18"/>
                <w:szCs w:val="18"/>
                <w:b w:val="1"/>
                <w:bCs w:val="1"/>
                <w:color w:val="auto"/>
              </w:rPr>
              <w:t>to</w:t>
            </w:r>
          </w:p>
        </w:tc>
        <w:tc>
          <w:tcPr>
            <w:tcW w:w="118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660" w:type="dxa"/>
            <w:vAlign w:val="bottom"/>
            <w:gridSpan w:val="9"/>
          </w:tcPr>
          <w:p>
            <w:pPr>
              <w:jc w:val="center"/>
              <w:ind w:left="2644"/>
              <w:spacing w:after="0"/>
              <w:rPr>
                <w:sz w:val="20"/>
                <w:szCs w:val="20"/>
                <w:color w:val="auto"/>
              </w:rPr>
            </w:pPr>
            <w:r>
              <w:rPr>
                <w:rFonts w:ascii="Arial" w:cs="Arial" w:eastAsia="Arial" w:hAnsi="Arial"/>
                <w:sz w:val="18"/>
                <w:szCs w:val="18"/>
                <w:b w:val="1"/>
                <w:bCs w:val="1"/>
                <w:color w:val="auto"/>
                <w:w w:val="90"/>
              </w:rPr>
              <w:t>Commission File Number 1-3761</w:t>
            </w: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30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11400" w:type="dxa"/>
            <w:vAlign w:val="bottom"/>
            <w:gridSpan w:val="11"/>
          </w:tcPr>
          <w:p>
            <w:pPr>
              <w:jc w:val="center"/>
              <w:spacing w:after="0"/>
              <w:rPr>
                <w:sz w:val="20"/>
                <w:szCs w:val="20"/>
                <w:color w:val="auto"/>
              </w:rPr>
            </w:pPr>
            <w:r>
              <w:rPr>
                <w:rFonts w:ascii="Arial" w:cs="Arial" w:eastAsia="Arial" w:hAnsi="Arial"/>
                <w:sz w:val="43"/>
                <w:szCs w:val="43"/>
                <w:b w:val="1"/>
                <w:bCs w:val="1"/>
                <w:color w:val="auto"/>
              </w:rPr>
              <w:t>TEXAS INSTRUMENTS INCORPORATED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gridSpan w:val="9"/>
          </w:tcPr>
          <w:p>
            <w:pPr>
              <w:jc w:val="center"/>
              <w:ind w:left="262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75-0289970</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(State of Incorporation)</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80" w:type="dxa"/>
            <w:vAlign w:val="bottom"/>
            <w:gridSpan w:val="4"/>
          </w:tcPr>
          <w:p>
            <w:pPr>
              <w:jc w:val="center"/>
              <w:ind w:right="1130"/>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12500 TI Boulevard, Dallas, Texas</w:t>
            </w:r>
          </w:p>
        </w:tc>
        <w:tc>
          <w:tcPr>
            <w:tcW w:w="3560" w:type="dxa"/>
            <w:vAlign w:val="bottom"/>
            <w:gridSpan w:val="6"/>
          </w:tcPr>
          <w:p>
            <w:pPr>
              <w:jc w:val="right"/>
              <w:ind w:right="490"/>
              <w:spacing w:after="0"/>
              <w:rPr>
                <w:sz w:val="20"/>
                <w:szCs w:val="20"/>
                <w:color w:val="auto"/>
              </w:rPr>
            </w:pPr>
            <w:r>
              <w:rPr>
                <w:rFonts w:ascii="Arial" w:cs="Arial" w:eastAsia="Arial" w:hAnsi="Arial"/>
                <w:sz w:val="18"/>
                <w:szCs w:val="18"/>
                <w:b w:val="1"/>
                <w:bCs w:val="1"/>
                <w:color w:val="auto"/>
              </w:rPr>
              <w:t>75243</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5"/>
              </w:rPr>
              <w:t>(Zip Code)</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660" w:type="dxa"/>
            <w:vAlign w:val="bottom"/>
            <w:gridSpan w:val="9"/>
          </w:tcPr>
          <w:p>
            <w:pPr>
              <w:jc w:val="center"/>
              <w:ind w:left="2624"/>
              <w:spacing w:after="0"/>
              <w:rPr>
                <w:sz w:val="20"/>
                <w:szCs w:val="20"/>
                <w:color w:val="auto"/>
              </w:rPr>
            </w:pPr>
            <w:r>
              <w:rPr>
                <w:rFonts w:ascii="Arial" w:cs="Arial" w:eastAsia="Arial" w:hAnsi="Arial"/>
                <w:sz w:val="18"/>
                <w:szCs w:val="18"/>
                <w:b w:val="1"/>
                <w:bCs w:val="1"/>
                <w:color w:val="auto"/>
                <w:w w:val="90"/>
              </w:rPr>
              <w:t>Registrant’s Telephone Number, Including Area Code: 214-479-3773</w:t>
            </w:r>
          </w:p>
        </w:tc>
        <w:tc>
          <w:tcPr>
            <w:tcW w:w="7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60" w:type="dxa"/>
            <w:vAlign w:val="bottom"/>
            <w:gridSpan w:val="9"/>
          </w:tcPr>
          <w:p>
            <w:pPr>
              <w:jc w:val="center"/>
              <w:ind w:left="264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80" w:type="dxa"/>
            <w:vAlign w:val="bottom"/>
            <w:gridSpan w:val="4"/>
          </w:tcPr>
          <w:p>
            <w:pPr>
              <w:jc w:val="right"/>
              <w:ind w:right="137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Common Stock, par value $1.00</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gridSpan w:val="4"/>
          </w:tcPr>
          <w:p>
            <w:pPr>
              <w:jc w:val="right"/>
              <w:ind w:right="1310"/>
              <w:spacing w:after="0"/>
              <w:rPr>
                <w:sz w:val="20"/>
                <w:szCs w:val="20"/>
                <w:color w:val="auto"/>
              </w:rPr>
            </w:pPr>
            <w:r>
              <w:rPr>
                <w:rFonts w:ascii="Arial" w:cs="Arial" w:eastAsia="Arial" w:hAnsi="Arial"/>
                <w:sz w:val="18"/>
                <w:szCs w:val="18"/>
                <w:b w:val="1"/>
                <w:bCs w:val="1"/>
                <w:color w:val="auto"/>
              </w:rPr>
              <w:t>The NASDAQ Global Select Market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660" w:type="dxa"/>
            <w:vAlign w:val="bottom"/>
            <w:gridSpan w:val="9"/>
          </w:tcPr>
          <w:p>
            <w:pPr>
              <w:jc w:val="center"/>
              <w:ind w:left="2624"/>
              <w:spacing w:after="0"/>
              <w:rPr>
                <w:sz w:val="20"/>
                <w:szCs w:val="20"/>
                <w:color w:val="auto"/>
              </w:rPr>
            </w:pPr>
            <w:r>
              <w:rPr>
                <w:rFonts w:ascii="Arial" w:cs="Arial" w:eastAsia="Arial" w:hAnsi="Arial"/>
                <w:sz w:val="18"/>
                <w:szCs w:val="18"/>
                <w:b w:val="1"/>
                <w:bCs w:val="1"/>
                <w:color w:val="auto"/>
                <w:w w:val="88"/>
              </w:rPr>
              <w:t xml:space="preserve">Securities registered pursuant to Section 12(g) of the Act: </w:t>
            </w:r>
            <w:r>
              <w:rPr>
                <w:rFonts w:ascii="Arial" w:cs="Arial" w:eastAsia="Arial" w:hAnsi="Arial"/>
                <w:sz w:val="18"/>
                <w:szCs w:val="18"/>
                <w:color w:val="auto"/>
                <w:w w:val="88"/>
              </w:rPr>
              <w:t>None</w:t>
            </w:r>
          </w:p>
        </w:tc>
        <w:tc>
          <w:tcPr>
            <w:tcW w:w="7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4580" w:type="dxa"/>
            <w:vAlign w:val="bottom"/>
            <w:gridSpan w:val="2"/>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3"/>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040" w:type="dxa"/>
            <w:vAlign w:val="bottom"/>
            <w:vMerge w:val="restart"/>
          </w:tcPr>
          <w:p>
            <w:pPr>
              <w:jc w:val="right"/>
              <w:ind w:right="147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71"/>
        </w:trPr>
        <w:tc>
          <w:tcPr>
            <w:tcW w:w="8680" w:type="dxa"/>
            <w:vAlign w:val="bottom"/>
            <w:gridSpan w:val="10"/>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3"/>
                <w:szCs w:val="23"/>
                <w:color w:val="auto"/>
              </w:rPr>
            </w:pPr>
          </w:p>
        </w:tc>
        <w:tc>
          <w:tcPr>
            <w:tcW w:w="20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680" w:type="dxa"/>
            <w:vAlign w:val="bottom"/>
            <w:gridSpan w:val="10"/>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040" w:type="dxa"/>
            <w:vAlign w:val="bottom"/>
          </w:tcPr>
          <w:p>
            <w:pPr>
              <w:jc w:val="right"/>
              <w:ind w:right="131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right="20"/>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28"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8">
            <w:col w:w="1800" w:space="720"/>
            <w:col w:w="160" w:space="200"/>
            <w:col w:w="1900" w:space="720"/>
            <w:col w:w="160" w:space="200"/>
            <w:col w:w="1780" w:space="720"/>
            <w:col w:w="160" w:space="180"/>
            <w:col w:w="1980" w:space="520"/>
            <w:col w:w="220"/>
          </w:cols>
          <w:pgMar w:left="240" w:top="328" w:right="23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4" w:lineRule="exact"/>
        <w:rPr>
          <w:sz w:val="24"/>
          <w:szCs w:val="24"/>
          <w:color w:val="auto"/>
        </w:rPr>
      </w:pPr>
    </w:p>
    <w:p>
      <w:pPr>
        <w:sectPr>
          <w:pgSz w:w="11900" w:h="16838" w:orient="portrait"/>
          <w:cols w:equalWidth="0" w:num="4">
            <w:col w:w="7500" w:space="160"/>
            <w:col w:w="260" w:space="100"/>
            <w:col w:w="160" w:space="180"/>
            <w:col w:w="3060"/>
          </w:cols>
          <w:pgMar w:left="240" w:top="328" w:right="239" w:bottom="1440" w:gutter="0" w:footer="0" w:header="0"/>
          <w:type w:val="continuous"/>
        </w:sectPr>
      </w:pPr>
    </w:p>
    <w:p>
      <w:pPr>
        <w:ind w:left="2640" w:right="1300" w:hanging="2627"/>
        <w:spacing w:after="0" w:line="331" w:lineRule="auto"/>
        <w:rPr>
          <w:sz w:val="20"/>
          <w:szCs w:val="20"/>
          <w:color w:val="auto"/>
        </w:rPr>
      </w:pPr>
      <w:r>
        <w:rPr>
          <w:rFonts w:ascii="Arial" w:cs="Arial" w:eastAsia="Arial" w:hAnsi="Arial"/>
          <w:sz w:val="17"/>
          <w:szCs w:val="17"/>
          <w:color w:val="auto"/>
        </w:rPr>
        <w:t>The aggregate market value of voting stock held by non-affiliates of the Registrant was approximately $62,805,040,210 as of June 30, 2016. 999,639,733 (Number of shares of common stock outstanding as of February 21, 2017)</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Part III hereof incorporates information by reference to the Registrant’s proxy statement for the 2017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541020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 w:name="page2"/>
    <w:bookmarkEnd w:id="1"/>
    <w:p>
      <w:pPr>
        <w:ind w:left="580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3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two reportable segments: Analog and Embedded Processing. We report the results of our remaining business activities in Other. In 2016, we generated $13.37 billion of revenue.</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focus our resources on Analog and Embedded Processing because we believe that these segments’ long product life cycles, intrinsic diversity and need for less capital-intensive manufacturing provide a combination of stability, profitability and strong cash generation. This business model is the foundation of our capital management strategy, which is based on our belief that free cash flow growth is important for maximizing shareholder value over the long term. We also believe that free cash flow will be valued only if it is productively invested in the business or returned to shareholders. Free cash flow is cash flow from operations less capital expenditures.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information</w:t>
      </w:r>
    </w:p>
    <w:p>
      <w:pPr>
        <w:spacing w:after="0" w:line="1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Semiconductors are electronic components that serve as the building blocks inside modern electronic systems and equipment. Semiconductors, generally known as “chips,” combine multiple transistors to form a complete electronic circuit. We have tens of thousands of products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Our segments also reflect how management allocates resources and measures results. Additional information regarding each segment follows.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Analog</w:t>
      </w:r>
    </w:p>
    <w:p>
      <w:pPr>
        <w:spacing w:after="0" w:line="13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Analog generated $8.54 billion of revenue in 2016.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also are used to manage power in all electronic equipment by converting, distributing, storing, discharging, isolating and measuring electrical energy, whether the equipment is plugged into a wall or running off a battery. Our Analog products are used in many markets, particularly personal electronics and industrial.</w:t>
      </w:r>
    </w:p>
    <w:p>
      <w:pPr>
        <w:spacing w:after="0" w:line="21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Sales of our Analog products generated about 64 percent of our revenue in 2016. According to external sources, the market for analog semiconductors was about $48 billion in 2016. Our Analog segment’s revenue in 2016 was about 18 percent of this fragmented market, the leading position. We believe we are well positioned to increase our market share over time.</w:t>
      </w:r>
    </w:p>
    <w:p>
      <w:pPr>
        <w:spacing w:after="0" w:line="20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2016, our Analog segment included the following major product lines: High Volume Analog &amp; Logic (HVAL), Power Management (Power), High Performance Analog (HPA) and Silicon Valley Analog (SVA).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HVAL</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HVAL included high-volume integrated products that support applications like automotive safety systems, touchscreen controllers, low-voltage motor drivers and integrated motor controllers.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Power included products that help customers manage power in electronic systems. Our broad portfolio of Power products is designed to manage power requirements using battery management solutions, portable power components, power supply controls and point-of-load products.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HPA</w:t>
      </w:r>
    </w:p>
    <w:p>
      <w:pPr>
        <w:spacing w:after="0" w:line="11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HPA included products that we market to many different customers who use them in manufacturing a wide range of end products. HPA products included high-speed data converters, amplifiers, sensors, high-reliability products, interface products and precision products that are typically used in systems that require high performance. HPA products generally have long life cycles, often more than 10 years.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SVA</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SVA included a broad portfolio of industrial, high-voltage power management, data converter, interface and operational amplifier products used in manufacturing a wide range of electronic systems. SVA products support applications like video and data interface products, high voltage power conversion, and mobile lighting and display systems. SVA products generally have long life cycles, often more than 10 years. SVA consisted primarily of products that we acquired through our purchase of National Semiconductor Corporation in 2011.</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Embedded Processing</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Embedded Processing generated $3.02 billion of revenue in 2016. Embedded Processing products are the “brains” of many types of electronic equipment. Embedded processors are designed to handle specific tasks and can be optimized for various combinations of performance, power and cost, depending on the application. Our devices vary from simple, low-cost microcontrollers used in electric toothbrushes to highly specialized, complex devices used in automotive applications such as infotainment systems and advanced driver assistance systems (ADAS). Our Embedded Processing products are used in many markets, particularly industrial, automotive and communications equipment.</w:t>
      </w:r>
    </w:p>
    <w:p>
      <w:pPr>
        <w:spacing w:after="0" w:line="21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2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Sales of Embedded Processing products generated about 23 percent of our revenue in 2016. According to external sources, the market for embedded processors was about $18 billion in 2016. Our Embedded Processing segment’s revenue in 2016 was about 17 percent of this fragmented market, among the leaders. We believe we are well positioned to increase our market share over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2016, our Embedded Processing segment included the following major product lines: Processors, Microcontrollers and Connectivity.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Processors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Processors included digital signal processors (DSPs) and applications processors. DSPs perform mathematical computations almost instantaneously to process or improve digital data. Applications processors are designed for specific computing activity.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Microcontrollers</w:t>
      </w:r>
    </w:p>
    <w:p>
      <w:pPr>
        <w:spacing w:after="0" w:line="117"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Microcontrollers included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Connectivity</w:t>
      </w:r>
    </w:p>
    <w:p>
      <w:pPr>
        <w:spacing w:after="0" w:line="11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Connectivity included products that enable electronic equipment to connect and transfer data wirelessly, with the requirements for speed, data capability, distance, power and security varying depending on the application. Our Connectivity products support many wireless technologies to meet these requirements, including low-power wireless network standards like Sub-1GHz, Zigbee® and other technologies like Bluetooth® and WiFi.</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Other</w:t>
      </w:r>
    </w:p>
    <w:p>
      <w:pPr>
        <w:spacing w:after="0" w:line="131"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We report the results of our remaining business activities in Other, which included operating segments that do not meet the quantitative thresholds for individually reportable segments and cannot be aggregated with other operating segments. Other generated $1.81 billion of revenue in 2016 and included revenue from DLP® products (primarily used in projectors to create high-definition images), calculators, certain custom semiconductors known as application-specific integrated circuits (ASICs) and royalties received from agreements involving license rights to our patent portfolio.</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Other, we also included items that are not used in evaluating the results of or in allocating resources to our segments. Examples of these items include acquisition charges; restructuring charges; and certain corporate-level items, such as litigation expenses, environmental costs, insurance settlements, and gains and losses from other activities, including asset dispositions.</w:t>
      </w:r>
    </w:p>
    <w:p>
      <w:pPr>
        <w:spacing w:after="0" w:line="20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Financial information with respect to our segments and our operations outside the United States is contained in Note 1 to the financial statements, which is included in Item 8, “Financial Statements and Supplementary Data.” Risks attendant to our foreign operations are described in Item 1A, “Risk Factors.”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table below lists the major markets that used our products in 2016 and the estimated percentage of our 2016 revenue that the market represented. The chart also lists, in declining order of our revenue, the sectors within each market.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Market</w:t>
            </w:r>
          </w:p>
        </w:tc>
        <w:tc>
          <w:tcPr>
            <w:tcW w:w="160" w:type="dxa"/>
            <w:vAlign w:val="bottom"/>
            <w:tcBorders>
              <w:bottom w:val="single" w:sz="8" w:color="CFF0FC"/>
            </w:tcBorders>
          </w:tcPr>
          <w:p>
            <w:pPr>
              <w:spacing w:after="0"/>
              <w:rPr>
                <w:sz w:val="14"/>
                <w:szCs w:val="14"/>
                <w:color w:val="auto"/>
              </w:rPr>
            </w:pPr>
          </w:p>
        </w:tc>
        <w:tc>
          <w:tcPr>
            <w:tcW w:w="562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Sector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20" w:type="dxa"/>
            <w:vAlign w:val="bottom"/>
            <w:shd w:val="clear" w:color="auto" w:fill="CFF0FC"/>
          </w:tcPr>
          <w:p>
            <w:pPr>
              <w:spacing w:after="0" w:line="195" w:lineRule="exact"/>
              <w:rPr>
                <w:sz w:val="20"/>
                <w:szCs w:val="20"/>
                <w:color w:val="auto"/>
              </w:rPr>
            </w:pPr>
            <w:r>
              <w:rPr>
                <w:rFonts w:ascii="Arial" w:cs="Arial" w:eastAsia="Arial" w:hAnsi="Arial"/>
                <w:sz w:val="18"/>
                <w:szCs w:val="18"/>
                <w:b w:val="1"/>
                <w:bCs w:val="1"/>
                <w:color w:val="auto"/>
              </w:rPr>
              <w:t>Industrial</w:t>
            </w:r>
          </w:p>
        </w:tc>
        <w:tc>
          <w:tcPr>
            <w:tcW w:w="160" w:type="dxa"/>
            <w:vAlign w:val="bottom"/>
            <w:shd w:val="clear" w:color="auto" w:fill="CFF0FC"/>
          </w:tcPr>
          <w:p>
            <w:pPr>
              <w:spacing w:after="0"/>
              <w:rPr>
                <w:sz w:val="16"/>
                <w:szCs w:val="16"/>
                <w:color w:val="auto"/>
              </w:rPr>
            </w:pPr>
          </w:p>
        </w:tc>
        <w:tc>
          <w:tcPr>
            <w:tcW w:w="56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Factory automation and control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(33% of TI revenue)</w:t>
            </w: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Medical/healthcare/fitness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Building automation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Grid infrastructure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Test and measurement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Space/avionics/defense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Motor drives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Electronic point of sale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Appliances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Power delivery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Display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Industrial transportation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Lighting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Industrial other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b w:val="1"/>
                <w:bCs w:val="1"/>
                <w:color w:val="auto"/>
              </w:rPr>
              <w:t>Automotive</w:t>
            </w:r>
          </w:p>
        </w:tc>
        <w:tc>
          <w:tcPr>
            <w:tcW w:w="16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Infotainment and cluster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(18% of TI revenue)</w:t>
            </w:r>
          </w:p>
        </w:tc>
        <w:tc>
          <w:tcPr>
            <w:tcW w:w="1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Passive safety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Advanced Driver Assistance Systems (ADAS)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Hybrid/electric vehicle and powertrain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Body electronics and lighting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shd w:val="clear" w:color="auto" w:fill="CFF0FC"/>
          </w:tcPr>
          <w:p>
            <w:pPr>
              <w:spacing w:after="0" w:line="201" w:lineRule="exact"/>
              <w:rPr>
                <w:sz w:val="20"/>
                <w:szCs w:val="20"/>
                <w:color w:val="auto"/>
              </w:rPr>
            </w:pPr>
            <w:r>
              <w:rPr>
                <w:rFonts w:ascii="Arial" w:cs="Arial" w:eastAsia="Arial" w:hAnsi="Arial"/>
                <w:sz w:val="18"/>
                <w:szCs w:val="18"/>
                <w:b w:val="1"/>
                <w:bCs w:val="1"/>
                <w:color w:val="auto"/>
              </w:rPr>
              <w:t>Personal electronics</w:t>
            </w:r>
          </w:p>
        </w:tc>
        <w:tc>
          <w:tcPr>
            <w:tcW w:w="160" w:type="dxa"/>
            <w:vAlign w:val="bottom"/>
            <w:shd w:val="clear" w:color="auto" w:fill="CFF0FC"/>
          </w:tcPr>
          <w:p>
            <w:pPr>
              <w:spacing w:after="0"/>
              <w:rPr>
                <w:sz w:val="17"/>
                <w:szCs w:val="17"/>
                <w:color w:val="auto"/>
              </w:rPr>
            </w:pPr>
          </w:p>
        </w:tc>
        <w:tc>
          <w:tcPr>
            <w:tcW w:w="562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Mobile phones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(26% of TI revenue)</w:t>
            </w: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Personal and notebook computers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Storage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Portable electronics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Tablets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Home theater and entertainment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Printers and other peripherals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Wearables (non-medical)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Gaming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b w:val="1"/>
                <w:bCs w:val="1"/>
                <w:color w:val="auto"/>
              </w:rPr>
              <w:t>Communications equipment</w:t>
            </w:r>
          </w:p>
        </w:tc>
        <w:tc>
          <w:tcPr>
            <w:tcW w:w="16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Wireless infrastructure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(13% of TI revenue)</w:t>
            </w:r>
          </w:p>
        </w:tc>
        <w:tc>
          <w:tcPr>
            <w:tcW w:w="1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Telecom infrastructure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Enterprise switching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shd w:val="clear" w:color="auto" w:fill="CFF0FC"/>
          </w:tcPr>
          <w:p>
            <w:pPr>
              <w:spacing w:after="0" w:line="201" w:lineRule="exact"/>
              <w:rPr>
                <w:sz w:val="20"/>
                <w:szCs w:val="20"/>
                <w:color w:val="auto"/>
              </w:rPr>
            </w:pPr>
            <w:r>
              <w:rPr>
                <w:rFonts w:ascii="Arial" w:cs="Arial" w:eastAsia="Arial" w:hAnsi="Arial"/>
                <w:sz w:val="18"/>
                <w:szCs w:val="18"/>
                <w:b w:val="1"/>
                <w:bCs w:val="1"/>
                <w:color w:val="auto"/>
              </w:rPr>
              <w:t>Enterprise systems</w:t>
            </w:r>
          </w:p>
        </w:tc>
        <w:tc>
          <w:tcPr>
            <w:tcW w:w="160" w:type="dxa"/>
            <w:vAlign w:val="bottom"/>
            <w:shd w:val="clear" w:color="auto" w:fill="CFF0FC"/>
          </w:tcPr>
          <w:p>
            <w:pPr>
              <w:spacing w:after="0"/>
              <w:rPr>
                <w:sz w:val="17"/>
                <w:szCs w:val="17"/>
                <w:color w:val="auto"/>
              </w:rPr>
            </w:pPr>
          </w:p>
        </w:tc>
        <w:tc>
          <w:tcPr>
            <w:tcW w:w="562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Projectors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(6% of TI revenue)</w:t>
            </w: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Servers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High-performance computing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Multi-function printers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Thin client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b w:val="1"/>
                <w:bCs w:val="1"/>
                <w:color w:val="auto"/>
              </w:rPr>
              <w:t>Other (calculators, royalties and other)</w:t>
            </w:r>
          </w:p>
        </w:tc>
        <w:tc>
          <w:tcPr>
            <w:tcW w:w="1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(4% of TI revenue)</w:t>
            </w:r>
          </w:p>
        </w:tc>
        <w:tc>
          <w:tcPr>
            <w:tcW w:w="1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Market characteristics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11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Despite recent consolidation, the analog and embedded processing markets remain highly fragmented. As a result, we face significant global competition from dozens of large and small companies, including both broad-based suppliers and niche suppliers. Our competitors also include emerging companies, particularly in Asia, that sell products into the same markets in which we operate.</w:t>
      </w:r>
    </w:p>
    <w:p>
      <w:pPr>
        <w:spacing w:after="0" w:line="20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believe that competitive performance in the semiconductor market generally depends on several factors, including the breadth of a company’s product line, the strength and depth of its channels to market, technological innovation, product development execution, technical support, customer service, quality, reliability, price and scale. The primary competitive factors for our Analog products include design proficiency, a diverse product portfolio to meet wide-ranging customer needs, manufacturing process technologies that provide differentiated levels of performance, applications and sales support, and manufacturing expertise and capacity. The primary competitive factors for our Embedded Processing products are the ability to design and cost-effectively manufacture products, system-level knowledge about targeted end markets, the installed base of software, software expertise, applications and sales support, and a product’s performance, integration and power characteristics.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could be affected by the significant time and money required to build and maintain semiconductor manufacturing facilities.</w:t>
      </w:r>
    </w:p>
    <w:p>
      <w:pPr>
        <w:spacing w:after="0" w:line="21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employ several strategies to dampen the effect of the semiconductor cycle on TI. We acquire our manufacturing facilities and equipment ahead of demand, which usually allows us to acquire this capacity at lower costs. We focus our resources on our Analog and Embedded Processing segments, which serve diverse markets and diverse customers. This diversity reduces our dependence on the performance of a single market or small group of customers. Additionally, we utilize consignment inventory programs with our customers and distributors that give us improved insight into customer demand.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revenue is subject to some seasonal variation. Historically, our sequential revenue growth rate tends to be weaker in the first and fourth quarters when compared to the second and third quarters.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3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and requires an average of 12 weeks, with most products completing within 7 to 15 weeks.</w:t>
      </w:r>
    </w:p>
    <w:p>
      <w:pPr>
        <w:spacing w:after="0" w:line="20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logic products, such as some of our processor products.</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We own much of our manufacturing capacity; therefore, a significant portion of our operating cost is fixed and changes in factory loadings can cause short-term variations in profit margins.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Our operating focus is more 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220"/>
        <w:spacing w:after="0" w:line="342" w:lineRule="auto"/>
        <w:rPr>
          <w:sz w:val="20"/>
          <w:szCs w:val="20"/>
          <w:color w:val="auto"/>
        </w:rPr>
      </w:pPr>
      <w:r>
        <w:rPr>
          <w:rFonts w:ascii="Arial" w:cs="Arial" w:eastAsia="Arial" w:hAnsi="Arial"/>
          <w:sz w:val="16"/>
          <w:szCs w:val="16"/>
          <w:color w:val="auto"/>
        </w:rPr>
        <w:t>maximizing long-term free cash flow than minimizing short-term variations in profit margins caused by factory loadings. To this end, we seek to maximize long-term free cash flow by keeping capital expenditures low through opportunistic purchases of facilities and equipment ahead of demand.</w:t>
      </w:r>
    </w:p>
    <w:p>
      <w:pPr>
        <w:spacing w:after="0" w:line="15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expect to maintain sufficient internal manufacturing capacity to meet the vast majority of our production needs. To supplement our manufacturing capacity and maximize our responsiveness to customer demand and return on capital, we utilize the capacity of outside suppliers, commonly known as foundries, and subcontractors. In 2016, we sourced about 20 percent of our total wafers from external foundries and about 40 percent of our assembly/test services from subcontractors.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3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estimate that we sell our products to about 100,000 customers. Our customer base is diverse, with more than one-third of our revenue deriving from customers outside our largest 100.</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market and sell our semiconductor products through direct sales and distributors, and online. We have sales or marketing offices in more than 30 countries and we continue to expand our online presence. About 60 percent of our sales are fulfilled through distribution channels. Our distributors maintain an inventory of our products and sell directly to a wide range of customers. They also sell products from our competitors.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3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inventory practices differ by product, but we generally maintain inventory levels that are consistent with our expectations of customer demand. We carry proportionally more inventory of products with long life cycles and a broad customer base. Additionally, we sometimes maintain product inventory in unfinished wafer form, as well as higher finished-goods inventory of low-volume products, allowing greater flexibility in periods of high demand.</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About 60 percent of TI revenue is fulfilled from consignment inventory programs that we have in place for our large customers and distributors. With these programs, we own inventory that is stored at our customers’ and distributors’ locations, and we recognize revenue when the product is pulled from consigned inventory. These consignment programs give us improved insight into demand, allowing us to better manage our factory loadings. About 65 percent of our distributor revenue is generated from sales of consigned inventory.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define backlog as of a particular date as purchase orders with a customer-requested delivery date within a specified length of time. Our backlog at any particular date may not be indicative of revenue for any future period. As customer requirements and industry conditions change, orders may be subject to cancellation or modification of terms such as pricing, quantity or delivery date. Customer order placement practices continually evolve based on customers’ individual business needs and capabilities, as well as industry supply and capacity considerations. Further, our consignment programs do not result in backlog because the order occurs at the same time as delivery, i.e., when the customer pulls the product from consigned inventory. Our backlog of orders was $1.09 billion at December 31, 2016, and $0.95 billion at December 31, 2015.</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divestitures and investments</w:t>
      </w:r>
    </w:p>
    <w:p>
      <w:pPr>
        <w:spacing w:after="0" w:line="1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time to time we consider acquisitions and divestitures that may strengthen our strategic position. We also make investments directly or indirectly in private companies. Investments are focused primarily on next-generation technologies and markets strategic to us.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3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own many patents, and have many patent applications pending, in the United States and other countries in fields relating to our business. We have developed a strong, broad-based patent portfolio and continually add patents to that portfolio. We also have license agreements, which vary in duration, involving rights to our portfolio or those of other companies. We do not consider our business materially dependent upon any one patent or patent license. We often participate in industry initiatives to set technical standards. Our competitors may participate in the same initiatives. Participation in these initiatives may require us to license certain of our patents to other companies on reasonable and non-discriminatory terms.</w:t>
      </w:r>
    </w:p>
    <w:p>
      <w:pPr>
        <w:spacing w:after="0" w:line="2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R&amp;D expense was $1.37 billion in 2016, compared with $1.28 billion in 2015 and $1.36 billion in 2014. Our primary areas of R&amp;D investment are Analog and Embedded Processing products.</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conduct most of our R&amp;D internally. However, we also closely engage with a wide range of third parties, including software suppliers, universities and select industry consortia, and we collaborate with our foundry suppliers on semiconductor manufacturing technology.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held by each person named:</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ind w:left="231"/>
              <w:spacing w:after="0"/>
              <w:rPr>
                <w:sz w:val="20"/>
                <w:szCs w:val="20"/>
                <w:color w:val="auto"/>
              </w:rPr>
            </w:pPr>
            <w:r>
              <w:rPr>
                <w:rFonts w:ascii="Arial" w:cs="Arial" w:eastAsia="Arial" w:hAnsi="Arial"/>
                <w:sz w:val="14"/>
                <w:szCs w:val="14"/>
                <w:b w:val="1"/>
                <w:bCs w:val="1"/>
                <w:color w:val="auto"/>
                <w:w w:val="90"/>
              </w:rPr>
              <w:t>Age</w:t>
            </w:r>
          </w:p>
        </w:tc>
        <w:tc>
          <w:tcPr>
            <w:tcW w:w="7180" w:type="dxa"/>
            <w:vAlign w:val="bottom"/>
          </w:tcPr>
          <w:p>
            <w:pPr>
              <w:ind w:left="160"/>
              <w:spacing w:after="0"/>
              <w:rPr>
                <w:sz w:val="20"/>
                <w:szCs w:val="20"/>
                <w:color w:val="auto"/>
              </w:rPr>
            </w:pPr>
            <w:r>
              <w:rPr>
                <w:rFonts w:ascii="Arial" w:cs="Arial" w:eastAsia="Arial" w:hAnsi="Arial"/>
                <w:sz w:val="14"/>
                <w:szCs w:val="14"/>
                <w:b w:val="1"/>
                <w:bCs w:val="1"/>
                <w:color w:val="auto"/>
              </w:rPr>
              <w:t>Position</w:t>
            </w:r>
          </w:p>
        </w:tc>
      </w:tr>
      <w:tr>
        <w:trPr>
          <w:trHeight w:val="230"/>
        </w:trPr>
        <w:tc>
          <w:tcPr>
            <w:tcW w:w="20" w:type="dxa"/>
            <w:vAlign w:val="bottom"/>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Niels Anderskouv*</w:t>
            </w:r>
          </w:p>
        </w:tc>
        <w:tc>
          <w:tcPr>
            <w:tcW w:w="880" w:type="dxa"/>
            <w:vAlign w:val="bottom"/>
            <w:shd w:val="clear" w:color="auto" w:fill="CFF0FC"/>
          </w:tcPr>
          <w:p>
            <w:pPr>
              <w:jc w:val="center"/>
              <w:ind w:left="211"/>
              <w:spacing w:after="0"/>
              <w:rPr>
                <w:sz w:val="20"/>
                <w:szCs w:val="20"/>
                <w:color w:val="auto"/>
              </w:rPr>
            </w:pPr>
            <w:r>
              <w:rPr>
                <w:rFonts w:ascii="Arial" w:cs="Arial" w:eastAsia="Arial" w:hAnsi="Arial"/>
                <w:sz w:val="18"/>
                <w:szCs w:val="18"/>
                <w:color w:val="auto"/>
                <w:w w:val="89"/>
              </w:rPr>
              <w:t>47</w:t>
            </w:r>
          </w:p>
        </w:tc>
        <w:tc>
          <w:tcPr>
            <w:tcW w:w="71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Senior Vice President</w:t>
            </w:r>
          </w:p>
        </w:tc>
      </w:tr>
      <w:tr>
        <w:trPr>
          <w:trHeight w:val="230"/>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Stephen A. Anderson</w:t>
            </w:r>
          </w:p>
        </w:tc>
        <w:tc>
          <w:tcPr>
            <w:tcW w:w="880" w:type="dxa"/>
            <w:vAlign w:val="bottom"/>
          </w:tcPr>
          <w:p>
            <w:pPr>
              <w:jc w:val="center"/>
              <w:ind w:left="211"/>
              <w:spacing w:after="0"/>
              <w:rPr>
                <w:sz w:val="20"/>
                <w:szCs w:val="20"/>
                <w:color w:val="auto"/>
              </w:rPr>
            </w:pPr>
            <w:r>
              <w:rPr>
                <w:rFonts w:ascii="Arial" w:cs="Arial" w:eastAsia="Arial" w:hAnsi="Arial"/>
                <w:sz w:val="18"/>
                <w:szCs w:val="18"/>
                <w:color w:val="auto"/>
                <w:w w:val="89"/>
              </w:rPr>
              <w:t>55</w:t>
            </w:r>
          </w:p>
        </w:tc>
        <w:tc>
          <w:tcPr>
            <w:tcW w:w="718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230"/>
        </w:trPr>
        <w:tc>
          <w:tcPr>
            <w:tcW w:w="20" w:type="dxa"/>
            <w:vAlign w:val="bottom"/>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Ellen L. Barker*</w:t>
            </w:r>
          </w:p>
        </w:tc>
        <w:tc>
          <w:tcPr>
            <w:tcW w:w="880" w:type="dxa"/>
            <w:vAlign w:val="bottom"/>
            <w:shd w:val="clear" w:color="auto" w:fill="CFF0FC"/>
          </w:tcPr>
          <w:p>
            <w:pPr>
              <w:jc w:val="center"/>
              <w:ind w:left="211"/>
              <w:spacing w:after="0"/>
              <w:rPr>
                <w:sz w:val="20"/>
                <w:szCs w:val="20"/>
                <w:color w:val="auto"/>
              </w:rPr>
            </w:pPr>
            <w:r>
              <w:rPr>
                <w:rFonts w:ascii="Arial" w:cs="Arial" w:eastAsia="Arial" w:hAnsi="Arial"/>
                <w:sz w:val="18"/>
                <w:szCs w:val="18"/>
                <w:color w:val="auto"/>
                <w:w w:val="89"/>
              </w:rPr>
              <w:t>54</w:t>
            </w:r>
          </w:p>
        </w:tc>
        <w:tc>
          <w:tcPr>
            <w:tcW w:w="71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Senior Vice President and Chief Information Officer</w:t>
            </w:r>
          </w:p>
        </w:tc>
      </w:tr>
      <w:tr>
        <w:trPr>
          <w:trHeight w:val="230"/>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Brian T. Crutcher</w:t>
            </w:r>
          </w:p>
        </w:tc>
        <w:tc>
          <w:tcPr>
            <w:tcW w:w="880" w:type="dxa"/>
            <w:vAlign w:val="bottom"/>
          </w:tcPr>
          <w:p>
            <w:pPr>
              <w:jc w:val="center"/>
              <w:ind w:left="211"/>
              <w:spacing w:after="0"/>
              <w:rPr>
                <w:sz w:val="20"/>
                <w:szCs w:val="20"/>
                <w:color w:val="auto"/>
              </w:rPr>
            </w:pPr>
            <w:r>
              <w:rPr>
                <w:rFonts w:ascii="Arial" w:cs="Arial" w:eastAsia="Arial" w:hAnsi="Arial"/>
                <w:sz w:val="18"/>
                <w:szCs w:val="18"/>
                <w:color w:val="auto"/>
                <w:w w:val="89"/>
              </w:rPr>
              <w:t>44</w:t>
            </w:r>
          </w:p>
        </w:tc>
        <w:tc>
          <w:tcPr>
            <w:tcW w:w="7180" w:type="dxa"/>
            <w:vAlign w:val="bottom"/>
          </w:tcPr>
          <w:p>
            <w:pPr>
              <w:ind w:left="160"/>
              <w:spacing w:after="0"/>
              <w:rPr>
                <w:sz w:val="20"/>
                <w:szCs w:val="20"/>
                <w:color w:val="auto"/>
              </w:rPr>
            </w:pPr>
            <w:r>
              <w:rPr>
                <w:rFonts w:ascii="Arial" w:cs="Arial" w:eastAsia="Arial" w:hAnsi="Arial"/>
                <w:sz w:val="18"/>
                <w:szCs w:val="18"/>
                <w:color w:val="auto"/>
              </w:rPr>
              <w:t>Executive Vice President and Chief Operating Officer</w:t>
            </w:r>
          </w:p>
        </w:tc>
      </w:tr>
      <w:tr>
        <w:trPr>
          <w:trHeight w:val="230"/>
        </w:trPr>
        <w:tc>
          <w:tcPr>
            <w:tcW w:w="20" w:type="dxa"/>
            <w:vAlign w:val="bottom"/>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R. Gregory Delagi</w:t>
            </w:r>
          </w:p>
        </w:tc>
        <w:tc>
          <w:tcPr>
            <w:tcW w:w="880" w:type="dxa"/>
            <w:vAlign w:val="bottom"/>
            <w:shd w:val="clear" w:color="auto" w:fill="CFF0FC"/>
          </w:tcPr>
          <w:p>
            <w:pPr>
              <w:jc w:val="center"/>
              <w:ind w:left="211"/>
              <w:spacing w:after="0"/>
              <w:rPr>
                <w:sz w:val="20"/>
                <w:szCs w:val="20"/>
                <w:color w:val="auto"/>
              </w:rPr>
            </w:pPr>
            <w:r>
              <w:rPr>
                <w:rFonts w:ascii="Arial" w:cs="Arial" w:eastAsia="Arial" w:hAnsi="Arial"/>
                <w:sz w:val="18"/>
                <w:szCs w:val="18"/>
                <w:color w:val="auto"/>
                <w:w w:val="89"/>
              </w:rPr>
              <w:t>54</w:t>
            </w:r>
          </w:p>
        </w:tc>
        <w:tc>
          <w:tcPr>
            <w:tcW w:w="71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Senior Vice President</w:t>
            </w:r>
          </w:p>
        </w:tc>
      </w:tr>
      <w:tr>
        <w:trPr>
          <w:trHeight w:val="230"/>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Haviv Ilan*</w:t>
            </w:r>
          </w:p>
        </w:tc>
        <w:tc>
          <w:tcPr>
            <w:tcW w:w="880" w:type="dxa"/>
            <w:vAlign w:val="bottom"/>
          </w:tcPr>
          <w:p>
            <w:pPr>
              <w:jc w:val="center"/>
              <w:ind w:left="211"/>
              <w:spacing w:after="0"/>
              <w:rPr>
                <w:sz w:val="20"/>
                <w:szCs w:val="20"/>
                <w:color w:val="auto"/>
              </w:rPr>
            </w:pPr>
            <w:r>
              <w:rPr>
                <w:rFonts w:ascii="Arial" w:cs="Arial" w:eastAsia="Arial" w:hAnsi="Arial"/>
                <w:sz w:val="18"/>
                <w:szCs w:val="18"/>
                <w:color w:val="auto"/>
                <w:w w:val="89"/>
              </w:rPr>
              <w:t>48</w:t>
            </w:r>
          </w:p>
        </w:tc>
        <w:tc>
          <w:tcPr>
            <w:tcW w:w="718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230"/>
        </w:trPr>
        <w:tc>
          <w:tcPr>
            <w:tcW w:w="20" w:type="dxa"/>
            <w:vAlign w:val="bottom"/>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Rafael R. Lizardi**</w:t>
            </w:r>
          </w:p>
        </w:tc>
        <w:tc>
          <w:tcPr>
            <w:tcW w:w="880" w:type="dxa"/>
            <w:vAlign w:val="bottom"/>
            <w:shd w:val="clear" w:color="auto" w:fill="CFF0FC"/>
          </w:tcPr>
          <w:p>
            <w:pPr>
              <w:jc w:val="center"/>
              <w:ind w:left="211"/>
              <w:spacing w:after="0"/>
              <w:rPr>
                <w:sz w:val="20"/>
                <w:szCs w:val="20"/>
                <w:color w:val="auto"/>
              </w:rPr>
            </w:pPr>
            <w:r>
              <w:rPr>
                <w:rFonts w:ascii="Arial" w:cs="Arial" w:eastAsia="Arial" w:hAnsi="Arial"/>
                <w:sz w:val="18"/>
                <w:szCs w:val="18"/>
                <w:color w:val="auto"/>
                <w:w w:val="89"/>
              </w:rPr>
              <w:t>44</w:t>
            </w:r>
          </w:p>
        </w:tc>
        <w:tc>
          <w:tcPr>
            <w:tcW w:w="71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Kevin P. March**</w:t>
            </w:r>
          </w:p>
        </w:tc>
        <w:tc>
          <w:tcPr>
            <w:tcW w:w="880" w:type="dxa"/>
            <w:vAlign w:val="bottom"/>
          </w:tcPr>
          <w:p>
            <w:pPr>
              <w:jc w:val="center"/>
              <w:ind w:left="211"/>
              <w:spacing w:after="0"/>
              <w:rPr>
                <w:sz w:val="20"/>
                <w:szCs w:val="20"/>
                <w:color w:val="auto"/>
              </w:rPr>
            </w:pPr>
            <w:r>
              <w:rPr>
                <w:rFonts w:ascii="Arial" w:cs="Arial" w:eastAsia="Arial" w:hAnsi="Arial"/>
                <w:sz w:val="18"/>
                <w:szCs w:val="18"/>
                <w:color w:val="auto"/>
                <w:w w:val="89"/>
              </w:rPr>
              <w:t>59</w:t>
            </w:r>
          </w:p>
        </w:tc>
        <w:tc>
          <w:tcPr>
            <w:tcW w:w="7180" w:type="dxa"/>
            <w:vAlign w:val="bottom"/>
          </w:tcPr>
          <w:p>
            <w:pPr>
              <w:ind w:left="160"/>
              <w:spacing w:after="0"/>
              <w:rPr>
                <w:sz w:val="20"/>
                <w:szCs w:val="20"/>
                <w:color w:val="auto"/>
              </w:rPr>
            </w:pPr>
            <w:r>
              <w:rPr>
                <w:rFonts w:ascii="Arial" w:cs="Arial" w:eastAsia="Arial" w:hAnsi="Arial"/>
                <w:sz w:val="18"/>
                <w:szCs w:val="18"/>
                <w:color w:val="auto"/>
              </w:rPr>
              <w:t>Senior Vice President, Principal Financial Officer and Chief Accounting Officer</w:t>
            </w:r>
          </w:p>
        </w:tc>
      </w:tr>
      <w:tr>
        <w:trPr>
          <w:trHeight w:val="230"/>
        </w:trPr>
        <w:tc>
          <w:tcPr>
            <w:tcW w:w="20" w:type="dxa"/>
            <w:vAlign w:val="bottom"/>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Kevin J. Ritchie</w:t>
            </w:r>
          </w:p>
        </w:tc>
        <w:tc>
          <w:tcPr>
            <w:tcW w:w="880" w:type="dxa"/>
            <w:vAlign w:val="bottom"/>
            <w:shd w:val="clear" w:color="auto" w:fill="CFF0FC"/>
          </w:tcPr>
          <w:p>
            <w:pPr>
              <w:jc w:val="center"/>
              <w:ind w:left="211"/>
              <w:spacing w:after="0"/>
              <w:rPr>
                <w:sz w:val="20"/>
                <w:szCs w:val="20"/>
                <w:color w:val="auto"/>
              </w:rPr>
            </w:pPr>
            <w:r>
              <w:rPr>
                <w:rFonts w:ascii="Arial" w:cs="Arial" w:eastAsia="Arial" w:hAnsi="Arial"/>
                <w:sz w:val="18"/>
                <w:szCs w:val="18"/>
                <w:color w:val="auto"/>
                <w:w w:val="89"/>
              </w:rPr>
              <w:t>60</w:t>
            </w:r>
          </w:p>
        </w:tc>
        <w:tc>
          <w:tcPr>
            <w:tcW w:w="71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Senior Vice President</w:t>
            </w:r>
          </w:p>
        </w:tc>
      </w:tr>
      <w:tr>
        <w:trPr>
          <w:trHeight w:val="230"/>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Richard K. Templeton</w:t>
            </w:r>
          </w:p>
        </w:tc>
        <w:tc>
          <w:tcPr>
            <w:tcW w:w="880" w:type="dxa"/>
            <w:vAlign w:val="bottom"/>
          </w:tcPr>
          <w:p>
            <w:pPr>
              <w:jc w:val="center"/>
              <w:ind w:left="211"/>
              <w:spacing w:after="0"/>
              <w:rPr>
                <w:sz w:val="20"/>
                <w:szCs w:val="20"/>
                <w:color w:val="auto"/>
              </w:rPr>
            </w:pPr>
            <w:r>
              <w:rPr>
                <w:rFonts w:ascii="Arial" w:cs="Arial" w:eastAsia="Arial" w:hAnsi="Arial"/>
                <w:sz w:val="18"/>
                <w:szCs w:val="18"/>
                <w:color w:val="auto"/>
                <w:w w:val="89"/>
              </w:rPr>
              <w:t>58</w:t>
            </w:r>
          </w:p>
        </w:tc>
        <w:tc>
          <w:tcPr>
            <w:tcW w:w="7180" w:type="dxa"/>
            <w:vAlign w:val="bottom"/>
          </w:tcPr>
          <w:p>
            <w:pPr>
              <w:ind w:left="160"/>
              <w:spacing w:after="0"/>
              <w:rPr>
                <w:sz w:val="20"/>
                <w:szCs w:val="20"/>
                <w:color w:val="auto"/>
              </w:rPr>
            </w:pPr>
            <w:r>
              <w:rPr>
                <w:rFonts w:ascii="Arial" w:cs="Arial" w:eastAsia="Arial" w:hAnsi="Arial"/>
                <w:sz w:val="18"/>
                <w:szCs w:val="18"/>
                <w:color w:val="auto"/>
              </w:rPr>
              <w:t>Director; Chairman of the Board, President and Chief Executive Officer</w:t>
            </w:r>
          </w:p>
        </w:tc>
      </w:tr>
      <w:tr>
        <w:trPr>
          <w:trHeight w:val="230"/>
        </w:trPr>
        <w:tc>
          <w:tcPr>
            <w:tcW w:w="20" w:type="dxa"/>
            <w:vAlign w:val="bottom"/>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Cynthia Hoff Trochu</w:t>
            </w:r>
          </w:p>
        </w:tc>
        <w:tc>
          <w:tcPr>
            <w:tcW w:w="880" w:type="dxa"/>
            <w:vAlign w:val="bottom"/>
            <w:shd w:val="clear" w:color="auto" w:fill="CFF0FC"/>
          </w:tcPr>
          <w:p>
            <w:pPr>
              <w:jc w:val="center"/>
              <w:ind w:left="211"/>
              <w:spacing w:after="0"/>
              <w:rPr>
                <w:sz w:val="20"/>
                <w:szCs w:val="20"/>
                <w:color w:val="auto"/>
              </w:rPr>
            </w:pPr>
            <w:r>
              <w:rPr>
                <w:rFonts w:ascii="Arial" w:cs="Arial" w:eastAsia="Arial" w:hAnsi="Arial"/>
                <w:sz w:val="18"/>
                <w:szCs w:val="18"/>
                <w:color w:val="auto"/>
                <w:w w:val="89"/>
              </w:rPr>
              <w:t>53</w:t>
            </w:r>
          </w:p>
        </w:tc>
        <w:tc>
          <w:tcPr>
            <w:tcW w:w="71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Senior Vice President, Secretary and General Counsel</w:t>
            </w:r>
          </w:p>
        </w:tc>
      </w:tr>
      <w:tr>
        <w:trPr>
          <w:trHeight w:val="230"/>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Julie M. Van Haren***</w:t>
            </w:r>
          </w:p>
        </w:tc>
        <w:tc>
          <w:tcPr>
            <w:tcW w:w="880" w:type="dxa"/>
            <w:vAlign w:val="bottom"/>
          </w:tcPr>
          <w:p>
            <w:pPr>
              <w:jc w:val="center"/>
              <w:ind w:left="211"/>
              <w:spacing w:after="0"/>
              <w:rPr>
                <w:sz w:val="20"/>
                <w:szCs w:val="20"/>
                <w:color w:val="auto"/>
              </w:rPr>
            </w:pPr>
            <w:r>
              <w:rPr>
                <w:rFonts w:ascii="Arial" w:cs="Arial" w:eastAsia="Arial" w:hAnsi="Arial"/>
                <w:sz w:val="18"/>
                <w:szCs w:val="18"/>
                <w:color w:val="auto"/>
                <w:w w:val="89"/>
              </w:rPr>
              <w:t>48</w:t>
            </w:r>
          </w:p>
        </w:tc>
        <w:tc>
          <w:tcPr>
            <w:tcW w:w="718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230"/>
        </w:trPr>
        <w:tc>
          <w:tcPr>
            <w:tcW w:w="20" w:type="dxa"/>
            <w:vAlign w:val="bottom"/>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Teresa L. West***</w:t>
            </w:r>
          </w:p>
        </w:tc>
        <w:tc>
          <w:tcPr>
            <w:tcW w:w="880" w:type="dxa"/>
            <w:vAlign w:val="bottom"/>
            <w:shd w:val="clear" w:color="auto" w:fill="CFF0FC"/>
          </w:tcPr>
          <w:p>
            <w:pPr>
              <w:jc w:val="center"/>
              <w:ind w:left="211"/>
              <w:spacing w:after="0"/>
              <w:rPr>
                <w:sz w:val="20"/>
                <w:szCs w:val="20"/>
                <w:color w:val="auto"/>
              </w:rPr>
            </w:pPr>
            <w:r>
              <w:rPr>
                <w:rFonts w:ascii="Arial" w:cs="Arial" w:eastAsia="Arial" w:hAnsi="Arial"/>
                <w:sz w:val="18"/>
                <w:szCs w:val="18"/>
                <w:color w:val="auto"/>
                <w:w w:val="89"/>
              </w:rPr>
              <w:t>56</w:t>
            </w:r>
          </w:p>
        </w:tc>
        <w:tc>
          <w:tcPr>
            <w:tcW w:w="71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Senior Vice President</w:t>
            </w:r>
          </w:p>
        </w:tc>
      </w:tr>
      <w:tr>
        <w:trPr>
          <w:trHeight w:val="230"/>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Darla H. Whitaker</w:t>
            </w:r>
          </w:p>
        </w:tc>
        <w:tc>
          <w:tcPr>
            <w:tcW w:w="880" w:type="dxa"/>
            <w:vAlign w:val="bottom"/>
          </w:tcPr>
          <w:p>
            <w:pPr>
              <w:jc w:val="center"/>
              <w:ind w:left="211"/>
              <w:spacing w:after="0"/>
              <w:rPr>
                <w:sz w:val="20"/>
                <w:szCs w:val="20"/>
                <w:color w:val="auto"/>
              </w:rPr>
            </w:pPr>
            <w:r>
              <w:rPr>
                <w:rFonts w:ascii="Arial" w:cs="Arial" w:eastAsia="Arial" w:hAnsi="Arial"/>
                <w:sz w:val="18"/>
                <w:szCs w:val="18"/>
                <w:color w:val="auto"/>
                <w:w w:val="89"/>
              </w:rPr>
              <w:t>51</w:t>
            </w:r>
          </w:p>
        </w:tc>
        <w:tc>
          <w:tcPr>
            <w:tcW w:w="718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230"/>
        </w:trPr>
        <w:tc>
          <w:tcPr>
            <w:tcW w:w="20" w:type="dxa"/>
            <w:vAlign w:val="bottom"/>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Bing Xie</w:t>
            </w:r>
          </w:p>
        </w:tc>
        <w:tc>
          <w:tcPr>
            <w:tcW w:w="880" w:type="dxa"/>
            <w:vAlign w:val="bottom"/>
            <w:shd w:val="clear" w:color="auto" w:fill="CFF0FC"/>
          </w:tcPr>
          <w:p>
            <w:pPr>
              <w:jc w:val="center"/>
              <w:ind w:left="211"/>
              <w:spacing w:after="0"/>
              <w:rPr>
                <w:sz w:val="20"/>
                <w:szCs w:val="20"/>
                <w:color w:val="auto"/>
              </w:rPr>
            </w:pPr>
            <w:r>
              <w:rPr>
                <w:rFonts w:ascii="Arial" w:cs="Arial" w:eastAsia="Arial" w:hAnsi="Arial"/>
                <w:sz w:val="18"/>
                <w:szCs w:val="18"/>
                <w:color w:val="auto"/>
                <w:w w:val="89"/>
              </w:rPr>
              <w:t>49</w:t>
            </w:r>
          </w:p>
        </w:tc>
        <w:tc>
          <w:tcPr>
            <w:tcW w:w="71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107"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January 19, 2017.</w:t>
      </w:r>
    </w:p>
    <w:p>
      <w:pPr>
        <w:spacing w:after="0" w:line="23" w:lineRule="exact"/>
        <w:rPr>
          <w:sz w:val="20"/>
          <w:szCs w:val="20"/>
          <w:color w:val="auto"/>
        </w:rPr>
      </w:pPr>
    </w:p>
    <w:p>
      <w:pPr>
        <w:ind w:left="52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February 1, 2017, Mr. Lizardi succeeded Mr. March as chief financial officer. Mr. Lizardi will assume the responsibilities of chief accounting officer effective March 1, 2017, at which time Mr. March will cease to be principal financial officer. Mr. March will retire from the company later this year.</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January 1, 2017, Ms. Van Haren succeeded Ms. West, who will retire from the company on February 28, 2017.</w:t>
      </w:r>
    </w:p>
    <w:p>
      <w:pPr>
        <w:spacing w:after="0" w:line="25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term of office of these officers is from the date of their election until their successor shall have been elected and qualified. All have been employees of the company for more than five years. Messrs. Anderson, Crutcher, Delagi, March, Ritchie and Templeton and Mses. West and Whitaker have served as executive officers of the company for more than five years. Ms. Trochu and Mr. Xie became executive officers of the company in 2015.</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we had 29,865 employees.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internet address is www.ti.com. Information on our website is not a part of this report. We make available free of charge through our Investor Relations website our reports on Forms 10-K, 10-Q and 8-K, and amendments to those reports, as soon as reasonably practicable after they are filed with the SEC. Also available through the TI Investor Relations website are reports filed by our directors and executive officers on Forms 3, 4 and 5, and amendments to those reports.</w:t>
      </w:r>
    </w:p>
    <w:p>
      <w:pPr>
        <w:spacing w:after="0" w:line="18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Available on our website at www.ti.com/corporategovernance are: (i) our Corporate Governance Guidelines; (ii) charters for the Audit, Compensation, and Governance and Stockholder Relations Committees of our board of directors; (iii) our Code of Conduct; and (iv) our Code of Ethics for TI Chief Executive Officer and Senior Finance Officers. Stockholders may request copies of these documents free of charge by writing to Texas Instruments Incorporated, P.O. Box 660199, MS 8657, Dallas, Texas, 75266-0199, Attention: Investor Relations.</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TI, a company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and other factors, many of which are beyond our control.</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13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face intense technological and pricing competition in the markets in which we operate. We expect this competition will continue to increase from large competitors and from small competitors serving niche markets, and also from emerging companies, particularly in Asia, that sell products into the same markets in which we operate. For example, we may face increased competition as a result of China actively promoting and reshaping its domestic semiconductor industry through policy changes and investment. These actions may restrict us from participating in the China market or may prevent us from competing effectively with Chinese companies. Certain of our competitors possess sufficient financial, technical and management resources to develop and market products that may compete favorably against our products, and consolidation among our competitors may allow them to compete more effectively. Additionally, traditional intellectual property licensors are increasingly providing functionality, designs and complete hardware or software solutions that compete with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Rapid technological change in markets we serve requires us to develop new technologies and products.</w:t>
      </w:r>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We make significant investments in research and development to develop new technologies and products to meet changing customer demands, and we might not realize a return on our investments because they are generally made before commercial viability can be assured. Further, projects that are commercially viable may not contribute significant revenue until at least a few years after they are completed.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expected demand for our products could have a material adverse effect on our results of operations.</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customers include companies in a wide range of end markets and sectors within those markets. If demand in one or more sectors within our end markets declines or grows at a significantly slower pace than management expects, our results of operations may be adversely affected. The cyclical nature of the semiconductor market may lead to significant and often rapid increases and decreases in product demand. Additionally, the loss or significant curtailment of purchases by one or more of our large customers, including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 w:name="page10"/>
    <w:bookmarkEnd w:id="9"/>
    <w:p>
      <w:pPr>
        <w:ind w:right="660"/>
        <w:spacing w:after="0" w:line="277" w:lineRule="auto"/>
        <w:rPr>
          <w:sz w:val="20"/>
          <w:szCs w:val="20"/>
          <w:color w:val="auto"/>
        </w:rPr>
      </w:pPr>
      <w:r>
        <w:rPr>
          <w:rFonts w:ascii="Arial" w:cs="Arial" w:eastAsia="Arial" w:hAnsi="Arial"/>
          <w:sz w:val="18"/>
          <w:szCs w:val="18"/>
          <w:color w:val="auto"/>
        </w:rPr>
        <w:t>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9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results of operations also might suffer because of a general decline in customer demand resulting from, for example: uncertainty regarding the stability of global credit and financial markets; natural events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17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global operations subject us to risks associated with domestic or international political, social, economic or other conditions.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facilities in more than 30 countries. About 85 percent of our revenue comes from shipments to locations outside the United States; in particular, shipments of products into China typically represent a large portion of our revenue. We are exposed to political, social and economic conditions, security risks, terrorism or other hostile acts, health conditions, labor conditions, and possible disruptions in transportation, communications and information technology networks of the various countries in which we operate, including the United States. Additionally, certain countries where we operate have experienced, and other countries may experience, increasing protectionism that may impact global trade. This could result in an adverse effect on our operations and our financial results. In addition, our global operations expose us to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operate.</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manufacturing, data and design facilities and other operations in locations subject to natural occurrences such as severe weather, geological events or health epidemics that could disrupt operations. A natural disaster that results in a prolonged disruption to our operations may adversely affect our results and financial condition.</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operating results and our reputation could be adversely affected by breaches or disruptions of our information technology systems.</w:t>
      </w:r>
    </w:p>
    <w:p>
      <w:pPr>
        <w:spacing w:after="0" w:line="1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Breaches or disruptions of our information technology systems could be caused by computer viruses, system failures, unauthorized access, sabotage, vandalism or terrorism. These events could compromise our information technology networks; result in lost data or the unauthorized release of our, our customers’ or our suppliers’ confidential or proprietary information; cause a disruption to our manufacturing and other operations; result in the release of employee personal data; or cause us to incur increased information technology protection costs, any of which could adversely affect our operating results and our reputation.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supply chain and manufacturing risks.</w:t>
      </w:r>
    </w:p>
    <w:p>
      <w:pPr>
        <w:spacing w:after="0" w:line="13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rely on third parties to supply us with goods and services in a cost-effective and timely manner. Our access to needed goods and services may be adversely affected by potential disputes with suppliers or disruptions in our suppliers’ operations as a result of, for example: quality excursions; uncertainty regarding the stability of global credit and financial markets; domestic or international political, social, economic and other conditions; natural events in the locations in which our suppliers operate; or limited or delayed access to key raw materials, natural resources, and utilities. Additionally, a breach of our suppliers’ information technology systems could result in a release of our confidential or proprietary information. If our suppliers are unable to access credit markets and other sources of needed liquidity, we may be unable to obtain needed supplies, collect accounts receivable or access needed technology.</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particular, our manufacturing processes and critical manufacturing equipment require that certain key raw materials, natural resources and utilities be available. Limited or delayed access to and high costs of these items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one or more of our customers demand that we change the sourcing of materials we cannot identify as conflict-free.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260"/>
        <w:spacing w:after="0" w:line="255" w:lineRule="auto"/>
        <w:rPr>
          <w:sz w:val="20"/>
          <w:szCs w:val="20"/>
          <w:color w:val="auto"/>
        </w:rPr>
      </w:pPr>
      <w:r>
        <w:rPr>
          <w:rFonts w:ascii="Arial" w:cs="Arial" w:eastAsia="Arial" w:hAnsi="Arial"/>
          <w:sz w:val="18"/>
          <w:szCs w:val="18"/>
          <w:color w:val="auto"/>
        </w:rPr>
        <w:t>Our inability to timely implement new manufacturing technologies or install manufacturing equipment could adversely affect our results of operations. We subcontract a portion of our wafer fabrication and assembly and testing of our products, and we depend on third parties to provide advanced logic manufacturing process technology development.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in a timely, cost effective, and appropriate manner and the possibility of suppliers’ imposition of increased costs on us.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 could be affected by the complex laws, rules and regulations to which our business is subject.</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complex laws, rules and regulations affecting our domestic and international operations relating to, for example, the environment, safety and health; exports and imports; bribery and corruption; tax; data privacy and protection; labor and employment; competition; and intellectual property ownership and infringement. Compliance with these laws, rules and regulations may be onerous and expensive and could restrict our ability to manufacture or ship our products and operate our business. If we fail to comply or if we become subject to enforcement activity, we could be subject to fines, penalties or other legal liability. Furthermore, should these laws, rules and regulations be amended or expanded, or new ones enacted, we could incur materially greater compliance costs or restrictions on our ability to manufacture our products and operate our business.</w:t>
      </w:r>
    </w:p>
    <w:p>
      <w:pPr>
        <w:spacing w:after="0" w:line="2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raw material or process might not be available, or might not be available at reasonable cost.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and our reputation could be affected by warranty claims, product liability claims, product recalls or legal proceedings.</w:t>
      </w:r>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could be subject to claims based on warranty, product liability, epidemic or delivery failures, or other grounds relating to our products, manufacturing, services, designs or communications that could lead to significant expenses as we defend such claims or pay damage awards or settlements. In the event of a claim, we may also incur costs if we decide to compensate the affected customer or end consumer. We maintain product liability insurance, but there is no guarantee that such insurance will be available or adequate to protect against all such claims. In addition, it is possible for one of our customers to recall a product containing a TI part, for example, with respect to products used in automotive applications or handheld electronics, which may cause us to incur costs and expenses relating to the recall. Any of these events could adversely affect our results of operations, financial condition and our reputation.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13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facilities in more than 30 countries and as a result are subject to taxation and audit by a number of taxing authorities. Tax rates vary among the jurisdictions in which we operate. If our tax rate increases, our results of operations could be adversely affected. A number of factors could cause our taxes to increase, including a change in the jurisdictions in which our profits are earned and taxed; a change in the mix of profits from those jurisdictions; changes in available tax credits; changes in applicable tax rates; changes in tariff regulations or surcharges; or adverse resolution of audits by taxing authorities.</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addition, we are subject to laws and regulations in various jurisdictions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or in our business performance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18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have not made a provision for U.S. income tax on the portion of our undistributed earnings of our non-U.S. subsidiaries that is considered permanently reinvested outside the United States. If in the future we repatriate any of these foreign earnings, we might incur incremental U.S. income tax, which could affect our results of operations.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Our results of operations and financial condition could be adversely affected if a customer or a distributor suffers a loss with respect to our inventory.</w:t>
      </w:r>
    </w:p>
    <w:p>
      <w:pPr>
        <w:spacing w:after="0" w:line="14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have consignment inventory programs in place for some of our largest customers and distributors. If a customer or distributor were to experience a loss with respect to TI-consigned inventory, our results of operations and financial condition may be adversely affected if we do not recover the full value of the lost inventory from the customer, distributor or insurer, or if our recovery is delayed.</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results of operations could be adversely affected by our distributors’ promotion of competing product lines or our distributors’ financial performance.</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2016, about 60 percent of our revenue was generated from sales of our products through distributors. Our distributors carry competing product lines, and our sales could be affected if our distributors promote competing products over our products. Moreover, our results of operations could be affected if our distributors suffer financial difficulties that result in their inability to pay amounts owed to us. Disputes with or the loss of a significant number of distributors could be disruptive or harmful to our current business.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margins may vary over time.</w:t>
      </w:r>
    </w:p>
    <w:p>
      <w:pPr>
        <w:spacing w:after="0" w:line="131"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Our profit margins may be adversely affected by a number of factors, including decreases in customer demand and shipment volume; obsolescence of our inventory; shifts in our product mix; and changes in tariffs. In addition, we operate in a highly competitive market environment that might adversely affect pricing for our products. Because we own much of our manufacturing capacity, a significant portion of our operating costs is fixed. In general, these fixed costs do not decline with reductions in customer demand or factory loadings, and can adversely affect profit margins as a result.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performance depends in part on our ability to enforce our intellectual property rights and to maintain freedom of operation.</w:t>
      </w:r>
    </w:p>
    <w:p>
      <w:pPr>
        <w:spacing w:after="0" w:line="1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We may, directly or indirectly, face infringement claims from third parties, including non-practicing entities that have acquired patents to pursue enforcement actions against other companies. These assertions, whether or not of any merit, could expose us to claims for damages and/or injunctions from third parties, as well as claims for indemnification by our customers in instances where we have a contractual or other legal obligation to indemnify them against damages resulting from infringement claims.</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actively enforce and protect our own intellectual property rights. However, our efforts cannot prevent all misappropriation or improper use of our protected technology, including, for example, third parties’ use of our patented technology in their products without the right to do so or third parties’ sale of counterfeit products bearing our trademark. Moreover, the laws of countries where we operate may not protect our intellectual property rights to the same extent as U.S. laws.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13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the other risk factors described under Item 1A, many of which are beyond our control. In addition, our obligation to make principal and interest payments could divert funds that otherwise would be invested in our operations or returned to shareholders, or could cause us to raise funds by, for example, issuing new debt or equity or selling assets.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and liquidity could be affected by changes in the financial markets.</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bank accounts, one or more multi-year revolving credit agreements, and a portfolio of investments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Increases in health care and pension benefit costs could affect our results of operations and financial condition.</w:t>
      </w:r>
    </w:p>
    <w:p>
      <w:pPr>
        <w:spacing w:after="0" w:line="13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Federal and state health care reform programs could increase our costs with regard to medical coverage of our employees, which could reduce profitability and affect our results of operations and financial condition. In addition, obligations related to our pension and other postretirement plans reflect assumptions that affect the planned funding and costs of these plans, including the actual return on plan assets, discount rates, plan participant population demographics and changes in pension regulations. Changes in these assumptions may affect plan funding, cash flow and results of operations, and our costs and funding obligations could increase significantly if our plans’ actual experience differs from these assumptions.</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continued success depends in part on our ability to retain and recruit a sufficient number of qualified employees in a competitive environment.</w:t>
      </w:r>
    </w:p>
    <w:p>
      <w:pPr>
        <w:spacing w:after="0" w:line="14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continued success depends in part on the retention and recruitment of skilled personnel, including engineering, management, marketing, technical and staff personnel. Skilled and experienced personnel in our industry are in high demand, and competition for their talents is intense. There can be no assurance that we will be able to successfully retain and recruit the key engineering, management and technical personnel that we require to execute our business strategy. Our ability to recruit internationally or deploy employees to various locations may be limited by immigration laws.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ability to successfully implement business and organizational changes could affect our business plans and results of operations.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undertake business and organizational changes, including acquisitions, divestitures and restructuring actions, to support or carry out our strategic objectives. Our failure to successfully implement these changes could adversely affect our business plans and operating results. For example, we may not realize the expected benefits of an acquisition if we are unable to timely and successfully integrate acquired operations, product lines and technology, and our pre-acquisition due diligence may not identify all possible issues and risks that might arise with respect to an acquisition. Further, we may not achieve or sustain the expected growth or cost savings benefits of business and organizational changes, and restructuring charges could differ materially in amount and timing from our expectations.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impairments of our goodwill or intangible assets could adversely affect our results of operations.</w:t>
      </w:r>
    </w:p>
    <w:p>
      <w:pPr>
        <w:spacing w:after="0" w:line="13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have a significant amount of goodwill and intangible assets on our consolidated balance sheet. Charges associated with impairments of goodwill or intangible assets could adversely affect our financial condition and results of operations.</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3" w:name="page14"/>
    <w:bookmarkEnd w:id="13"/>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Analog</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Embedded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4"/>
              </w:rPr>
              <w:t>Processing</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Dallas, Texas</w:t>
            </w:r>
          </w:p>
        </w:tc>
        <w:tc>
          <w:tcPr>
            <w:tcW w:w="1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Houston, Texas</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Sherman, Texas</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Tucson, Arizona</w:t>
            </w:r>
            <w:r>
              <w:rPr>
                <w:rFonts w:ascii="Arial" w:cs="Arial" w:eastAsia="Arial" w:hAnsi="Arial"/>
                <w:sz w:val="15"/>
                <w:szCs w:val="15"/>
                <w:color w:val="auto"/>
              </w:rPr>
              <w:t>*</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Santa Clara, California</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South Portland, Maine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Chengdu, China</w:t>
            </w:r>
            <w:r>
              <w:rPr>
                <w:rFonts w:ascii="Arial" w:cs="Arial" w:eastAsia="Arial" w:hAnsi="Arial"/>
                <w:sz w:val="15"/>
                <w:szCs w:val="15"/>
                <w:color w:val="auto"/>
              </w:rPr>
              <w:t>†</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Shanghai, China</w:t>
            </w:r>
            <w:r>
              <w:rPr>
                <w:rFonts w:ascii="Arial" w:cs="Arial" w:eastAsia="Arial" w:hAnsi="Arial"/>
                <w:sz w:val="15"/>
                <w:szCs w:val="15"/>
                <w:color w:val="auto"/>
              </w:rPr>
              <w:t>*</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Freising, Germany</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Bangalore, India</w:t>
            </w:r>
            <w:r>
              <w:rPr>
                <w:rFonts w:ascii="Arial" w:cs="Arial" w:eastAsia="Arial" w:hAnsi="Arial"/>
                <w:sz w:val="15"/>
                <w:szCs w:val="15"/>
                <w:color w:val="auto"/>
              </w:rPr>
              <w:t>†</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Aizu, Japan</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Miho, Japan</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Kuala Lumpur, Malaysia</w:t>
            </w:r>
            <w:r>
              <w:rPr>
                <w:rFonts w:ascii="Arial" w:cs="Arial" w:eastAsia="Arial" w:hAnsi="Arial"/>
                <w:sz w:val="15"/>
                <w:szCs w:val="15"/>
                <w:color w:val="auto"/>
              </w:rPr>
              <w:t>†</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Melaka, Malaysia</w:t>
            </w:r>
            <w:r>
              <w:rPr>
                <w:rFonts w:ascii="Arial" w:cs="Arial" w:eastAsia="Arial" w:hAnsi="Arial"/>
                <w:sz w:val="15"/>
                <w:szCs w:val="15"/>
                <w:color w:val="auto"/>
              </w:rPr>
              <w:t>†</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Aguascalientes, Mexico</w:t>
            </w:r>
            <w:r>
              <w:rPr>
                <w:rFonts w:ascii="Arial" w:cs="Arial" w:eastAsia="Arial" w:hAnsi="Arial"/>
                <w:sz w:val="15"/>
                <w:szCs w:val="15"/>
                <w:color w:val="auto"/>
              </w:rPr>
              <w:t>*</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Baguio, Philippines</w:t>
            </w:r>
            <w:r>
              <w:rPr>
                <w:rFonts w:ascii="Arial" w:cs="Arial" w:eastAsia="Arial" w:hAnsi="Arial"/>
                <w:sz w:val="15"/>
                <w:szCs w:val="15"/>
                <w:color w:val="auto"/>
              </w:rPr>
              <w:t>†</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Pampanga (Clark), Philippines</w:t>
            </w:r>
            <w:r>
              <w:rPr>
                <w:rFonts w:ascii="Arial" w:cs="Arial" w:eastAsia="Arial" w:hAnsi="Arial"/>
                <w:sz w:val="15"/>
                <w:szCs w:val="15"/>
                <w:color w:val="auto"/>
              </w:rPr>
              <w:t>†</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Greenock, Scotland</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Taipei, Taiwan</w:t>
            </w:r>
            <w:r>
              <w:rPr>
                <w:rFonts w:ascii="Arial" w:cs="Arial" w:eastAsia="Arial" w:hAnsi="Arial"/>
                <w:sz w:val="15"/>
                <w:szCs w:val="15"/>
                <w:color w:val="auto"/>
              </w:rPr>
              <w:t>†</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of the facilities are leased and owned. This may include land leases, particularly for our non-U.S. sites.</w:t>
      </w:r>
    </w:p>
    <w:p>
      <w:pPr>
        <w:spacing w:after="0" w:line="23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facilities in the United States contained approximately 13.1 million square feet at December 31, 2016, of which approximately 0.7 million square feet were leased. Our facilities outside the United States contained approximately 10.2 million square feet at December 31, 2016, of which approximately 1.5 million square feet were leased.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2016, we occupied substantially all of the space in our facilities.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five years. We believe our current properties are suitable and adequate for both their intended purpose and our current and foreseeable future needs.</w:t>
      </w:r>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61" w:right="379" w:bottom="1440" w:gutter="0" w:footer="0" w:header="0"/>
        </w:sectPr>
      </w:pPr>
    </w:p>
    <w:bookmarkStart w:id="14" w:name="page15"/>
    <w:bookmarkEnd w:id="14"/>
    <w:p>
      <w:pPr>
        <w:ind w:left="57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concerning the number of stockholders of record at December 31, 2016, is contained in Item 6, “Summary of Selected Financial Data.”</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prices and dividends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TI common stock is listed on The NASDAQ Global Select Market. The table below shows the high and low closing prices of TI common stock as reported by Bloomberg L.P. and the dividends paid per common share in each quarter during the past two years.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Quarter</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460" w:type="dxa"/>
            <w:vAlign w:val="bottom"/>
            <w:tcBorders>
              <w:bottom w:val="single" w:sz="8" w:color="CFF0FC"/>
            </w:tcBorders>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1st</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2nd</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3rd</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4th</w:t>
            </w:r>
          </w:p>
        </w:tc>
        <w:tc>
          <w:tcPr>
            <w:tcW w:w="100" w:type="dxa"/>
            <w:vAlign w:val="bottom"/>
            <w:tcBorders>
              <w:bottom w:val="single" w:sz="8" w:color="CFF0FC"/>
            </w:tcBorders>
          </w:tcPr>
          <w:p>
            <w:pPr>
              <w:spacing w:after="0"/>
              <w:rPr>
                <w:sz w:val="13"/>
                <w:szCs w:val="13"/>
                <w:color w:val="auto"/>
              </w:rPr>
            </w:pPr>
          </w:p>
        </w:tc>
      </w:tr>
      <w:tr>
        <w:trPr>
          <w:trHeight w:val="223"/>
        </w:trPr>
        <w:tc>
          <w:tcPr>
            <w:tcW w:w="1460" w:type="dxa"/>
            <w:vAlign w:val="bottom"/>
            <w:shd w:val="clear" w:color="auto" w:fill="CFF0FC"/>
          </w:tcPr>
          <w:p>
            <w:pPr>
              <w:spacing w:after="0"/>
              <w:rPr>
                <w:sz w:val="20"/>
                <w:szCs w:val="20"/>
                <w:color w:val="auto"/>
              </w:rPr>
            </w:pPr>
            <w:r>
              <w:rPr>
                <w:rFonts w:ascii="Arial" w:cs="Arial" w:eastAsia="Arial" w:hAnsi="Arial"/>
                <w:sz w:val="18"/>
                <w:szCs w:val="18"/>
                <w:color w:val="auto"/>
              </w:rPr>
              <w:t>Stock prices:</w:t>
            </w:r>
          </w:p>
        </w:tc>
        <w:tc>
          <w:tcPr>
            <w:tcW w:w="236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360" w:type="dxa"/>
            <w:vAlign w:val="bottom"/>
          </w:tcPr>
          <w:p>
            <w:pPr>
              <w:ind w:left="60"/>
              <w:spacing w:after="0"/>
              <w:rPr>
                <w:sz w:val="20"/>
                <w:szCs w:val="20"/>
                <w:color w:val="auto"/>
              </w:rPr>
            </w:pPr>
            <w:r>
              <w:rPr>
                <w:rFonts w:ascii="Arial" w:cs="Arial" w:eastAsia="Arial" w:hAnsi="Arial"/>
                <w:sz w:val="18"/>
                <w:szCs w:val="18"/>
                <w:b w:val="1"/>
                <w:bCs w:val="1"/>
                <w:color w:val="auto"/>
              </w:rPr>
              <w:t>High</w:t>
            </w:r>
          </w:p>
        </w:tc>
        <w:tc>
          <w:tcPr>
            <w:tcW w:w="2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58.37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63.30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71.42</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74.87</w:t>
            </w:r>
          </w:p>
        </w:tc>
        <w:tc>
          <w:tcPr>
            <w:tcW w:w="100" w:type="dxa"/>
            <w:vAlign w:val="bottom"/>
          </w:tcPr>
          <w:p>
            <w:pPr>
              <w:spacing w:after="0"/>
              <w:rPr>
                <w:sz w:val="19"/>
                <w:szCs w:val="19"/>
                <w:color w:val="auto"/>
              </w:rPr>
            </w:pPr>
          </w:p>
        </w:tc>
      </w:tr>
      <w:tr>
        <w:trPr>
          <w:trHeight w:val="230"/>
        </w:trPr>
        <w:tc>
          <w:tcPr>
            <w:tcW w:w="1460" w:type="dxa"/>
            <w:vAlign w:val="bottom"/>
            <w:shd w:val="clear" w:color="auto" w:fill="CFF0FC"/>
          </w:tcPr>
          <w:p>
            <w:pPr>
              <w:spacing w:after="0"/>
              <w:rPr>
                <w:sz w:val="19"/>
                <w:szCs w:val="19"/>
                <w:color w:val="auto"/>
              </w:rPr>
            </w:pPr>
          </w:p>
        </w:tc>
        <w:tc>
          <w:tcPr>
            <w:tcW w:w="2360" w:type="dxa"/>
            <w:vAlign w:val="bottom"/>
            <w:shd w:val="clear" w:color="auto" w:fill="CFF0FC"/>
          </w:tcPr>
          <w:p>
            <w:pPr>
              <w:ind w:left="60"/>
              <w:spacing w:after="0"/>
              <w:rPr>
                <w:sz w:val="20"/>
                <w:szCs w:val="20"/>
                <w:color w:val="auto"/>
              </w:rPr>
            </w:pPr>
            <w:r>
              <w:rPr>
                <w:rFonts w:ascii="Arial" w:cs="Arial" w:eastAsia="Arial" w:hAnsi="Arial"/>
                <w:sz w:val="18"/>
                <w:szCs w:val="18"/>
                <w:b w:val="1"/>
                <w:bCs w:val="1"/>
                <w:color w:val="auto"/>
              </w:rPr>
              <w:t>Low</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48.03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56.43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61.06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67.60</w:t>
            </w:r>
          </w:p>
        </w:tc>
        <w:tc>
          <w:tcPr>
            <w:tcW w:w="100" w:type="dxa"/>
            <w:vAlign w:val="bottom"/>
            <w:shd w:val="clear" w:color="auto" w:fill="CFF0FC"/>
          </w:tcPr>
          <w:p>
            <w:pPr>
              <w:spacing w:after="0"/>
              <w:rPr>
                <w:sz w:val="19"/>
                <w:szCs w:val="19"/>
                <w:color w:val="auto"/>
              </w:rPr>
            </w:pPr>
          </w:p>
        </w:tc>
      </w:tr>
      <w:tr>
        <w:trPr>
          <w:trHeight w:val="230"/>
        </w:trPr>
        <w:tc>
          <w:tcPr>
            <w:tcW w:w="1460" w:type="dxa"/>
            <w:vAlign w:val="bottom"/>
          </w:tcPr>
          <w:p>
            <w:pPr>
              <w:jc w:val="right"/>
              <w:spacing w:after="0"/>
              <w:rPr>
                <w:sz w:val="20"/>
                <w:szCs w:val="20"/>
                <w:color w:val="auto"/>
              </w:rPr>
            </w:pPr>
            <w:r>
              <w:rPr>
                <w:rFonts w:ascii="Arial" w:cs="Arial" w:eastAsia="Arial" w:hAnsi="Arial"/>
                <w:sz w:val="18"/>
                <w:szCs w:val="18"/>
                <w:color w:val="auto"/>
              </w:rPr>
              <w:t>2015</w:t>
            </w:r>
          </w:p>
        </w:tc>
        <w:tc>
          <w:tcPr>
            <w:tcW w:w="2360" w:type="dxa"/>
            <w:vAlign w:val="bottom"/>
          </w:tcPr>
          <w:p>
            <w:pPr>
              <w:ind w:left="60"/>
              <w:spacing w:after="0"/>
              <w:rPr>
                <w:sz w:val="20"/>
                <w:szCs w:val="20"/>
                <w:color w:val="auto"/>
              </w:rPr>
            </w:pPr>
            <w:r>
              <w:rPr>
                <w:rFonts w:ascii="Arial" w:cs="Arial" w:eastAsia="Arial" w:hAnsi="Arial"/>
                <w:sz w:val="18"/>
                <w:szCs w:val="18"/>
                <w:color w:val="auto"/>
              </w:rPr>
              <w:t>High</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58.73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19"/>
                <w:szCs w:val="19"/>
                <w:color w:val="auto"/>
              </w:rPr>
            </w:pPr>
          </w:p>
        </w:tc>
      </w:tr>
      <w:tr>
        <w:trPr>
          <w:trHeight w:val="230"/>
        </w:trPr>
        <w:tc>
          <w:tcPr>
            <w:tcW w:w="1460" w:type="dxa"/>
            <w:vAlign w:val="bottom"/>
            <w:shd w:val="clear" w:color="auto" w:fill="CFF0FC"/>
          </w:tcPr>
          <w:p>
            <w:pPr>
              <w:spacing w:after="0"/>
              <w:rPr>
                <w:sz w:val="19"/>
                <w:szCs w:val="19"/>
                <w:color w:val="auto"/>
              </w:rPr>
            </w:pPr>
          </w:p>
        </w:tc>
        <w:tc>
          <w:tcPr>
            <w:tcW w:w="2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Low</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48.44</w:t>
            </w:r>
          </w:p>
        </w:tc>
        <w:tc>
          <w:tcPr>
            <w:tcW w:w="100" w:type="dxa"/>
            <w:vAlign w:val="bottom"/>
            <w:shd w:val="clear" w:color="auto" w:fill="CFF0FC"/>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Dividends paid:</w:t>
            </w:r>
          </w:p>
        </w:tc>
        <w:tc>
          <w:tcPr>
            <w:tcW w:w="2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2016</w:t>
            </w:r>
          </w:p>
        </w:tc>
        <w:tc>
          <w:tcPr>
            <w:tcW w:w="236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0.38</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0.38</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0.38</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0.50</w:t>
            </w:r>
          </w:p>
        </w:tc>
        <w:tc>
          <w:tcPr>
            <w:tcW w:w="100" w:type="dxa"/>
            <w:vAlign w:val="bottom"/>
            <w:shd w:val="clear" w:color="auto" w:fill="CFF0FC"/>
          </w:tcPr>
          <w:p>
            <w:pPr>
              <w:spacing w:after="0"/>
              <w:rPr>
                <w:sz w:val="19"/>
                <w:szCs w:val="19"/>
                <w:color w:val="auto"/>
              </w:rPr>
            </w:pPr>
          </w:p>
        </w:tc>
      </w:tr>
      <w:tr>
        <w:trPr>
          <w:trHeight w:val="230"/>
        </w:trPr>
        <w:tc>
          <w:tcPr>
            <w:tcW w:w="1460" w:type="dxa"/>
            <w:vAlign w:val="bottom"/>
          </w:tcPr>
          <w:p>
            <w:pPr>
              <w:jc w:val="right"/>
              <w:spacing w:after="0"/>
              <w:rPr>
                <w:sz w:val="20"/>
                <w:szCs w:val="20"/>
                <w:color w:val="auto"/>
              </w:rPr>
            </w:pPr>
            <w:r>
              <w:rPr>
                <w:rFonts w:ascii="Arial" w:cs="Arial" w:eastAsia="Arial" w:hAnsi="Arial"/>
                <w:sz w:val="18"/>
                <w:szCs w:val="18"/>
                <w:color w:val="auto"/>
              </w:rPr>
              <w:t>2015</w:t>
            </w:r>
          </w:p>
        </w:tc>
        <w:tc>
          <w:tcPr>
            <w:tcW w:w="2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fourth quarter of 2016.</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03"/>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Approximate</w:t>
            </w: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23"/>
              <w:spacing w:after="0"/>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Dollar Value</w:t>
            </w: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23"/>
              <w:spacing w:after="0"/>
              <w:rPr>
                <w:sz w:val="20"/>
                <w:szCs w:val="20"/>
                <w:color w:val="auto"/>
              </w:rPr>
            </w:pPr>
            <w:r>
              <w:rPr>
                <w:rFonts w:ascii="Arial" w:cs="Arial" w:eastAsia="Arial" w:hAnsi="Arial"/>
                <w:sz w:val="14"/>
                <w:szCs w:val="14"/>
                <w:b w:val="1"/>
                <w:bCs w:val="1"/>
                <w:color w:val="auto"/>
                <w:w w:val="87"/>
              </w:rPr>
              <w:t>Purchased as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of Shares that</w:t>
            </w: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23"/>
              <w:spacing w:after="0"/>
              <w:rPr>
                <w:sz w:val="20"/>
                <w:szCs w:val="20"/>
                <w:color w:val="auto"/>
              </w:rPr>
            </w:pPr>
            <w:r>
              <w:rPr>
                <w:rFonts w:ascii="Arial" w:cs="Arial" w:eastAsia="Arial" w:hAnsi="Arial"/>
                <w:sz w:val="14"/>
                <w:szCs w:val="14"/>
                <w:b w:val="1"/>
                <w:bCs w:val="1"/>
                <w:color w:val="auto"/>
                <w:w w:val="99"/>
              </w:rPr>
              <w:t>Part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May Yet Be</w:t>
            </w: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03"/>
              <w:spacing w:after="0"/>
              <w:rPr>
                <w:sz w:val="20"/>
                <w:szCs w:val="20"/>
                <w:color w:val="auto"/>
              </w:rPr>
            </w:pPr>
            <w:r>
              <w:rPr>
                <w:rFonts w:ascii="Arial" w:cs="Arial" w:eastAsia="Arial" w:hAnsi="Arial"/>
                <w:sz w:val="14"/>
                <w:szCs w:val="14"/>
                <w:b w:val="1"/>
                <w:bCs w:val="1"/>
                <w:color w:val="auto"/>
                <w:w w:val="93"/>
              </w:rPr>
              <w:t>Publicly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Purchased</w:t>
            </w: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203"/>
              <w:spacing w:after="0"/>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Under the</w:t>
            </w: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Price Paid</w:t>
            </w:r>
          </w:p>
        </w:tc>
        <w:tc>
          <w:tcPr>
            <w:tcW w:w="1460" w:type="dxa"/>
            <w:vAlign w:val="bottom"/>
            <w:gridSpan w:val="2"/>
          </w:tcPr>
          <w:p>
            <w:pPr>
              <w:jc w:val="center"/>
              <w:ind w:right="223"/>
              <w:spacing w:after="0"/>
              <w:rPr>
                <w:sz w:val="20"/>
                <w:szCs w:val="20"/>
                <w:color w:val="auto"/>
              </w:rPr>
            </w:pPr>
            <w:r>
              <w:rPr>
                <w:rFonts w:ascii="Arial" w:cs="Arial" w:eastAsia="Arial" w:hAnsi="Arial"/>
                <w:sz w:val="14"/>
                <w:szCs w:val="14"/>
                <w:b w:val="1"/>
                <w:bCs w:val="1"/>
                <w:color w:val="auto"/>
                <w:w w:val="94"/>
              </w:rPr>
              <w:t>Plans 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Plans or</w:t>
            </w:r>
          </w:p>
        </w:tc>
      </w:t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c>
          <w:tcPr>
            <w:tcW w:w="1460" w:type="dxa"/>
            <w:vAlign w:val="bottom"/>
            <w:gridSpan w:val="2"/>
          </w:tcPr>
          <w:p>
            <w:pPr>
              <w:jc w:val="center"/>
              <w:ind w:right="203"/>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r>
      <w:tr>
        <w:trPr>
          <w:trHeight w:val="223"/>
        </w:trPr>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2016 through October 31, 2016</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2,919,230</w:t>
            </w: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69.92</w:t>
            </w:r>
          </w:p>
        </w:tc>
        <w:tc>
          <w:tcPr>
            <w:tcW w:w="1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2,919,230</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97"/>
              </w:rPr>
              <w:t>6.07 billion</w:t>
            </w: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November 1, 2016 through November 30, 2016</w:t>
            </w:r>
          </w:p>
        </w:tc>
        <w:tc>
          <w:tcPr>
            <w:tcW w:w="1140" w:type="dxa"/>
            <w:vAlign w:val="bottom"/>
          </w:tcPr>
          <w:p>
            <w:pPr>
              <w:jc w:val="right"/>
              <w:spacing w:after="0"/>
              <w:rPr>
                <w:sz w:val="20"/>
                <w:szCs w:val="20"/>
                <w:color w:val="auto"/>
              </w:rPr>
            </w:pPr>
            <w:r>
              <w:rPr>
                <w:rFonts w:ascii="Arial" w:cs="Arial" w:eastAsia="Arial" w:hAnsi="Arial"/>
                <w:sz w:val="18"/>
                <w:szCs w:val="18"/>
                <w:color w:val="auto"/>
              </w:rPr>
              <w:t>2,857,964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2,857,964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5.87 billion</w:t>
            </w: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 2016 through December 31, 2016</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943,139</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71.36</w:t>
            </w:r>
          </w:p>
        </w:tc>
        <w:tc>
          <w:tcPr>
            <w:tcW w:w="1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943,139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5.80 billion</w:t>
            </w: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6,720,333</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70.68</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6,720,333</w:t>
            </w:r>
          </w:p>
        </w:tc>
        <w:tc>
          <w:tcPr>
            <w:tcW w:w="280" w:type="dxa"/>
            <w:vAlign w:val="bottom"/>
          </w:tcPr>
          <w:p>
            <w:pPr>
              <w:jc w:val="right"/>
              <w:ind w:right="23"/>
              <w:spacing w:after="0"/>
              <w:rPr>
                <w:sz w:val="20"/>
                <w:szCs w:val="20"/>
                <w:color w:val="auto"/>
              </w:rPr>
            </w:pPr>
            <w:r>
              <w:rPr>
                <w:rFonts w:ascii="Arial" w:cs="Arial" w:eastAsia="Arial" w:hAnsi="Arial"/>
                <w:sz w:val="15"/>
                <w:szCs w:val="15"/>
                <w:color w:val="auto"/>
                <w:w w:val="87"/>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240"/>
              <w:spacing w:after="0" w:line="223" w:lineRule="exact"/>
              <w:rPr>
                <w:sz w:val="20"/>
                <w:szCs w:val="20"/>
                <w:color w:val="auto"/>
              </w:rPr>
            </w:pPr>
            <w:r>
              <w:rPr>
                <w:rFonts w:ascii="Arial" w:cs="Arial" w:eastAsia="Arial" w:hAnsi="Arial"/>
                <w:sz w:val="16"/>
                <w:szCs w:val="16"/>
                <w:color w:val="auto"/>
              </w:rPr>
              <w:t>5.80 billion</w:t>
            </w:r>
            <w:r>
              <w:rPr>
                <w:rFonts w:ascii="Arial" w:cs="Arial" w:eastAsia="Arial" w:hAnsi="Arial"/>
                <w:sz w:val="25"/>
                <w:szCs w:val="25"/>
                <w:color w:val="auto"/>
                <w:vertAlign w:val="superscript"/>
              </w:rPr>
              <w:t>(3)</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hanging="512"/>
        <w:spacing w:after="0" w:line="258" w:lineRule="auto"/>
        <w:tabs>
          <w:tab w:leader="none" w:pos="520" w:val="left"/>
        </w:tabs>
        <w:numPr>
          <w:ilvl w:val="0"/>
          <w:numId w:val="8"/>
        </w:numPr>
        <w:rPr>
          <w:rFonts w:ascii="Arial" w:cs="Arial" w:eastAsia="Arial" w:hAnsi="Arial"/>
          <w:sz w:val="15"/>
          <w:szCs w:val="15"/>
          <w:color w:val="auto"/>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September 17, 2015.</w:t>
      </w:r>
    </w:p>
    <w:p>
      <w:pPr>
        <w:spacing w:after="0" w:line="1" w:lineRule="exact"/>
        <w:rPr>
          <w:rFonts w:ascii="Arial" w:cs="Arial" w:eastAsia="Arial" w:hAnsi="Arial"/>
          <w:sz w:val="15"/>
          <w:szCs w:val="15"/>
          <w:color w:val="auto"/>
        </w:rPr>
      </w:pPr>
    </w:p>
    <w:p>
      <w:pPr>
        <w:ind w:left="520" w:hanging="512"/>
        <w:spacing w:after="0"/>
        <w:tabs>
          <w:tab w:leader="none" w:pos="520" w:val="left"/>
        </w:tabs>
        <w:numPr>
          <w:ilvl w:val="0"/>
          <w:numId w:val="8"/>
        </w:numPr>
        <w:rPr>
          <w:rFonts w:ascii="Arial" w:cs="Arial" w:eastAsia="Arial" w:hAnsi="Arial"/>
          <w:sz w:val="15"/>
          <w:szCs w:val="15"/>
          <w:color w:val="auto"/>
        </w:rPr>
      </w:pPr>
      <w:r>
        <w:rPr>
          <w:rFonts w:ascii="Arial" w:cs="Arial" w:eastAsia="Arial" w:hAnsi="Arial"/>
          <w:sz w:val="18"/>
          <w:szCs w:val="18"/>
          <w:color w:val="auto"/>
        </w:rPr>
        <w:t>All purchases during the quarter were open-market purchases.</w:t>
      </w:r>
    </w:p>
    <w:p>
      <w:pPr>
        <w:spacing w:after="0" w:line="9" w:lineRule="exact"/>
        <w:rPr>
          <w:rFonts w:ascii="Arial" w:cs="Arial" w:eastAsia="Arial" w:hAnsi="Arial"/>
          <w:sz w:val="15"/>
          <w:szCs w:val="15"/>
          <w:color w:val="auto"/>
        </w:rPr>
      </w:pPr>
    </w:p>
    <w:p>
      <w:pPr>
        <w:ind w:left="520" w:right="320" w:hanging="512"/>
        <w:spacing w:after="0" w:line="261" w:lineRule="auto"/>
        <w:tabs>
          <w:tab w:leader="none" w:pos="520" w:val="left"/>
        </w:tabs>
        <w:numPr>
          <w:ilvl w:val="0"/>
          <w:numId w:val="8"/>
        </w:numPr>
        <w:rPr>
          <w:rFonts w:ascii="Arial" w:cs="Arial" w:eastAsia="Arial" w:hAnsi="Arial"/>
          <w:sz w:val="15"/>
          <w:szCs w:val="15"/>
          <w:color w:val="auto"/>
        </w:rPr>
      </w:pPr>
      <w:r>
        <w:rPr>
          <w:rFonts w:ascii="Arial" w:cs="Arial" w:eastAsia="Arial" w:hAnsi="Arial"/>
          <w:sz w:val="18"/>
          <w:szCs w:val="18"/>
          <w:color w:val="auto"/>
        </w:rPr>
        <w:t>As of December 31, 2016, this amount consisted of the remaining portion of the $7.5 billion authorized in September 2015. No expiration date has been specified for this authorization.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320" w:type="dxa"/>
            <w:vAlign w:val="bottom"/>
          </w:tcPr>
          <w:p>
            <w:pPr>
              <w:ind w:left="80"/>
              <w:spacing w:after="0"/>
              <w:rPr>
                <w:sz w:val="20"/>
                <w:szCs w:val="20"/>
                <w:color w:val="auto"/>
              </w:rPr>
            </w:pPr>
            <w:r>
              <w:rPr>
                <w:rFonts w:ascii="Arial" w:cs="Arial" w:eastAsia="Arial" w:hAnsi="Arial"/>
                <w:sz w:val="18"/>
                <w:szCs w:val="18"/>
                <w:b w:val="1"/>
                <w:bCs w:val="1"/>
                <w:color w:val="auto"/>
              </w:rPr>
              <w:t>Selected Financial Data.</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 data:</w:t>
            </w: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 (a)</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4,614</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4,397</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4,054</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3,514</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Free cash flow (a) (b)</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4,083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Stock repurchases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gridSpan w:val="2"/>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Income statement data</w:t>
            </w: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by segment: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Analog</w:t>
            </w:r>
          </w:p>
        </w:tc>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8,536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8,104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Embedded Processing</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4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0" w:type="dxa"/>
            <w:vAlign w:val="bottom"/>
            <w:shd w:val="clear" w:color="auto" w:fill="CFF0FC"/>
          </w:tcPr>
          <w:p>
            <w:pPr>
              <w:spacing w:after="0"/>
              <w:rPr>
                <w:sz w:val="20"/>
                <w:szCs w:val="20"/>
                <w:color w:val="auto"/>
              </w:rPr>
            </w:pPr>
            <w:r>
              <w:rPr>
                <w:rFonts w:ascii="Arial" w:cs="Arial" w:eastAsia="Arial" w:hAnsi="Arial"/>
                <w:sz w:val="18"/>
                <w:szCs w:val="18"/>
                <w:color w:val="auto"/>
                <w:w w:val="98"/>
              </w:rPr>
              <w:t>Gross profit</w:t>
            </w:r>
          </w:p>
        </w:tc>
        <w:tc>
          <w:tcPr>
            <w:tcW w:w="4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Operating expenses (R&amp;D and SG&amp;A)</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3,137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Acquisition charges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Restructuring charges/other</w:t>
            </w: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profit</w:t>
            </w: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4,799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3,595</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4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earnings per share (EPS) is calculated using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income (c)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3,595</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allocated to RSUs</w:t>
            </w:r>
          </w:p>
        </w:tc>
        <w:tc>
          <w:tcPr>
            <w:tcW w:w="3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allocated to common shares for diluted EPS (c)</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3,551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Average diluted shares outstanding, in millions (c)</w:t>
            </w: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Diluted EPS (c)</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3.48</w:t>
            </w:r>
          </w:p>
        </w:tc>
        <w:tc>
          <w:tcPr>
            <w:tcW w:w="140" w:type="dxa"/>
            <w:vAlign w:val="bottom"/>
          </w:tcPr>
          <w:p>
            <w:pPr>
              <w:spacing w:after="0"/>
              <w:rPr>
                <w:sz w:val="19"/>
                <w:szCs w:val="19"/>
                <w:color w:val="auto"/>
              </w:rPr>
            </w:pP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per common share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1.64</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periods reclassified to conform to the 2016 presentation, having adopted ASU 2016-09. See Note 2.</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Free cash flow is a non-GAAP measure derived by subtracting Capital expenditures from Cash flows from operating activities.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2016 amounts reflect the adoption of ASU 2016-09. See Note 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Other data items)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3,490</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3,218</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3,541</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3,829</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16,431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Current portion of long-term debt and commercial paper</w:t>
            </w:r>
          </w:p>
        </w:tc>
        <w:tc>
          <w:tcPr>
            <w:tcW w:w="2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borrowings</w:t>
            </w:r>
          </w:p>
        </w:tc>
        <w:tc>
          <w:tcPr>
            <w:tcW w:w="2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2,978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data - Number of:</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Employees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29,865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29,977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Stockholders of record</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14,910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financial statements and Management’s discussion and analysis of financial condition and results of operations</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carefully constructed around the following attributes:</w:t>
      </w:r>
    </w:p>
    <w:p>
      <w:pPr>
        <w:spacing w:after="0" w:line="62" w:lineRule="exact"/>
        <w:rPr>
          <w:sz w:val="20"/>
          <w:szCs w:val="20"/>
          <w:color w:val="auto"/>
        </w:rPr>
      </w:pPr>
    </w:p>
    <w:p>
      <w:pPr>
        <w:ind w:left="1040" w:right="100" w:hanging="519"/>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Industry’s broadest portfolio of differentiated analog and embedded processing semiconductors. </w:t>
      </w:r>
      <w:r>
        <w:rPr>
          <w:rFonts w:ascii="Arial" w:cs="Arial" w:eastAsia="Arial" w:hAnsi="Arial"/>
          <w:sz w:val="18"/>
          <w:szCs w:val="18"/>
          <w:color w:val="auto"/>
        </w:rPr>
        <w:t>Our customers need multiple chips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The breadth of our portfolio means we can solve more of these needs than can our competitors, which gives us access to more customers and the opportunity to generate more revenue per system. We invest more than $1 billion each year to develop new products for our portfolio.</w:t>
      </w:r>
    </w:p>
    <w:p>
      <w:pPr>
        <w:spacing w:after="0" w:line="78" w:lineRule="exact"/>
        <w:rPr>
          <w:rFonts w:ascii="Arial" w:cs="Arial" w:eastAsia="Arial" w:hAnsi="Arial"/>
          <w:sz w:val="18"/>
          <w:szCs w:val="18"/>
          <w:color w:val="auto"/>
        </w:rPr>
      </w:pPr>
    </w:p>
    <w:p>
      <w:pPr>
        <w:ind w:left="1040" w:hanging="519"/>
        <w:spacing w:after="0" w:line="271"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A strong foundation of manufacturing technology and low-cost production. </w:t>
      </w:r>
      <w:r>
        <w:rPr>
          <w:rFonts w:ascii="Arial" w:cs="Arial" w:eastAsia="Arial" w:hAnsi="Arial"/>
          <w:sz w:val="17"/>
          <w:szCs w:val="17"/>
          <w:color w:val="auto"/>
        </w:rPr>
        <w:t>We invest in manufacturing technologies that differentiate the</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of our semiconductors, and we do most of our own production in-house, as opposed to outsourcing it. This ability to directly control our manufacturing helps ensure a consistent supply of products for our customers. We produce billions of semiconductors each year on a mixture of 150-, 200- and 300-millimeter wafers, and we are able to keep costs low for manufacturing facilities and equipment because our Analog and much of our Embedded Processing semiconductors can be made using mature assets that we acquire ahead of demand when their prices are most attractive. In 2016, we increased factory loadings by about 15 percent for our Analog semiconductors on 300-millimeter wafers, which have a 40 percent cost advantage per unpackaged chip over 200-millimeter wafers. The majority of our Analog growth will be produced on 300-millimeter wafers, which will be meaningful to the growth of our cash flow over the long term.</w:t>
      </w:r>
    </w:p>
    <w:p>
      <w:pPr>
        <w:spacing w:after="0" w:line="70" w:lineRule="exact"/>
        <w:rPr>
          <w:rFonts w:ascii="Arial" w:cs="Arial" w:eastAsia="Arial" w:hAnsi="Arial"/>
          <w:sz w:val="17"/>
          <w:szCs w:val="17"/>
          <w:color w:val="auto"/>
        </w:rPr>
      </w:pPr>
    </w:p>
    <w:p>
      <w:pPr>
        <w:ind w:left="1040" w:right="6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Industry’s largest market channels. </w:t>
      </w:r>
      <w:r>
        <w:rPr>
          <w:rFonts w:ascii="Arial" w:cs="Arial" w:eastAsia="Arial" w:hAnsi="Arial"/>
          <w:sz w:val="18"/>
          <w:szCs w:val="18"/>
          <w:color w:val="auto"/>
        </w:rPr>
        <w:t>Our global sales force is larger than those of our competitors. The breadth of our portfolio attracts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number of visits to our website, where customers often begin their initial product searches and design-in journey. Our web presence, together with our global sales force, provides us unique access to about 100,000 customers.</w:t>
      </w:r>
    </w:p>
    <w:p>
      <w:pPr>
        <w:spacing w:after="0" w:line="73" w:lineRule="exact"/>
        <w:rPr>
          <w:rFonts w:ascii="Arial" w:cs="Arial" w:eastAsia="Arial" w:hAnsi="Arial"/>
          <w:sz w:val="18"/>
          <w:szCs w:val="18"/>
          <w:color w:val="auto"/>
        </w:rPr>
      </w:pPr>
    </w:p>
    <w:p>
      <w:pPr>
        <w:ind w:left="1040" w:right="180" w:hanging="519"/>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in our products and in the markets we serve. </w:t>
      </w:r>
      <w:r>
        <w:rPr>
          <w:rFonts w:ascii="Arial" w:cs="Arial" w:eastAsia="Arial" w:hAnsi="Arial"/>
          <w:sz w:val="18"/>
          <w:szCs w:val="18"/>
          <w:color w:val="auto"/>
        </w:rPr>
        <w:t>Together, the attributes above result in diverse and long-lived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combined effect of these attributes is that over time we have grown free cash flow and gained market share in Analog and Embedded Processing. These attributes put us in a unique class of companies with the ability to grow, generate cash, and return that cash to shareholders.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62"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540" w:right="1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122" w:lineRule="exact"/>
        <w:rPr>
          <w:rFonts w:ascii="Arial" w:cs="Arial" w:eastAsia="Arial" w:hAnsi="Arial"/>
          <w:sz w:val="18"/>
          <w:szCs w:val="18"/>
          <w:color w:val="auto"/>
        </w:rPr>
      </w:pPr>
    </w:p>
    <w:p>
      <w:pPr>
        <w:ind w:left="1540" w:right="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62" w:lineRule="exact"/>
        <w:rPr>
          <w:rFonts w:ascii="Arial" w:cs="Arial" w:eastAsia="Arial" w:hAnsi="Arial"/>
          <w:sz w:val="18"/>
          <w:szCs w:val="18"/>
          <w:color w:val="auto"/>
        </w:rPr>
      </w:pPr>
    </w:p>
    <w:p>
      <w:pPr>
        <w:ind w:left="1540" w:right="120" w:hanging="513"/>
        <w:spacing w:after="0" w:line="279"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3" w:lineRule="exact"/>
        <w:rPr>
          <w:rFonts w:ascii="Arial" w:cs="Arial" w:eastAsia="Arial" w:hAnsi="Arial"/>
          <w:sz w:val="18"/>
          <w:szCs w:val="18"/>
          <w:color w:val="auto"/>
        </w:rPr>
      </w:pPr>
    </w:p>
    <w:p>
      <w:pPr>
        <w:ind w:left="1540" w:right="1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Over time, we have been allocating resources from areas like manufacturing support and SG&amp;A into R&amp;D activities. As a result, R&amp;D expense will continue increasing in 2017.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 w:name="page18"/>
    <w:bookmarkEnd w:id="17"/>
    <w:p>
      <w:pPr>
        <w:ind w:left="1540" w:right="80" w:hanging="506"/>
        <w:spacing w:after="0" w:line="253" w:lineRule="auto"/>
        <w:tabs>
          <w:tab w:leader="none" w:pos="1540" w:val="left"/>
        </w:tabs>
        <w:numPr>
          <w:ilvl w:val="1"/>
          <w:numId w:val="12"/>
        </w:numPr>
        <w:rPr>
          <w:rFonts w:ascii="Courier New" w:cs="Courier New" w:eastAsia="Courier New" w:hAnsi="Courier New"/>
          <w:sz w:val="18"/>
          <w:szCs w:val="18"/>
          <w:color w:val="auto"/>
        </w:rPr>
      </w:pPr>
      <w:r>
        <w:rPr>
          <w:rFonts w:ascii="Arial" w:cs="Arial" w:eastAsia="Arial" w:hAnsi="Arial"/>
          <w:sz w:val="18"/>
          <w:szCs w:val="18"/>
          <w:color w:val="auto"/>
        </w:rPr>
        <w:t>Our effective tax rate (Provision for income taxes as a percentage of Income before income taxes) benefits from lower tax rates (compared to the U.S. statutory income tax rate) applicable to our operations in many of the jurisdictions in which we operate and from U.S. tax benefits. These lower non-U.S. tax rates are generally statutory in nature, without expiration and available to companies that operate in those taxing jurisdictions.</w:t>
      </w:r>
    </w:p>
    <w:p>
      <w:pPr>
        <w:spacing w:after="0" w:line="82" w:lineRule="exact"/>
        <w:rPr>
          <w:rFonts w:ascii="Courier New" w:cs="Courier New" w:eastAsia="Courier New" w:hAnsi="Courier New"/>
          <w:sz w:val="18"/>
          <w:szCs w:val="18"/>
          <w:color w:val="auto"/>
        </w:rPr>
      </w:pPr>
    </w:p>
    <w:p>
      <w:pPr>
        <w:ind w:left="1040" w:right="10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3"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fourth quarter of 2016, we adopted ASU 2016-09 related to stock compensation. We applied the new standard prospectively as of the beginning of 2016 for the Consolidated Statements of Income and on a full retrospective basis for all periods in the Consolidated Statements of Cash Flows. See Note 2 to the financial statements for more details.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continued to perform well in 2016, reflecting our focus on Analog and Embedded Processing. These products serve highly diverse markets with thousands of applications, and we believe have dependable long-term growth opportunities. In 2016, Analog and Embedded Processing represented 86 percent of revenue. Gross margin of 61.6 percent for the year reflects the quality of our product portfolio, as well as the efficiency of our manufacturing strategy.</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focus on Analog and Embedded Processing allows us to generate strong cash flow from operations. In 2016, cash flows from operations were $4.61 billion, up from $4.40 billion in 2015. Free cash flow in 2016 was 30.5 percent of revenue, up from 29.6 percent a year ago and consistent with our targeted range of 20-30 percent of revenue. During the year, we returned $3.78 billion of cash to investors through a combination of stock repurchases and dividends. Our dividends represented 40 percent of free cash flow, underscoring their sustainability. Free cash flow is a non-GAAP financial measure. For a reconciliation to GAAP and an explanation of the reason for providing this non-GAAP measure, see the Non-GAAP financial information section after the Liquidity and capital resources section.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2016 compared with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Revenue of $13.37 billion was up $370 million, or 3 percent, from 2015, due to higher revenue from Embedded Processing and Analog.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profit was $8.24 billion, an increase of $680 million, or 9 percent, due to lower manufacturing costs and, to a lesser extent, higher revenue. Gross profit margin was 61.6 percent compared with 58.2 percent.</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Operating expenses were $1.37 billion for R&amp;D and $1.77 billion for SG&amp;A. R&amp;D expense increased $90 million, or 7 percent, due to a combination of our ongoing allocation of resources into R&amp;D activities and higher compensation-related costs. SG&amp;A expense increased $19 million, primarily due to higher compensation-related costs.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Acquisition charges associated with our 2011 acquisition of National Semiconductor were $319 million compared with $329 million. These non-cash charges resulted from the amortization of intangible assets. See Note 13 to the financial statements.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Restructuring charges/other was a net credit of $15 million, which included a gain on the sale of intellectual property of $40 million that was partially offset by $25 million related to restructuring charges. This compared with a net credit of $71 million in 2015, which included gains on sales of assets of $83 million that were partially offset by $12 million related to restructuring charges and other credits. These amounts are included in Other for segment reporting purposes. See Note 3 to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$4.80 billion, or 35.9 percent of revenue, compared with $4.27 billion, or 32.9 percent of revenue.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OI&amp;E for 2016 was $211 million compared with $32 million. The increase is due to income of $188 million from settlements related to intellectual property infringement.</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income tax provision was $1.34 billion compared with $1.23 billion. The increase was primarily due to higher income before income taxes, partially offset by a tax benefit for stock compensation. Our effective tax rates were 27 percent in 2016 and 29 percent in 2015. See Note 6 to the financial statements for a reconciliation of the U.S. statutory income tax rate to the effective tax rate.</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Net income was $3.60 billion, an increase of $609 million, or 20 percent. EPS was $3.48 compared with $2.82. EPS benefited $0.13 in 2016 due to the application of the new accounting standard related to stock compensation.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Segment results – 2016 compared with 2015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Analog (included High Volume Analog &amp; Logic (HVAL), Power Management (Power), High Performance Analog (HPA) and Silicon Valley Analog (SVA)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lines)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8,536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3,380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3,048</w:t>
            </w: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39.6%</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36.6%</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Analog revenue increased primarily due to SVA and HPA. Power also grew, but to a lesser extent, while HVAL declined due to the mix of products shipped.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increased due to higher gross profit, which benefited from lower manufacturing costs.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(included Processors, Microcontrollers and Connectivity product lines)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3,023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801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26.5%</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21.4%</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Embedded Processing revenue increased due to, in declining order, Processors, Microcontrollers and Connectivity. Processors revenue increased due to the mix of products shipped. Operating profit increased primarily due to higher revenue and associated gross profit.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(included DLP products, calculators, custom ASICs and royalties)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2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Change</w:t>
            </w:r>
          </w:p>
        </w:tc>
      </w:tr>
      <w:tr>
        <w:trPr>
          <w:trHeight w:val="223"/>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34.1%</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33.6%</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338"/>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140" w:type="dxa"/>
            <w:vAlign w:val="bottom"/>
            <w:gridSpan w:val="2"/>
          </w:tcPr>
          <w:p>
            <w:pPr>
              <w:ind w:left="220"/>
              <w:spacing w:after="0"/>
              <w:rPr>
                <w:sz w:val="20"/>
                <w:szCs w:val="20"/>
                <w:color w:val="auto"/>
              </w:rPr>
            </w:pPr>
            <w:r>
              <w:rPr>
                <w:rFonts w:ascii="Arial" w:cs="Arial" w:eastAsia="Arial" w:hAnsi="Arial"/>
                <w:sz w:val="18"/>
                <w:szCs w:val="18"/>
                <w:color w:val="auto"/>
              </w:rPr>
              <w:t>Includes Acquisition charges and Restructuring charges/other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revenue decreased due to, in declining order, lower royalties, custom ASIC products and calculators. This decrease was partially offset by growth in DLP products. Operating profit decreased $12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results of operations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2015, Analog revenue grew 3 percent, and Embedded Processing revenue grew 2 percent. Analog and Embedded Processing represented 86 percent of revenue in 2015, up from 83 percent in 2014. Gross margin was 58.2 percent for 2015.</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2015, cash flows from operations were $4.40 billion, up from $4.05 billion in 2014. Free cash flow in 2015, was 29.6 percent of revenue, up from 28.1 percent in 2014. During 2015, we returned $4.19 billion of cash to investors through a combination of stock repurchases and dividends.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2015 compared with 2014</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of $13.00 billion was about even with 2014, as higher revenue from Analog and Embedded Processing was offset by lower revenue from Other. Our 2015 revenue was negatively affected by about $150 million from changes in foreign currency exchange rates.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profit was $7.56 billion, an increase of $133 million, or 2 percent, due to lower manufacturing costs. Gross profit margin was 58.2 percent of revenue compared with 56.9 percent.</w:t>
      </w:r>
    </w:p>
    <w:p>
      <w:pPr>
        <w:spacing w:after="0" w:line="1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Operating expenses were $1.28 billion for R&amp;D and $1.75 billion for SG&amp;A. R&amp;D expense decreased $78 million, or 6 percent, and SG&amp;A decreased $95 million, or 5 percent. Both comparisons reflect savings from ongoing efforts across the company to align costs with growth opportunities, including the completed restructuring actions in Embedded Processing and Japan. These decreases were partially offset by higher compensation-related costs.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9" w:name="page20"/>
    <w:bookmarkEnd w:id="19"/>
    <w:p>
      <w:pPr>
        <w:ind w:right="220"/>
        <w:spacing w:after="0" w:line="277" w:lineRule="auto"/>
        <w:rPr>
          <w:sz w:val="20"/>
          <w:szCs w:val="20"/>
          <w:color w:val="auto"/>
        </w:rPr>
      </w:pPr>
      <w:r>
        <w:rPr>
          <w:rFonts w:ascii="Arial" w:cs="Arial" w:eastAsia="Arial" w:hAnsi="Arial"/>
          <w:sz w:val="18"/>
          <w:szCs w:val="18"/>
          <w:color w:val="auto"/>
        </w:rPr>
        <w:t>Acquisition charges were related to our 2011 acquisition of National Semiconductor and were $329 million, about even with 2014. These non-cash charges were primarily from the amortization of intangible assets.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Restructuring charges/other was a net credit of $71 million, which included gains on sales of assets of $83 million that were partially offset by $12 million related to restructuring charges and other credits. This compared with a net credit of $51 million in 2014, reflecting gains on sales of assets of $75 million that were partially offset by restructuring charges and other expenses of $24 million. These amounts are included in Other for segment reporting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$4.27 billion, or 32.9 percent of revenue, compared with $3.95 billion, or 30.3 percent of revenue, in 2014.</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income tax provision was $1.23 billion compared with $1.05 billion. The increase in the total tax provision was due to higher income before income taxes and, to a lesser extent, a lower benefit from non-U.S. effective tax rates. Our effective tax rate was 29 percent in 2015 and 27 percent in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$2.99 billion, an increase of $165 million, or 6 percent, from 2014. EPS was $2.82 compared with $2.57 in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 – 2015 compared with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8,104</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2,786</w:t>
            </w: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34.4%</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Analog revenue increased primarily due to HVAL. Power and SVA also grew, but to a lesser extent. HPA declined due to the mix of products shipped.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increased due to higher revenue and associated gross profit and, to a lesser extent, lower manufacturing costs.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w:t>
            </w: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14.0%</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Embedded Processing revenue increased due about equally to Connectivity and Microcontrollers, which together offset a decline in Processors. Operating profit increased primarily due to lower operating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2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777</w:t>
            </w: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35.3%</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bl>
    <w:p>
      <w:pPr>
        <w:spacing w:after="0" w:line="107"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Acquisition charges and Restructuring charges/other</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revenue declined primarily due to custom ASICs. Revenue from DLP products also declined, but to a lesser extent. Operating profit declined primarily due to lower revenue and associated gross profit.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2016, total cash (Cash and cash equivalents plus Short-term investments) was $3.49 billion, an increase of $272 million from the end of 2015.</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right="40"/>
        <w:spacing w:after="0" w:line="277" w:lineRule="auto"/>
        <w:rPr>
          <w:sz w:val="20"/>
          <w:szCs w:val="20"/>
          <w:color w:val="auto"/>
        </w:rPr>
      </w:pPr>
      <w:r>
        <w:rPr>
          <w:rFonts w:ascii="Arial" w:cs="Arial" w:eastAsia="Arial" w:hAnsi="Arial"/>
          <w:sz w:val="18"/>
          <w:szCs w:val="18"/>
          <w:color w:val="auto"/>
        </w:rPr>
        <w:t>Accounts receivable were $1.27 billion at the end of 2016. This was an increase of $102 million compared with the end of 2015. Days sales outstanding were 33 at the end of both 2016 and 2015.</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Inventory was $1.79 billion at the end of 2016. This was an increase of $99 million from the end of 2015. Days of inventory at the end of 2016 were 126 compared with 115 at the end of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 rate, revolving credit facility. Cash flows from operating activities for 2016 was $4.61 billion, an increase of $217 million from 2015 primarily due to an increase in Net income.</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2021. This credit facility also serves as support for the issuance of commercial paper. As of December 31, 2016, our credit facility was undrawn, and we had no commercial paper outstanding.</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2016, investing activities used $650 million compared with $302 million in 2015. For 2016, Capital expenditures were $531 million compared with $551 million in 2015. Capital expenditures in both periods were primarily for semiconductor manufacturing equipment. In 2016, we had purchases of short-term investments, net of proceeds, that used cash of $113 million. In comparison, in 2015 we had proceeds from short-term investments, net of purchases, that provided cash of $125 million. In 2015, we received $110 million from asset sales, compared with none in 2016.</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2016, financing activities used $3.81 billion compared with $4.29 billion in 2015. In 2016, we received proceeds of $499 million from the issuance of fixed-rate, long-term debt (net of original issuance discount) and repaid $1.00 billion of maturing debt. In 2015, we received proceeds of $498 million from the issuance of fixed-rate, long-term debt (net of original issuance discount) and repaid $1.00 billion of maturing debt. Dividends paid in 2016 were $1.65 billion compared with $1.44 billion in 2015, reflecting increases in the dividend rate, partially offset by fewer shares outstanding. During 2016, the quarterly dividend increased to $0.50 from $0.38 per share, resulting in an annualized dividend payment of $2.00 per share. During 2015, we increased our quarterly dividend to $0.38 from $0.34 per share. In 2016, we used $2.13 billion to repurchase 35.5 million shares of our common stock. This compared with $2.74 billion used in 2015 to repurchase 51.4 million shares. Employee exercises of stock options are also reflected in Cash flows from financing activities. In 2016, these exercises provided cash proceeds of $472 million compared with $396 million in 2015.</w:t>
      </w:r>
    </w:p>
    <w:p>
      <w:pPr>
        <w:spacing w:after="0" w:line="1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had $1.15 billion of Cash and cash equivalents and $2.34 billion of Short-term investments as of December 31, 2016, with our U.S. entities owning about 80 percent of these amounts combined at the end of 2016. We believe we have the necessary financial resources and operating plans to fund our working capital needs, capital expenditures, dividend and debt-related payments, and other business requirements for at least the next 12 months.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 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 Reconciliation to the most directly comparable GAAP-based measures is provided in the table below.</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For Years Ended</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FF0FC"/>
            </w:tcBorders>
          </w:tcPr>
          <w:p>
            <w:pPr>
              <w:spacing w:after="0"/>
              <w:rPr>
                <w:sz w:val="12"/>
                <w:szCs w:val="12"/>
                <w:color w:val="auto"/>
              </w:rPr>
            </w:pPr>
          </w:p>
        </w:tc>
        <w:tc>
          <w:tcPr>
            <w:tcW w:w="4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0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Cash flow from operations (GAAP)</w:t>
            </w: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05"/>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4,614</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4,397</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4,054</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Capital expenditures</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(551)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Free cash flow (non-GAAP)</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4,083</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3,846</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3,669</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Borders>
              <w:bottom w:val="single" w:sz="8" w:color="CFF0FC"/>
            </w:tcBorders>
          </w:tcPr>
          <w:p>
            <w:pPr>
              <w:spacing w:after="0"/>
              <w:rPr>
                <w:sz w:val="15"/>
                <w:szCs w:val="15"/>
                <w:color w:val="auto"/>
              </w:rPr>
            </w:pPr>
          </w:p>
        </w:tc>
        <w:tc>
          <w:tcPr>
            <w:tcW w:w="46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w:t>
            </w:r>
          </w:p>
        </w:tc>
        <w:tc>
          <w:tcPr>
            <w:tcW w:w="4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5"/>
              </w:rPr>
              <w:t>13,370</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13,000</w:t>
            </w:r>
          </w:p>
        </w:tc>
        <w:tc>
          <w:tcPr>
            <w:tcW w:w="1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13,045</w:t>
            </w:r>
          </w:p>
        </w:tc>
        <w:tc>
          <w:tcPr>
            <w:tcW w:w="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Cash flow from operations as a percent of revenue (GAAP)</w:t>
            </w: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34.5%</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33.8%</w:t>
            </w: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Free cash flow as a percent of revenue (non-GAAP)</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29.6%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w w:val="91"/>
              </w:rPr>
              <w:t>Payments Due by Period</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8"/>
                <w:szCs w:val="18"/>
                <w:color w:val="auto"/>
              </w:rPr>
            </w:pPr>
          </w:p>
        </w:tc>
        <w:tc>
          <w:tcPr>
            <w:tcW w:w="980" w:type="dxa"/>
            <w:vAlign w:val="bottom"/>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2018/2019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40"/>
              <w:spacing w:after="0"/>
              <w:rPr>
                <w:sz w:val="20"/>
                <w:szCs w:val="20"/>
                <w:color w:val="auto"/>
              </w:rPr>
            </w:pPr>
            <w:r>
              <w:rPr>
                <w:rFonts w:ascii="Arial" w:cs="Arial" w:eastAsia="Arial" w:hAnsi="Arial"/>
                <w:sz w:val="14"/>
                <w:szCs w:val="14"/>
                <w:b w:val="1"/>
                <w:bCs w:val="1"/>
                <w:color w:val="auto"/>
              </w:rPr>
              <w:t>2020/2021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96"/>
        </w:trPr>
        <w:tc>
          <w:tcPr>
            <w:tcW w:w="4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Long-term debt (a)</w:t>
            </w: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3,869</w:t>
            </w: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4580" w:type="dxa"/>
            <w:vAlign w:val="bottom"/>
            <w:gridSpan w:val="2"/>
          </w:tcPr>
          <w:p>
            <w:pPr>
              <w:spacing w:after="0"/>
              <w:rPr>
                <w:sz w:val="20"/>
                <w:szCs w:val="20"/>
                <w:color w:val="auto"/>
              </w:rPr>
            </w:pPr>
            <w:r>
              <w:rPr>
                <w:rFonts w:ascii="Arial" w:cs="Arial" w:eastAsia="Arial" w:hAnsi="Arial"/>
                <w:sz w:val="16"/>
                <w:szCs w:val="16"/>
                <w:color w:val="auto"/>
              </w:rPr>
              <w:t>Purchase commitments (b)</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336</w:t>
            </w:r>
          </w:p>
        </w:tc>
      </w:tr>
      <w:tr>
        <w:trPr>
          <w:trHeight w:val="219"/>
        </w:trPr>
        <w:tc>
          <w:tcPr>
            <w:tcW w:w="4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leases (c)</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57</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240</w:t>
            </w:r>
          </w:p>
        </w:tc>
      </w:tr>
      <w:tr>
        <w:trPr>
          <w:trHeight w:val="213"/>
        </w:trPr>
        <w:tc>
          <w:tcPr>
            <w:tcW w:w="4580" w:type="dxa"/>
            <w:vAlign w:val="bottom"/>
            <w:gridSpan w:val="2"/>
          </w:tcPr>
          <w:p>
            <w:pPr>
              <w:spacing w:after="0"/>
              <w:rPr>
                <w:sz w:val="20"/>
                <w:szCs w:val="20"/>
                <w:color w:val="auto"/>
              </w:rPr>
            </w:pPr>
            <w:r>
              <w:rPr>
                <w:rFonts w:ascii="Arial" w:cs="Arial" w:eastAsia="Arial" w:hAnsi="Arial"/>
                <w:sz w:val="16"/>
                <w:szCs w:val="16"/>
                <w:color w:val="auto"/>
              </w:rPr>
              <w:t>Deferred compensation plans (d)</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192</w:t>
            </w:r>
          </w:p>
        </w:tc>
      </w:tr>
      <w:tr>
        <w:trPr>
          <w:trHeight w:val="199"/>
        </w:trPr>
        <w:tc>
          <w:tcPr>
            <w:tcW w:w="45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 (e)</w:t>
            </w: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4,637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160" w:hanging="512"/>
        <w:spacing w:after="0" w:line="258"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related interest payments and amounts classified as the current portion of long-term debt, specifically obligations that will mature within 12 months.</w:t>
      </w:r>
    </w:p>
    <w:p>
      <w:pPr>
        <w:spacing w:after="0" w:line="1" w:lineRule="exact"/>
        <w:rPr>
          <w:rFonts w:ascii="Arial" w:cs="Arial" w:eastAsia="Arial" w:hAnsi="Arial"/>
          <w:sz w:val="18"/>
          <w:szCs w:val="18"/>
          <w:color w:val="auto"/>
        </w:rPr>
      </w:pPr>
    </w:p>
    <w:p>
      <w:pPr>
        <w:ind w:left="520" w:right="2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payments for software licenses and contractual arrangements with suppliers where there is a fixed, non-cancellable payment schedule or minimum payments due with a reduced delivery schedule. Excluded from the table are cancellable arrangements. However, depending on when certain purchase arrangements may be cancelled, an additional $3 million of cancellation penalties may be required to be paid, which are not reflected in the table.</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minimum payments for leased facilities and equipment and purchases of industrial gases under contracts accounted for as operating leases.</w:t>
      </w:r>
    </w:p>
    <w:p>
      <w:pPr>
        <w:spacing w:after="0" w:line="32" w:lineRule="exact"/>
        <w:rPr>
          <w:rFonts w:ascii="Arial" w:cs="Arial" w:eastAsia="Arial" w:hAnsi="Arial"/>
          <w:sz w:val="16"/>
          <w:szCs w:val="16"/>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an estimate of payments for certain liabilities that existed at December 31, 2016.</w:t>
      </w:r>
    </w:p>
    <w:p>
      <w:pPr>
        <w:spacing w:after="0" w:line="9" w:lineRule="exact"/>
        <w:rPr>
          <w:rFonts w:ascii="Arial" w:cs="Arial" w:eastAsia="Arial" w:hAnsi="Arial"/>
          <w:sz w:val="18"/>
          <w:szCs w:val="18"/>
          <w:color w:val="auto"/>
        </w:rPr>
      </w:pPr>
    </w:p>
    <w:p>
      <w:pPr>
        <w:ind w:left="520" w:right="40" w:hanging="512"/>
        <w:spacing w:after="0" w:line="271"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Excluded from the table are $243 million of uncertain tax liabilities under ASC 740, as well as any planned future funding contributions to retirement benefit plans. Amounts associated with uncertain tax liabilities have been excluded because of the difficulty in making reasonably reliable estimates of the timing of cash settlements with the respective taxing authorities. Regarding future funding of retirement benefit plans, we plan to contribute about $100 million in 2017, but funding projections beyond 2017 are not practical to estimate due to the rules affecting tax-deductible contributions and the impact from the plans' asset performance, interest rates and potential U.S. and non-U.S. legislation.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recognize revenue from sales of our products, including sales to our distributors, when title and risk of loss pass, which usually occurs upon shipment or delivery to the customer or distributor, depending upon the terms of the sales order; when persuasive evidence of an arrangement exists; when sales amounts are fixed or determinable; and when collectability is reasonably assured. For sales to distributors, payment is due on our standard commercial terms and is not contingent upon resale of the products.</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Revenue from sales of our products that are subject to inventory consignment agreements, including consignment arrangements with distributors, is recognized in accordance with the principles discussed above. Delivery occurs when the customer or distributor pulls product from consignment inventory that we store at designated locations.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recognize revenue net of allowances, which are management’s estimates of future credits to be granted to customers or distributors under programs common in the semiconductor industry. These allowances, which are not material, generally include volume-based incentives, product returns due to quality issues, incentives designed to maximize growth opportunities and special pricing arrangements. Allowances are based on analysis of historical data, current economic conditions and contractual terms and are recorded when revenue is recognized. We believe we can reasonably and reliably estimate allowances for credits to distributors in a timely manner.</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we record allowances for accounts receivable that we estimate may not be collected. We monitor collectability of accounts receivable primarily through review of the accounts receivable aging. When collection is at risk, we assess the impact on amounts recorded for bad debts and, if necessary, will record a charge in the period such determination is made.</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recognize in revenue shipping fees, if any, received from customers. We include shipping and handling costs in cost of revenue. The majority of our customers pay these fees directly to third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recoverability of our deferred tax assets based on these criteria may change due to various factors, including changes in U.S. or international tax laws and changes in market conditions and their impact on our assessment of taxable income in future periods. These changes, if any, may require material adjustments to the deferred tax assets and an accompanying reduction or increase in Net income in the period when such determinations are made. Also, our plans for the permanent reinvestment or eventual repatriation of the accumulated earnings of certain of our non-U.S. operations could change. Such changes could have a material effect on tax expense in future years.</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factors described above, the estimated annual tax rate, which excludes discrete items, reflected in forward-looking statements is based on then-current tax law. Significant changes in tax law enacted during the year could affect these estimates. Retroactive changes in tax law enacted subsequent to the end of a reporting period are reflected in the period of enactment.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Inventory is valued net of allowances for unsalable or obsolete raw materials, work-in-process and finished goods. Statistical allowances are determined quarterly for raw materials and work-in-process based on historical disposals of inventory for salability and obsolescence reasons. For finished goods, quarterly statistical allowances are determined by comparing inventory levels of individual parts to historical shipments, current backlog and estimated future sales in order to identify inventory judged unlikely to be sold. A specific allowance for each material type will be carried if there is a significant event not captured by the statistical allowance. Examples are an end-of-life part or demand with imminent risk of cancellation. Allowances are also calculated quarterly for instances where inventoried costs for individual products are in excess of market prices for those products.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information on new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we had no significant off-balance sheet arrangements as defined in Item 303(a)(4)(ii) of SEC Regulation 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12 to the financial statements for a discussion of our commitments and contingencies.</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 risk</w:t>
      </w:r>
    </w:p>
    <w:p>
      <w:pPr>
        <w:spacing w:after="0" w:line="11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U.S. dollar is the functional currency for financial reporting. Our non-U.S. entities own assets or liabilities denominated in U.S. dollars or other currencies. Exchange rate fluctuations can have a significant impact on taxable income in those jurisdictions, and consequently on our effective tax rate.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3" w:name="page24"/>
    <w:bookmarkEnd w:id="23"/>
    <w:p>
      <w:pPr>
        <w:ind w:right="20"/>
        <w:spacing w:after="0" w:line="312" w:lineRule="auto"/>
        <w:rPr>
          <w:sz w:val="20"/>
          <w:szCs w:val="20"/>
          <w:color w:val="auto"/>
        </w:rPr>
      </w:pPr>
      <w:r>
        <w:rPr>
          <w:rFonts w:ascii="Arial" w:cs="Arial" w:eastAsia="Arial" w:hAnsi="Arial"/>
          <w:sz w:val="16"/>
          <w:szCs w:val="16"/>
          <w:color w:val="auto"/>
        </w:rPr>
        <w:t>Our balance sheet also reflects amounts remeasured from non-U.S. dollar currencies. Because most of the aggregate non-U.S. dollar balance sheet exposure is hedged by forward currency exchange contracts, based on year-end 2016 balances and currency exchange rates, a hypothetical 10 percent plus or minus fluctuation in non-U.S. currency exchange rates relative to the U.S. dollar would result in a pre-tax currency exchange gain or loss of about $1 million.</w:t>
      </w:r>
    </w:p>
    <w:p>
      <w:pPr>
        <w:spacing w:after="0" w:line="14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use these forward currency exchange contracts to reduce the earnings impact exchange rate fluctuations may have on our non-U.S. dollar net balance sheet exposures. For example, at year-end 2016, we had forward currency exchange contracts outstanding with a notional value of $494 million to hedge net balance sheet exposures (including $158 million to sell Japanese yen and $123 million to sell euros). Similar hedging activities existed at year-end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have the following potential exposure to changes in interest rates: (1) the effect of changes in interest rates on the fair value of our investments in cash equivalents and short-term investments, which could produce a gain or a loss; and (2) the effect of changes in interest rates on the fair value of our debt.</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2016, a hypothetical 100 basis point increase in interest rates would decrease the fair value of our investments in cash equivalents and short-term investments by $7 million and decrease the fair value of our long-term debt by $104 million. Because interest rates on our long-term debt are fixed, changes in interest rates would not affect the cash flows associated with long-term debt.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at year-end 2016 include the following:</w:t>
      </w:r>
    </w:p>
    <w:p>
      <w:pPr>
        <w:spacing w:after="0" w:line="117" w:lineRule="exact"/>
        <w:rPr>
          <w:sz w:val="20"/>
          <w:szCs w:val="20"/>
          <w:color w:val="auto"/>
        </w:rPr>
      </w:pPr>
    </w:p>
    <w:p>
      <w:pPr>
        <w:ind w:left="1040" w:right="3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mutual funds </w:t>
      </w:r>
      <w:r>
        <w:rPr>
          <w:rFonts w:ascii="Arial" w:cs="Arial" w:eastAsia="Arial" w:hAnsi="Arial"/>
          <w:sz w:val="18"/>
          <w:szCs w:val="18"/>
          <w:color w:val="auto"/>
        </w:rPr>
        <w:t>– includes mutual funds that were selected to generate returns that offset changes in certain liabilities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arrangements. The mutual funds hold a variety of debt and equity investments.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Investments in venture capital funds </w:t>
      </w:r>
      <w:r>
        <w:rPr>
          <w:rFonts w:ascii="Arial" w:cs="Arial" w:eastAsia="Arial" w:hAnsi="Arial"/>
          <w:sz w:val="17"/>
          <w:szCs w:val="17"/>
          <w:color w:val="auto"/>
        </w:rPr>
        <w:t>– includes investments in limited partnerships (accounted for under either the equity or cost method).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 includes non-marketable (non-publicly traded) equity securities.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deferred compensation liabilities such that a 10 percent increase or decrease in the investments' fair values would not materially affect operating results. Non-marketable equity securities and some venture capital funds are stated at cost. Impairments deemed to be other-than-temporary are expensed in Net income. Investments in the remaining venture capital funds are stated using the equity method. See Note 8 to the financial statements for details of equity and other long-term investments.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List of Financial Statements (Item 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152400</wp:posOffset>
            </wp:positionV>
            <wp:extent cx="6157595"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57595" cy="197485"/>
                    </a:xfrm>
                    <a:prstGeom prst="rect">
                      <a:avLst/>
                    </a:prstGeom>
                    <a:noFill/>
                  </pic:spPr>
                </pic:pic>
              </a:graphicData>
            </a:graphic>
          </wp:anchor>
        </w:drawing>
      </w:r>
    </w:p>
    <w:p>
      <w:pPr>
        <w:spacing w:after="0" w:line="24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Income for each of the three years in the period ended December 31, 2016</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Comprehensive income for each of the three years in the period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48895</wp:posOffset>
            </wp:positionV>
            <wp:extent cx="6157595"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57595" cy="205740"/>
                    </a:xfrm>
                    <a:prstGeom prst="rect">
                      <a:avLst/>
                    </a:prstGeom>
                    <a:noFill/>
                  </pic:spPr>
                </pic:pic>
              </a:graphicData>
            </a:graphic>
          </wp:anchor>
        </w:drawing>
      </w:r>
    </w:p>
    <w:p>
      <w:pPr>
        <w:spacing w:after="0" w:line="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Balance sheets at December 31, 2016 and 2015</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Cash flows for each of the three years in the period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48895</wp:posOffset>
            </wp:positionV>
            <wp:extent cx="6157595"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57595" cy="222885"/>
                    </a:xfrm>
                    <a:prstGeom prst="rect">
                      <a:avLst/>
                    </a:prstGeom>
                    <a:noFill/>
                  </pic:spPr>
                </pic:pic>
              </a:graphicData>
            </a:graphic>
          </wp:anchor>
        </w:drawing>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Stockholders’ equity for each of the three years in the period ended December 31, 2016</w:t>
      </w:r>
    </w:p>
    <w:p>
      <w:pPr>
        <w:spacing w:after="0" w:line="2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337" w:right="5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3"/>
        </w:trPr>
        <w:tc>
          <w:tcPr>
            <w:tcW w:w="600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8"/>
          </w:tcPr>
          <w:p>
            <w:pPr>
              <w:jc w:val="right"/>
              <w:ind w:right="224"/>
              <w:spacing w:after="0"/>
              <w:rPr>
                <w:sz w:val="20"/>
                <w:szCs w:val="20"/>
                <w:color w:val="auto"/>
              </w:rPr>
            </w:pPr>
            <w:r>
              <w:rPr>
                <w:rFonts w:ascii="Arial" w:cs="Arial" w:eastAsia="Arial" w:hAnsi="Arial"/>
                <w:sz w:val="16"/>
                <w:szCs w:val="16"/>
                <w:b w:val="1"/>
                <w:bCs w:val="1"/>
                <w:color w:val="auto"/>
              </w:rPr>
              <w:t>For Years Ended December 31,</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auto"/>
              <w:bottom w:val="single" w:sz="8" w:color="CFF0FC"/>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0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FF0FC"/>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13,370</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13,000</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13,045</w:t>
            </w:r>
          </w:p>
        </w:tc>
        <w:tc>
          <w:tcPr>
            <w:tcW w:w="120" w:type="dxa"/>
            <w:vAlign w:val="bottom"/>
            <w:shd w:val="clear" w:color="auto" w:fill="CFF0FC"/>
          </w:tcPr>
          <w:p>
            <w:pPr>
              <w:spacing w:after="0"/>
              <w:rPr>
                <w:sz w:val="18"/>
                <w:szCs w:val="18"/>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color w:val="auto"/>
              </w:rPr>
              <w:t>Cost of revenue (COR)</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5,130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5,618</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8,240</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7,560</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7,427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color w:val="auto"/>
              </w:rPr>
              <w:t>Research and development (R&amp;D)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1,370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1,358</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(SG&amp;A)</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1,843</w:t>
            </w:r>
          </w:p>
        </w:tc>
        <w:tc>
          <w:tcPr>
            <w:tcW w:w="120" w:type="dxa"/>
            <w:vAlign w:val="bottom"/>
            <w:shd w:val="clear" w:color="auto" w:fill="CFF0FC"/>
          </w:tcPr>
          <w:p>
            <w:pPr>
              <w:spacing w:after="0"/>
              <w:rPr>
                <w:sz w:val="19"/>
                <w:szCs w:val="19"/>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color w:val="auto"/>
              </w:rPr>
              <w:t>Acquisition charges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Restructuring charges/other</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r>
      <w:tr>
        <w:trPr>
          <w:trHeight w:val="207"/>
        </w:trPr>
        <w:tc>
          <w:tcPr>
            <w:tcW w:w="60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3,947</w:t>
            </w:r>
          </w:p>
        </w:tc>
        <w:tc>
          <w:tcPr>
            <w:tcW w:w="1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 (OI&amp;E)</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FF0FC"/>
          </w:tcPr>
          <w:p>
            <w:pPr>
              <w:spacing w:after="0"/>
              <w:rPr>
                <w:sz w:val="19"/>
                <w:szCs w:val="19"/>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color w:val="auto"/>
              </w:rPr>
              <w:t>Interest and debt expense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4,930</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4,216</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1,335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1,053</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3,595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Earnings per common share (EPS):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5980" w:type="dxa"/>
            <w:vAlign w:val="bottom"/>
          </w:tcPr>
          <w:p>
            <w:pPr>
              <w:ind w:left="120"/>
              <w:spacing w:after="0"/>
              <w:rPr>
                <w:sz w:val="20"/>
                <w:szCs w:val="20"/>
                <w:color w:val="auto"/>
              </w:rPr>
            </w:pPr>
            <w:r>
              <w:rPr>
                <w:rFonts w:ascii="Arial" w:cs="Arial" w:eastAsia="Arial" w:hAnsi="Arial"/>
                <w:sz w:val="16"/>
                <w:szCs w:val="16"/>
                <w:color w:val="auto"/>
              </w:rPr>
              <w:t>Basic</w:t>
            </w:r>
          </w:p>
        </w:tc>
        <w:tc>
          <w:tcPr>
            <w:tcW w:w="520" w:type="dxa"/>
            <w:vAlign w:val="bottom"/>
            <w:gridSpan w:val="2"/>
          </w:tcPr>
          <w:p>
            <w:pPr>
              <w:jc w:val="right"/>
              <w:ind w:right="164"/>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3.54</w:t>
            </w:r>
          </w:p>
        </w:tc>
        <w:tc>
          <w:tcPr>
            <w:tcW w:w="160" w:type="dxa"/>
            <w:vAlign w:val="bottom"/>
          </w:tcPr>
          <w:p>
            <w:pPr>
              <w:spacing w:after="0"/>
              <w:rPr>
                <w:sz w:val="22"/>
                <w:szCs w:val="22"/>
                <w:color w:val="auto"/>
              </w:rPr>
            </w:pP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2.86</w:t>
            </w:r>
          </w:p>
        </w:tc>
        <w:tc>
          <w:tcPr>
            <w:tcW w:w="180" w:type="dxa"/>
            <w:vAlign w:val="bottom"/>
          </w:tcPr>
          <w:p>
            <w:pPr>
              <w:spacing w:after="0"/>
              <w:rPr>
                <w:sz w:val="22"/>
                <w:szCs w:val="22"/>
                <w:color w:val="auto"/>
              </w:rPr>
            </w:pPr>
          </w:p>
        </w:tc>
        <w:tc>
          <w:tcPr>
            <w:tcW w:w="4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59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3.48</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Average shares outstanding (millions):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598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1,003</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120" w:type="dxa"/>
            <w:vAlign w:val="bottom"/>
            <w:tcBorders>
              <w:bottom w:val="single" w:sz="8" w:color="CFF0FC"/>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1,021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6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Cash dividends declared per common share</w:t>
            </w:r>
          </w:p>
        </w:tc>
        <w:tc>
          <w:tcPr>
            <w:tcW w:w="52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1.64</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0" w:lineRule="exact"/>
        <w:rPr>
          <w:sz w:val="20"/>
          <w:szCs w:val="20"/>
          <w:color w:val="auto"/>
        </w:rPr>
      </w:pPr>
    </w:p>
    <w:p>
      <w:pPr>
        <w:ind w:right="800"/>
        <w:spacing w:after="0" w:line="293" w:lineRule="auto"/>
        <w:rPr>
          <w:sz w:val="20"/>
          <w:szCs w:val="20"/>
          <w:color w:val="auto"/>
        </w:rPr>
      </w:pPr>
      <w:r>
        <w:rPr>
          <w:rFonts w:ascii="Arial" w:cs="Arial" w:eastAsia="Arial" w:hAnsi="Arial"/>
          <w:sz w:val="16"/>
          <w:szCs w:val="16"/>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2040" w:type="dxa"/>
            <w:vAlign w:val="bottom"/>
            <w:gridSpan w:val="2"/>
            <w:shd w:val="clear" w:color="auto" w:fill="CFF0FC"/>
          </w:tcPr>
          <w:p>
            <w:pPr>
              <w:jc w:val="right"/>
              <w:ind w:right="444"/>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3,595</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6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2,821</w:t>
            </w:r>
          </w:p>
        </w:tc>
        <w:tc>
          <w:tcPr>
            <w:tcW w:w="120" w:type="dxa"/>
            <w:vAlign w:val="bottom"/>
            <w:shd w:val="clear" w:color="auto" w:fill="CFF0FC"/>
          </w:tcPr>
          <w:p>
            <w:pPr>
              <w:spacing w:after="0"/>
              <w:rPr>
                <w:sz w:val="18"/>
                <w:szCs w:val="18"/>
                <w:color w:val="auto"/>
              </w:rPr>
            </w:pPr>
          </w:p>
        </w:tc>
      </w:tr>
      <w:tr>
        <w:trPr>
          <w:trHeight w:val="213"/>
        </w:trPr>
        <w:tc>
          <w:tcPr>
            <w:tcW w:w="476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r>
      <w:tr>
        <w:trPr>
          <w:trHeight w:val="210"/>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allocated to common stock for diluted EPS</w:t>
            </w:r>
          </w:p>
        </w:tc>
        <w:tc>
          <w:tcPr>
            <w:tcW w:w="144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44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3,551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3"/>
        </w:trPr>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gridSpan w:val="6"/>
          </w:tcPr>
          <w:p>
            <w:pPr>
              <w:jc w:val="right"/>
              <w:ind w:right="164"/>
              <w:spacing w:after="0"/>
              <w:rPr>
                <w:sz w:val="20"/>
                <w:szCs w:val="20"/>
                <w:color w:val="auto"/>
              </w:rPr>
            </w:pPr>
            <w:r>
              <w:rPr>
                <w:rFonts w:ascii="Arial" w:cs="Arial" w:eastAsia="Arial" w:hAnsi="Arial"/>
                <w:sz w:val="16"/>
                <w:szCs w:val="16"/>
                <w:b w:val="1"/>
                <w:bCs w:val="1"/>
                <w:color w:val="auto"/>
              </w:rPr>
              <w:t>For Years Ended December 31,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auto"/>
              <w:bottom w:val="single" w:sz="8" w:color="CFF0FC"/>
            </w:tcBorders>
          </w:tcPr>
          <w:p>
            <w:pPr>
              <w:spacing w:after="0"/>
              <w:rPr>
                <w:sz w:val="20"/>
                <w:szCs w:val="20"/>
                <w:color w:val="auto"/>
              </w:rPr>
            </w:pPr>
            <w:r>
              <w:rPr>
                <w:rFonts w:ascii="Arial" w:cs="Arial" w:eastAsia="Arial" w:hAnsi="Arial"/>
                <w:sz w:val="16"/>
                <w:szCs w:val="16"/>
                <w:b w:val="1"/>
                <w:bCs w:val="1"/>
                <w:color w:val="auto"/>
              </w:rPr>
              <w:t>(Millions of dollars)</w:t>
            </w:r>
          </w:p>
        </w:tc>
        <w:tc>
          <w:tcPr>
            <w:tcW w:w="18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8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FF0FC"/>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3,595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2,821</w:t>
            </w:r>
          </w:p>
        </w:tc>
        <w:tc>
          <w:tcPr>
            <w:tcW w:w="100" w:type="dxa"/>
            <w:vAlign w:val="bottom"/>
            <w:shd w:val="clear" w:color="auto" w:fill="CFF0FC"/>
          </w:tcPr>
          <w:p>
            <w:pPr>
              <w:spacing w:after="0"/>
              <w:rPr>
                <w:sz w:val="18"/>
                <w:szCs w:val="18"/>
                <w:color w:val="auto"/>
              </w:rPr>
            </w:pPr>
          </w:p>
        </w:tc>
      </w:tr>
      <w:tr>
        <w:trPr>
          <w:trHeight w:val="213"/>
        </w:trPr>
        <w:tc>
          <w:tcPr>
            <w:tcW w:w="6300" w:type="dxa"/>
            <w:vAlign w:val="bottom"/>
            <w:gridSpan w:val="2"/>
          </w:tcPr>
          <w:p>
            <w:pPr>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actuarial gains (losses) of defined benefit plans: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6"/>
                <w:szCs w:val="16"/>
                <w:color w:val="auto"/>
              </w:rPr>
              <w:t>Adjustment, net of tax benefit (expense) of $6, $36 and $25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(43)</w:t>
            </w: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(74)</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(46)</w:t>
            </w:r>
          </w:p>
        </w:tc>
      </w:tr>
      <w:tr>
        <w:trPr>
          <w:trHeight w:val="219"/>
        </w:trPr>
        <w:tc>
          <w:tcPr>
            <w:tcW w:w="20" w:type="dxa"/>
            <w:vAlign w:val="bottom"/>
          </w:tcPr>
          <w:p>
            <w:pPr>
              <w:spacing w:after="0"/>
              <w:rPr>
                <w:sz w:val="19"/>
                <w:szCs w:val="19"/>
                <w:color w:val="auto"/>
              </w:rPr>
            </w:pPr>
          </w:p>
        </w:tc>
        <w:tc>
          <w:tcPr>
            <w:tcW w:w="6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Recognized within Net income, net of tax benefit (expense) of ($25), ($25) and ($21)</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6"/>
                <w:szCs w:val="16"/>
                <w:color w:val="auto"/>
              </w:rPr>
              <w:t>Prior service (cost) credit of defined benefit plans: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 net of tax benefit (expense) of $0, ($11) and $0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6"/>
                <w:szCs w:val="16"/>
                <w:color w:val="auto"/>
              </w:rPr>
              <w:t>Recognized within Net income, net of tax benefit (expense) of $2, $0 and $0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Pr>
          <w:p>
            <w:pPr>
              <w:spacing w:after="0"/>
              <w:rPr>
                <w:sz w:val="19"/>
                <w:szCs w:val="19"/>
                <w:color w:val="auto"/>
              </w:rPr>
            </w:pPr>
          </w:p>
        </w:tc>
        <w:tc>
          <w:tcPr>
            <w:tcW w:w="6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Derivative instruments: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Recognized within Net income, net of tax benefit (expense) of $0, ($1) and ($1)</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207"/>
        </w:trPr>
        <w:tc>
          <w:tcPr>
            <w:tcW w:w="6300" w:type="dxa"/>
            <w:vAlign w:val="bottom"/>
            <w:gridSpan w:val="2"/>
          </w:tcPr>
          <w:p>
            <w:pPr>
              <w:spacing w:after="0"/>
              <w:rPr>
                <w:sz w:val="20"/>
                <w:szCs w:val="20"/>
                <w:color w:val="auto"/>
              </w:rPr>
            </w:pPr>
            <w:r>
              <w:rPr>
                <w:rFonts w:ascii="Arial" w:cs="Arial" w:eastAsia="Arial" w:hAnsi="Arial"/>
                <w:sz w:val="16"/>
                <w:szCs w:val="16"/>
                <w:color w:val="auto"/>
              </w:rPr>
              <w:t>Total comprehensive income</w:t>
            </w:r>
          </w:p>
        </w:tc>
        <w:tc>
          <w:tcPr>
            <w:tcW w:w="1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3,601</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2,986</w:t>
            </w:r>
          </w:p>
        </w:tc>
        <w:tc>
          <w:tcPr>
            <w:tcW w:w="2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380" w:type="dxa"/>
            <w:vAlign w:val="bottom"/>
          </w:tcPr>
          <w:p>
            <w:pPr>
              <w:spacing w:after="0"/>
              <w:rPr>
                <w:sz w:val="18"/>
                <w:szCs w:val="18"/>
                <w:color w:val="auto"/>
              </w:rPr>
            </w:pPr>
          </w:p>
        </w:tc>
        <w:tc>
          <w:tcPr>
            <w:tcW w:w="2100" w:type="dxa"/>
            <w:vAlign w:val="bottom"/>
            <w:gridSpan w:val="3"/>
          </w:tcPr>
          <w:p>
            <w:pPr>
              <w:jc w:val="right"/>
              <w:ind w:right="104"/>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bottom w:val="single" w:sz="8" w:color="CFF0FC"/>
            </w:tcBorders>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18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top w:val="single" w:sz="8" w:color="auto"/>
              <w:bottom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1,154</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2,336</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Accounts receivable, net of allowances of ($17) and ($7)</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1,267</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Work in process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954</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tcBorders>
              <w:bottom w:val="single" w:sz="8" w:color="CFF0FC"/>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734</w:t>
            </w:r>
          </w:p>
        </w:tc>
        <w:tc>
          <w:tcPr>
            <w:tcW w:w="2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Inventories</w:t>
            </w: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1,790</w:t>
            </w:r>
          </w:p>
        </w:tc>
        <w:tc>
          <w:tcPr>
            <w:tcW w:w="2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0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910</w:t>
            </w:r>
          </w:p>
        </w:tc>
        <w:tc>
          <w:tcPr>
            <w:tcW w:w="28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7,457</w:t>
            </w:r>
          </w:p>
        </w:tc>
        <w:tc>
          <w:tcPr>
            <w:tcW w:w="2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4,923</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Accumulated depreciation</w:t>
            </w: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(2,411)</w:t>
            </w:r>
          </w:p>
        </w:tc>
        <w:tc>
          <w:tcPr>
            <w:tcW w:w="5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0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2,512</w:t>
            </w:r>
          </w:p>
        </w:tc>
        <w:tc>
          <w:tcPr>
            <w:tcW w:w="280" w:type="dxa"/>
            <w:vAlign w:val="bottom"/>
            <w:tcBorders>
              <w:bottom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investments</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235</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Goodwill,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Acquisition-related intangibles, net</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1,264</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374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Capitalized software licenses, net</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79</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2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16,431</w:t>
            </w:r>
          </w:p>
        </w:tc>
        <w:tc>
          <w:tcPr>
            <w:tcW w:w="280" w:type="dxa"/>
            <w:vAlign w:val="bottom"/>
          </w:tcPr>
          <w:p>
            <w:pPr>
              <w:spacing w:after="0"/>
              <w:rPr>
                <w:sz w:val="21"/>
                <w:szCs w:val="21"/>
                <w:color w:val="auto"/>
              </w:rPr>
            </w:pP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4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380" w:type="dxa"/>
            <w:vAlign w:val="bottom"/>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631</w:t>
            </w:r>
          </w:p>
        </w:tc>
        <w:tc>
          <w:tcPr>
            <w:tcW w:w="280" w:type="dxa"/>
            <w:vAlign w:val="bottom"/>
          </w:tcPr>
          <w:p>
            <w:pPr>
              <w:spacing w:after="0"/>
              <w:rPr>
                <w:sz w:val="18"/>
                <w:szCs w:val="18"/>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396</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710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Income taxes payable</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83</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444</w:t>
            </w:r>
          </w:p>
        </w:tc>
        <w:tc>
          <w:tcPr>
            <w:tcW w:w="2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2,264</w:t>
            </w:r>
          </w:p>
        </w:tc>
        <w:tc>
          <w:tcPr>
            <w:tcW w:w="2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2,978</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Underfunded retirement plans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129</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Deferred credits and other liabilities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554</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2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5,958</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3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Shares issued – 1,740,815,939</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1,741</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1,674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Retained earnings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33,107</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Shares: 2016 – 744,831,978; 2015 – 729,547,527</w:t>
            </w: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(25,523)</w:t>
            </w:r>
          </w:p>
        </w:tc>
        <w:tc>
          <w:tcPr>
            <w:tcW w:w="5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(24,068)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3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(526)</w:t>
            </w:r>
          </w:p>
        </w:tc>
        <w:tc>
          <w:tcPr>
            <w:tcW w:w="5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10,473</w:t>
            </w:r>
          </w:p>
        </w:tc>
        <w:tc>
          <w:tcPr>
            <w:tcW w:w="2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9,946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16,431</w:t>
            </w:r>
          </w:p>
        </w:tc>
        <w:tc>
          <w:tcPr>
            <w:tcW w:w="280" w:type="dxa"/>
            <w:vAlign w:val="bottom"/>
          </w:tcPr>
          <w:p>
            <w:pPr>
              <w:spacing w:after="0"/>
              <w:rPr>
                <w:sz w:val="17"/>
                <w:szCs w:val="17"/>
                <w:color w:val="auto"/>
              </w:rPr>
            </w:pP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3"/>
        </w:trPr>
        <w:tc>
          <w:tcPr>
            <w:tcW w:w="780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8"/>
                <w:szCs w:val="18"/>
                <w:color w:val="auto"/>
              </w:rPr>
            </w:pPr>
          </w:p>
        </w:tc>
        <w:tc>
          <w:tcPr>
            <w:tcW w:w="2660" w:type="dxa"/>
            <w:vAlign w:val="bottom"/>
            <w:gridSpan w:val="7"/>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3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3,595</w:t>
            </w: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2,986</w:t>
            </w:r>
          </w:p>
        </w:tc>
        <w:tc>
          <w:tcPr>
            <w:tcW w:w="36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Gains on sales of assets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(85)</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(202)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(55)</w:t>
            </w: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Increase (decrease) from changes in: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(81)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(142)</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4,614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4,397</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(551)</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Purchases of short-term investments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(3,503)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(2,767)</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(3,107)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3,390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(650)</w:t>
            </w: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(1,000)</w:t>
            </w: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Dividends paid</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(1,646)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(1,444)</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(2,132)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(2,741)</w:t>
            </w: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(3,810)</w:t>
            </w:r>
          </w:p>
        </w:tc>
        <w:tc>
          <w:tcPr>
            <w:tcW w:w="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(4,294)</w:t>
            </w:r>
          </w:p>
        </w:tc>
        <w:tc>
          <w:tcPr>
            <w:tcW w:w="2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(4,105)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(199)</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3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00" w:type="dxa"/>
            <w:vAlign w:val="bottom"/>
            <w:gridSpan w:val="3"/>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1,154</w:t>
            </w:r>
          </w:p>
        </w:tc>
        <w:tc>
          <w:tcPr>
            <w:tcW w:w="20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7"/>
              </w:rPr>
              <w:t>Retained</w:t>
            </w:r>
          </w:p>
        </w:tc>
        <w:tc>
          <w:tcPr>
            <w:tcW w:w="14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Common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Stockholders' Equity</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6"/>
              </w:rPr>
              <w:t>Earnings</w:t>
            </w:r>
          </w:p>
        </w:tc>
        <w:tc>
          <w:tcPr>
            <w:tcW w:w="140" w:type="dxa"/>
            <w:vAlign w:val="bottom"/>
          </w:tcPr>
          <w:p>
            <w:pPr>
              <w:spacing w:after="0"/>
              <w:rPr>
                <w:sz w:val="19"/>
                <w:szCs w:val="19"/>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 except per-share amounts)</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1,211</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28,173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(19,790)</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2014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Dividends declared and paid ($1.24 per share)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(1,323)</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repurchases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(2,831)</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color w:val="auto"/>
              </w:rPr>
              <w:t>Stock compensation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Excess tax benefit for stock compensation</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 equivalents paid on restricted stock units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December 31, 2014</w:t>
            </w: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29,653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(21,840)</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2015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Dividends declared and paid ($1.40 per share)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(1,444)</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repurchases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(2,741)</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color w:val="auto"/>
              </w:rPr>
              <w:t>Stock compensation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Excess tax benefit for stock compensation</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 equivalents paid on restricted stock units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31,176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(24,068)</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Dividends declared and paid ($1.64 per share)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(1,646)</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b w:val="1"/>
                <w:bCs w:val="1"/>
                <w:color w:val="auto"/>
              </w:rPr>
              <w:t>Common stock issued for stock-based awards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Stock repurchases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(2,132)</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b w:val="1"/>
                <w:bCs w:val="1"/>
                <w:color w:val="auto"/>
              </w:rPr>
              <w:t>Stock compensation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Other comprehensive income (loss), net of taxes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6"/>
                <w:szCs w:val="16"/>
                <w:b w:val="1"/>
                <w:bCs w:val="1"/>
                <w:color w:val="auto"/>
              </w:rPr>
              <w:t>Dividend equivalents paid on restricted stock units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Other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4"/>
        </w:trPr>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Balance, December 31, 2016</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1,741</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33,107</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(25,523)</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color w:val="auto"/>
              </w:rPr>
              <w:t>See accompanying notes.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For 2016, we have two reportable segments, which are established along major categories of products as follows:</w:t>
      </w:r>
    </w:p>
    <w:p>
      <w:pPr>
        <w:spacing w:after="0" w:line="62" w:lineRule="exact"/>
        <w:rPr>
          <w:sz w:val="20"/>
          <w:szCs w:val="20"/>
          <w:color w:val="auto"/>
        </w:rPr>
      </w:pPr>
    </w:p>
    <w:p>
      <w:pPr>
        <w:ind w:left="1040" w:right="1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High Volume Analog &amp; Logic, Power Management, High Performance Analog and Silicon</w:t>
      </w:r>
      <w:r>
        <w:rPr>
          <w:rFonts w:ascii="Arial" w:cs="Arial" w:eastAsia="Arial" w:hAnsi="Arial"/>
          <w:sz w:val="18"/>
          <w:szCs w:val="18"/>
          <w:i w:val="1"/>
          <w:iCs w:val="1"/>
          <w:color w:val="auto"/>
        </w:rPr>
        <w:t xml:space="preserve"> </w:t>
      </w:r>
      <w:r>
        <w:rPr>
          <w:rFonts w:ascii="Arial" w:cs="Arial" w:eastAsia="Arial" w:hAnsi="Arial"/>
          <w:sz w:val="18"/>
          <w:szCs w:val="18"/>
          <w:color w:val="auto"/>
        </w:rPr>
        <w:t>Valley Analog.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Processors, Microcontrollers and Connectivity.</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 products, calculators, custom ASICs and royalties received from agreements involving license rights to our patent portfolio.</w:t>
      </w:r>
    </w:p>
    <w:p>
      <w:pPr>
        <w:spacing w:after="0" w:line="18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In Other, we also include items that are not used in evaluating the results of or in allocating resources to our segments. Examples of these items include Acquisition charges (see Note 13); restructuring charges (see Note 3);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 The assets and liabilities associated with these organizations are included in Other.</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We have no material intersegment revenue. The accounting policies of the segments are the same as those described below in the summary of significant accounting policies and practices.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6"/>
                <w:szCs w:val="16"/>
                <w:b w:val="1"/>
                <w:bCs w:val="1"/>
                <w:color w:val="auto"/>
              </w:rPr>
              <w:t>For Years Ended December 31,</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FF0FC"/>
            </w:tcBorders>
          </w:tcPr>
          <w:p>
            <w:pPr>
              <w:spacing w:after="0"/>
              <w:rPr>
                <w:sz w:val="18"/>
                <w:szCs w:val="18"/>
                <w:color w:val="auto"/>
              </w:rPr>
            </w:pPr>
          </w:p>
        </w:tc>
        <w:tc>
          <w:tcPr>
            <w:tcW w:w="25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25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Analog</w:t>
            </w:r>
          </w:p>
        </w:tc>
        <w:tc>
          <w:tcPr>
            <w:tcW w:w="3400" w:type="dxa"/>
            <w:vAlign w:val="bottom"/>
            <w:gridSpan w:val="2"/>
          </w:tcPr>
          <w:p>
            <w:pPr>
              <w:jc w:val="right"/>
              <w:ind w:right="722"/>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8,536</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8,339</w:t>
            </w:r>
          </w:p>
        </w:tc>
        <w:tc>
          <w:tcPr>
            <w:tcW w:w="28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Embedded Processing</w:t>
            </w:r>
          </w:p>
        </w:tc>
        <w:tc>
          <w:tcPr>
            <w:tcW w:w="2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0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Other</w:t>
            </w:r>
          </w:p>
        </w:tc>
        <w:tc>
          <w:tcPr>
            <w:tcW w:w="25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1,811</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revenue</w:t>
            </w:r>
          </w:p>
        </w:tc>
        <w:tc>
          <w:tcPr>
            <w:tcW w:w="25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722"/>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3"/>
              </w:rPr>
              <w:t>13,370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13,000</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13,045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2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Analog</w:t>
            </w:r>
          </w:p>
        </w:tc>
        <w:tc>
          <w:tcPr>
            <w:tcW w:w="3400" w:type="dxa"/>
            <w:vAlign w:val="bottom"/>
            <w:gridSpan w:val="2"/>
            <w:shd w:val="clear" w:color="auto" w:fill="CFF0FC"/>
          </w:tcPr>
          <w:p>
            <w:pPr>
              <w:jc w:val="right"/>
              <w:ind w:right="722"/>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3,380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Embedded Processing</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801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w:t>
            </w:r>
          </w:p>
        </w:tc>
        <w:tc>
          <w:tcPr>
            <w:tcW w:w="25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618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630</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00" w:type="dxa"/>
            <w:vAlign w:val="bottom"/>
          </w:tcPr>
          <w:p>
            <w:pPr>
              <w:spacing w:after="0"/>
              <w:rPr>
                <w:sz w:val="20"/>
                <w:szCs w:val="20"/>
                <w:color w:val="auto"/>
              </w:rPr>
            </w:pPr>
            <w:r>
              <w:rPr>
                <w:rFonts w:ascii="Arial" w:cs="Arial" w:eastAsia="Arial" w:hAnsi="Arial"/>
                <w:sz w:val="16"/>
                <w:szCs w:val="16"/>
                <w:color w:val="auto"/>
              </w:rPr>
              <w:t>Total operating profit</w:t>
            </w:r>
          </w:p>
        </w:tc>
        <w:tc>
          <w:tcPr>
            <w:tcW w:w="2520" w:type="dxa"/>
            <w:vAlign w:val="bottom"/>
          </w:tcPr>
          <w:p>
            <w:pPr>
              <w:spacing w:after="0"/>
              <w:rPr>
                <w:sz w:val="17"/>
                <w:szCs w:val="17"/>
                <w:color w:val="auto"/>
              </w:rPr>
            </w:pPr>
          </w:p>
        </w:tc>
        <w:tc>
          <w:tcPr>
            <w:tcW w:w="880" w:type="dxa"/>
            <w:vAlign w:val="bottom"/>
            <w:tcBorders>
              <w:bottom w:val="single" w:sz="8" w:color="auto"/>
            </w:tcBorders>
          </w:tcPr>
          <w:p>
            <w:pPr>
              <w:jc w:val="right"/>
              <w:ind w:right="722"/>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4,799</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4,274</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Geographic area information</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following geographic area information includes revenue, based on product shipment destination, and property, plant and equipment, based on physical location. The revenue information is not necessarily indicative of the geographic area in which the end applications containing our products are ultimately consumed because our products tend to be shipped to the locations where our customers manufacture their products. Specifically, many of our products are shipped to our customers in China who may include these parts in the manufacture of their own end products, which they may in turn export to their customers around the world.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rPr>
              <w:t>For Years Ended December 31,</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400" w:type="dxa"/>
            <w:vAlign w:val="bottom"/>
            <w:tcBorders>
              <w:bottom w:val="single" w:sz="8" w:color="CFF0FC"/>
            </w:tcBorders>
          </w:tcPr>
          <w:p>
            <w:pPr>
              <w:spacing w:after="0"/>
              <w:rPr>
                <w:sz w:val="18"/>
                <w:szCs w:val="18"/>
                <w:color w:val="auto"/>
              </w:rPr>
            </w:pPr>
          </w:p>
        </w:tc>
        <w:tc>
          <w:tcPr>
            <w:tcW w:w="2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FF0FC"/>
            </w:tcBorders>
          </w:tcPr>
          <w:p>
            <w:pPr>
              <w:spacing w:after="0"/>
              <w:rPr>
                <w:sz w:val="18"/>
                <w:szCs w:val="18"/>
                <w:color w:val="auto"/>
              </w:rPr>
            </w:pPr>
          </w:p>
        </w:tc>
      </w:tr>
      <w:tr>
        <w:trPr>
          <w:trHeight w:val="212"/>
        </w:trPr>
        <w:tc>
          <w:tcPr>
            <w:tcW w:w="4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2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4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3100" w:type="dxa"/>
            <w:vAlign w:val="bottom"/>
            <w:gridSpan w:val="2"/>
          </w:tcPr>
          <w:p>
            <w:pPr>
              <w:jc w:val="right"/>
              <w:ind w:right="72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1,682</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1,612</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1,625</w:t>
            </w:r>
          </w:p>
        </w:tc>
        <w:tc>
          <w:tcPr>
            <w:tcW w:w="120" w:type="dxa"/>
            <w:vAlign w:val="bottom"/>
          </w:tcPr>
          <w:p>
            <w:pPr>
              <w:spacing w:after="0"/>
              <w:rPr>
                <w:sz w:val="18"/>
                <w:szCs w:val="18"/>
                <w:color w:val="auto"/>
              </w:rPr>
            </w:pPr>
          </w:p>
        </w:tc>
      </w:tr>
      <w:tr>
        <w:trPr>
          <w:trHeight w:val="219"/>
        </w:trPr>
        <w:tc>
          <w:tcPr>
            <w:tcW w:w="44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Asia (a)</w:t>
            </w:r>
          </w:p>
        </w:tc>
        <w:tc>
          <w:tcPr>
            <w:tcW w:w="2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8,024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7,910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7,915</w:t>
            </w:r>
          </w:p>
        </w:tc>
        <w:tc>
          <w:tcPr>
            <w:tcW w:w="120" w:type="dxa"/>
            <w:vAlign w:val="bottom"/>
            <w:shd w:val="clear" w:color="auto" w:fill="CFF0FC"/>
          </w:tcPr>
          <w:p>
            <w:pPr>
              <w:spacing w:after="0"/>
              <w:rPr>
                <w:sz w:val="19"/>
                <w:szCs w:val="19"/>
                <w:color w:val="auto"/>
              </w:rPr>
            </w:pPr>
          </w:p>
        </w:tc>
      </w:tr>
      <w:tr>
        <w:trPr>
          <w:trHeight w:val="213"/>
        </w:trPr>
        <w:tc>
          <w:tcPr>
            <w:tcW w:w="440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2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2,393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2,294</w:t>
            </w:r>
          </w:p>
        </w:tc>
        <w:tc>
          <w:tcPr>
            <w:tcW w:w="120" w:type="dxa"/>
            <w:vAlign w:val="bottom"/>
          </w:tcPr>
          <w:p>
            <w:pPr>
              <w:spacing w:after="0"/>
              <w:rPr>
                <w:sz w:val="18"/>
                <w:szCs w:val="18"/>
                <w:color w:val="auto"/>
              </w:rPr>
            </w:pPr>
          </w:p>
        </w:tc>
      </w:tr>
      <w:tr>
        <w:trPr>
          <w:trHeight w:val="219"/>
        </w:trPr>
        <w:tc>
          <w:tcPr>
            <w:tcW w:w="44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Japan</w:t>
            </w:r>
          </w:p>
        </w:tc>
        <w:tc>
          <w:tcPr>
            <w:tcW w:w="2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w:t>
            </w:r>
          </w:p>
        </w:tc>
        <w:tc>
          <w:tcPr>
            <w:tcW w:w="120" w:type="dxa"/>
            <w:vAlign w:val="bottom"/>
            <w:shd w:val="clear" w:color="auto" w:fill="CFF0FC"/>
          </w:tcPr>
          <w:p>
            <w:pPr>
              <w:spacing w:after="0"/>
              <w:rPr>
                <w:sz w:val="19"/>
                <w:szCs w:val="19"/>
                <w:color w:val="auto"/>
              </w:rPr>
            </w:pPr>
          </w:p>
        </w:tc>
      </w:tr>
      <w:tr>
        <w:trPr>
          <w:trHeight w:val="213"/>
        </w:trPr>
        <w:tc>
          <w:tcPr>
            <w:tcW w:w="440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Rest of world</w:t>
            </w:r>
          </w:p>
        </w:tc>
        <w:tc>
          <w:tcPr>
            <w:tcW w:w="2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FF0FC"/>
            </w:tcBorders>
          </w:tcPr>
          <w:p>
            <w:pPr>
              <w:spacing w:after="0"/>
              <w:rPr>
                <w:sz w:val="18"/>
                <w:szCs w:val="18"/>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Total revenue</w:t>
            </w:r>
          </w:p>
        </w:tc>
        <w:tc>
          <w:tcPr>
            <w:tcW w:w="2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22"/>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3"/>
              </w:rPr>
              <w:t>13,370</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13,000</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13,045</w:t>
            </w:r>
          </w:p>
        </w:tc>
        <w:tc>
          <w:tcPr>
            <w:tcW w:w="120" w:type="dxa"/>
            <w:vAlign w:val="bottom"/>
            <w:shd w:val="clear" w:color="auto" w:fill="CFF0FC"/>
          </w:tcPr>
          <w:p>
            <w:pPr>
              <w:spacing w:after="0"/>
              <w:rPr>
                <w:sz w:val="18"/>
                <w:szCs w:val="18"/>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6"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 from products shipped into China, including Hong Kong, was $6.0 billion in 2016, $5.8 billion in 2015 and $5.7 billion in 2014.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December 31,</w:t>
            </w: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00" w:type="dxa"/>
            <w:vAlign w:val="bottom"/>
            <w:tcBorders>
              <w:bottom w:val="single" w:sz="8" w:color="CFF0FC"/>
            </w:tcBorders>
          </w:tcPr>
          <w:p>
            <w:pPr>
              <w:spacing w:after="0"/>
              <w:rPr>
                <w:sz w:val="18"/>
                <w:szCs w:val="18"/>
                <w:color w:val="auto"/>
              </w:rPr>
            </w:pPr>
          </w:p>
        </w:tc>
        <w:tc>
          <w:tcPr>
            <w:tcW w:w="202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FF0FC"/>
            </w:tcBorders>
          </w:tcPr>
          <w:p>
            <w:pPr>
              <w:spacing w:after="0"/>
              <w:rPr>
                <w:sz w:val="18"/>
                <w:szCs w:val="18"/>
                <w:color w:val="auto"/>
              </w:rPr>
            </w:pPr>
          </w:p>
        </w:tc>
      </w:tr>
      <w:tr>
        <w:trPr>
          <w:trHeight w:val="212"/>
        </w:trPr>
        <w:tc>
          <w:tcPr>
            <w:tcW w:w="4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0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6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2940" w:type="dxa"/>
            <w:vAlign w:val="bottom"/>
            <w:gridSpan w:val="2"/>
          </w:tcPr>
          <w:p>
            <w:pPr>
              <w:jc w:val="right"/>
              <w:ind w:right="762"/>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1,372</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1,370</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Pr>
          <w:p>
            <w:pPr>
              <w:spacing w:after="0"/>
              <w:rPr>
                <w:sz w:val="18"/>
                <w:szCs w:val="18"/>
                <w:color w:val="auto"/>
              </w:rPr>
            </w:pPr>
          </w:p>
        </w:tc>
      </w:tr>
      <w:tr>
        <w:trPr>
          <w:trHeight w:val="219"/>
        </w:trPr>
        <w:tc>
          <w:tcPr>
            <w:tcW w:w="46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Asia (a)</w:t>
            </w:r>
          </w:p>
        </w:tc>
        <w:tc>
          <w:tcPr>
            <w:tcW w:w="20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908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1,096</w:t>
            </w:r>
          </w:p>
        </w:tc>
        <w:tc>
          <w:tcPr>
            <w:tcW w:w="120" w:type="dxa"/>
            <w:vAlign w:val="bottom"/>
            <w:shd w:val="clear" w:color="auto" w:fill="CFF0FC"/>
          </w:tcPr>
          <w:p>
            <w:pPr>
              <w:spacing w:after="0"/>
              <w:rPr>
                <w:sz w:val="19"/>
                <w:szCs w:val="19"/>
                <w:color w:val="auto"/>
              </w:rPr>
            </w:pPr>
          </w:p>
        </w:tc>
      </w:tr>
      <w:tr>
        <w:trPr>
          <w:trHeight w:val="213"/>
        </w:trPr>
        <w:tc>
          <w:tcPr>
            <w:tcW w:w="460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2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r>
      <w:tr>
        <w:trPr>
          <w:trHeight w:val="219"/>
        </w:trPr>
        <w:tc>
          <w:tcPr>
            <w:tcW w:w="46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Japan</w:t>
            </w:r>
          </w:p>
        </w:tc>
        <w:tc>
          <w:tcPr>
            <w:tcW w:w="20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FF0FC"/>
          </w:tcPr>
          <w:p>
            <w:pPr>
              <w:spacing w:after="0"/>
              <w:rPr>
                <w:sz w:val="19"/>
                <w:szCs w:val="19"/>
                <w:color w:val="auto"/>
              </w:rPr>
            </w:pPr>
          </w:p>
        </w:tc>
      </w:tr>
      <w:tr>
        <w:trPr>
          <w:trHeight w:val="213"/>
        </w:trPr>
        <w:tc>
          <w:tcPr>
            <w:tcW w:w="460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Rest of world</w:t>
            </w:r>
          </w:p>
        </w:tc>
        <w:tc>
          <w:tcPr>
            <w:tcW w:w="202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FF0FC"/>
            </w:tcBorders>
          </w:tcPr>
          <w:p>
            <w:pPr>
              <w:spacing w:after="0"/>
              <w:rPr>
                <w:sz w:val="18"/>
                <w:szCs w:val="18"/>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Total property, plant and equipment, net</w:t>
            </w:r>
          </w:p>
        </w:tc>
        <w:tc>
          <w:tcPr>
            <w:tcW w:w="20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2,512</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2,596</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2,840</w:t>
            </w:r>
          </w:p>
        </w:tc>
        <w:tc>
          <w:tcPr>
            <w:tcW w:w="120" w:type="dxa"/>
            <w:vAlign w:val="bottom"/>
            <w:shd w:val="clear" w:color="auto" w:fill="CFF0FC"/>
          </w:tcPr>
          <w:p>
            <w:pPr>
              <w:spacing w:after="0"/>
              <w:rPr>
                <w:sz w:val="18"/>
                <w:szCs w:val="18"/>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6" w:lineRule="exact"/>
        <w:rPr>
          <w:sz w:val="20"/>
          <w:szCs w:val="20"/>
          <w:color w:val="auto"/>
        </w:rPr>
      </w:pPr>
    </w:p>
    <w:p>
      <w:pPr>
        <w:ind w:left="520" w:right="440" w:hanging="512"/>
        <w:spacing w:after="0" w:line="293"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Property, plant and equipment, net, at our two sites in the Philippines was $412 million, $471 million and $546 million as of December 31, 2016, 2015 and 2014,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customer</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 end customer accounted for 10 percent or more of revenue in 2016 or 2014. In 2015, Apple Inc. accounted for approximately 11 percent of revenue, recognized primarily in our Analog segment.</w:t>
      </w:r>
    </w:p>
    <w:p>
      <w:pPr>
        <w:spacing w:after="0" w:line="360"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(GAAP). The basis of these financial statements is comparable for all periods presented herein, except for the adoption of a new accounting standard in the fourth quarter of 2016 related to stock compensation, which includes certain provisions applied prospectively. See Changes in accounting standards for further information.</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2016 presentation, retrospectively applying certain provisions of the new accounting standard related to stock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 revenue from sales of our products, including sales to our distributors, when title and risk of loss pass, which usually occurs upon shipment or delivery to the customer or distributor, depending upon the terms of the sales order; when persuasive evidence of an arrangement exists; when sales amounts are fixed or determinable; and when collectability is reasonably assured. For sales to distributors, payment is due on our standard commercial terms and is not contingent upon resale of the products.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Revenue from sales of our products that are subject to inventory consignment agreements, including consignment arrangements with distributors, is recognized in accordance with the principles discussed above. Delivery occurs when the customer or distributor pulls product from consignment inventory that we store at designated locations.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recognize revenue net of allowances, which are management’s estimates of future credits to be granted to customers or distributors under programs common in the semiconductor industry. These allowances, which are not material, generally include volume-based incentives, product returns due to quality issues, incentives designed to maximize growth opportunities and special pricing arrangements. Allowances are based on analysis of historical data, current economic conditions and contractual terms and are recorded when revenue is recognized. We believe we can reasonably and reliably estimate allowances for credits to distributors in a timely manner.</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we record allowances for accounts receivable that we estimate may not be collected. We monitor collectability of accounts receivable primarily through review of the accounts receivable aging. When collection is at risk, we assess the impact on amounts recorded for bad debts and, if necessary, will record a charge in the period such determination is made.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recognize in revenue shipping fees, if any, received from customers. We include shipping and handling costs in COR. The majority of our customers pay these fees directly to third parties.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costs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expense advertising and other promotional costs as incurred. This expense was $44 million in 2016, $46 million in 2015 and $45 million in 2014.</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or all of the deferred tax assets will not be realized.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assessed taxes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Consolidated Statements of Income on a net (excluded from revenue)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For Years Ended December 31,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Net</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Net</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Net</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9"/>
              </w:rPr>
              <w:t>Income</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b w:val="1"/>
                <w:bCs w:val="1"/>
                <w:color w:val="auto"/>
              </w:rPr>
              <w:t>EPS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9"/>
              </w:rPr>
              <w:t>Income</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60" w:type="dxa"/>
            <w:vAlign w:val="bottom"/>
          </w:tcPr>
          <w:p>
            <w:pPr>
              <w:spacing w:after="0"/>
              <w:rPr>
                <w:sz w:val="19"/>
                <w:szCs w:val="19"/>
                <w:color w:val="auto"/>
              </w:rPr>
            </w:pPr>
          </w:p>
        </w:tc>
        <w:tc>
          <w:tcPr>
            <w:tcW w:w="600" w:type="dxa"/>
            <w:vAlign w:val="bottom"/>
          </w:tcPr>
          <w:p>
            <w:pPr>
              <w:jc w:val="right"/>
              <w:ind w:right="159"/>
              <w:spacing w:after="0"/>
              <w:rPr>
                <w:sz w:val="20"/>
                <w:szCs w:val="20"/>
                <w:color w:val="auto"/>
              </w:rPr>
            </w:pPr>
            <w:r>
              <w:rPr>
                <w:rFonts w:ascii="Arial" w:cs="Arial" w:eastAsia="Arial" w:hAnsi="Arial"/>
                <w:sz w:val="16"/>
                <w:szCs w:val="16"/>
                <w:b w:val="1"/>
                <w:bCs w:val="1"/>
                <w:color w:val="auto"/>
              </w:rPr>
              <w:t>EPS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9"/>
              </w:rPr>
              <w:t>Income</w:t>
            </w: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Basic EPS:</w:t>
            </w: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3,595</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2,986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2,821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Income allocated to RSUs</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(45)</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(43)</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6"/>
                <w:szCs w:val="16"/>
                <w:color w:val="auto"/>
                <w:w w:val="98"/>
              </w:rPr>
              <w:t>Income allocated to common stock for basic EPS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440" w:type="dxa"/>
            <w:vAlign w:val="bottom"/>
            <w:gridSpan w:val="2"/>
            <w:vMerge w:val="continue"/>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3,550</w:t>
            </w:r>
          </w:p>
        </w:tc>
        <w:tc>
          <w:tcPr>
            <w:tcW w:w="2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1,003</w:t>
            </w:r>
          </w:p>
        </w:tc>
        <w:tc>
          <w:tcPr>
            <w:tcW w:w="340" w:type="dxa"/>
            <w:vAlign w:val="bottom"/>
            <w:gridSpan w:val="2"/>
            <w:vMerge w:val="restart"/>
          </w:tcPr>
          <w:p>
            <w:pPr>
              <w:jc w:val="right"/>
              <w:ind w:right="4"/>
              <w:spacing w:after="0"/>
              <w:rPr>
                <w:sz w:val="20"/>
                <w:szCs w:val="20"/>
                <w:color w:val="auto"/>
              </w:rPr>
            </w:pPr>
            <w:r>
              <w:rPr>
                <w:rFonts w:ascii="Arial" w:cs="Arial" w:eastAsia="Arial" w:hAnsi="Arial"/>
                <w:sz w:val="16"/>
                <w:szCs w:val="16"/>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3.54</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440" w:type="dxa"/>
            <w:vAlign w:val="bottom"/>
            <w:gridSpan w:val="2"/>
          </w:tcPr>
          <w:p>
            <w:pPr>
              <w:spacing w:after="0"/>
              <w:rPr>
                <w:sz w:val="20"/>
                <w:szCs w:val="20"/>
                <w:color w:val="auto"/>
              </w:rPr>
            </w:pPr>
            <w:r>
              <w:rPr>
                <w:rFonts w:ascii="Arial" w:cs="Arial" w:eastAsia="Arial" w:hAnsi="Arial"/>
                <w:sz w:val="16"/>
                <w:szCs w:val="16"/>
                <w:color w:val="auto"/>
              </w:rPr>
              <w:t>calculation</w:t>
            </w:r>
          </w:p>
        </w:tc>
        <w:tc>
          <w:tcPr>
            <w:tcW w:w="10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2,943</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1,030</w:t>
            </w:r>
          </w:p>
        </w:tc>
        <w:tc>
          <w:tcPr>
            <w:tcW w:w="18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2.86</w:t>
            </w:r>
          </w:p>
        </w:tc>
        <w:tc>
          <w:tcPr>
            <w:tcW w:w="280" w:type="dxa"/>
            <w:vAlign w:val="bottom"/>
            <w:gridSpan w:val="2"/>
            <w:vMerge w:val="continue"/>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2,777</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1,065</w:t>
            </w:r>
          </w:p>
        </w:tc>
        <w:tc>
          <w:tcPr>
            <w:tcW w:w="20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4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compensation plans</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Diluted EPS:</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3,595</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2,986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2,821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Income allocated to RSUs</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(44)</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(42)</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(43)</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6"/>
                <w:szCs w:val="16"/>
                <w:color w:val="auto"/>
                <w:w w:val="95"/>
              </w:rPr>
              <w:t>Income allocated to common stock for diluted EPS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440" w:type="dxa"/>
            <w:vAlign w:val="bottom"/>
            <w:gridSpan w:val="2"/>
            <w:vMerge w:val="continue"/>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3,551</w:t>
            </w:r>
          </w:p>
        </w:tc>
        <w:tc>
          <w:tcPr>
            <w:tcW w:w="2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1,021</w:t>
            </w:r>
          </w:p>
        </w:tc>
        <w:tc>
          <w:tcPr>
            <w:tcW w:w="180" w:type="dxa"/>
            <w:vAlign w:val="bottom"/>
            <w:vMerge w:val="restart"/>
          </w:tcPr>
          <w:p>
            <w:pPr>
              <w:spacing w:after="0"/>
              <w:rPr>
                <w:sz w:val="17"/>
                <w:szCs w:val="17"/>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3.48</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gridSpan w:val="2"/>
          </w:tcPr>
          <w:p>
            <w:pPr>
              <w:spacing w:after="0"/>
              <w:rPr>
                <w:sz w:val="20"/>
                <w:szCs w:val="20"/>
                <w:color w:val="auto"/>
              </w:rPr>
            </w:pPr>
            <w:r>
              <w:rPr>
                <w:rFonts w:ascii="Arial" w:cs="Arial" w:eastAsia="Arial" w:hAnsi="Arial"/>
                <w:sz w:val="16"/>
                <w:szCs w:val="16"/>
                <w:color w:val="auto"/>
              </w:rPr>
              <w:t>calculation</w:t>
            </w:r>
          </w:p>
        </w:tc>
        <w:tc>
          <w:tcPr>
            <w:tcW w:w="1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2,944</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1,043</w:t>
            </w:r>
          </w:p>
        </w:tc>
        <w:tc>
          <w:tcPr>
            <w:tcW w:w="1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2.82</w:t>
            </w:r>
          </w:p>
        </w:tc>
        <w:tc>
          <w:tcPr>
            <w:tcW w:w="28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2,778</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1,080</w:t>
            </w:r>
          </w:p>
        </w:tc>
        <w:tc>
          <w:tcPr>
            <w:tcW w:w="2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 potentially dilutive securities were excluded from the computation of diluted earnings per common share during 2016. Potentially dilutive securities representing 12 million and 11 million shares of common stock that were outstanding in 2015 and 2014, respectively, were excluded from the computation of diluted earnings per common share for these periods because their effect would have been anti-dilutive.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present investments on our Consolidated Balance Sheets as cash equivalents, short-term investments or long-term investments. Specific details are as follows:</w:t>
      </w:r>
    </w:p>
    <w:p>
      <w:pPr>
        <w:spacing w:after="0" w:line="62" w:lineRule="exact"/>
        <w:rPr>
          <w:sz w:val="20"/>
          <w:szCs w:val="20"/>
          <w:color w:val="auto"/>
        </w:rPr>
      </w:pPr>
    </w:p>
    <w:p>
      <w:pPr>
        <w:ind w:left="1040" w:right="60" w:hanging="519"/>
        <w:spacing w:after="0" w:line="279"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Cash equivalents and short-term investments: </w:t>
      </w:r>
      <w:r>
        <w:rPr>
          <w:rFonts w:ascii="Arial" w:cs="Arial" w:eastAsia="Arial" w:hAnsi="Arial"/>
          <w:sz w:val="17"/>
          <w:szCs w:val="17"/>
          <w:color w:val="auto"/>
        </w:rPr>
        <w:t>We consider investments in debt securities with maturities of 90 days or less from the date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to be cash equivalents. We consider investments in debt securities with maturities beyond 90 days from the date of our investment as being available for use in current operations and include them in short-term investments. The primary objectives of our cash equivalent and short-term investment activities are to preserve capital and maintain liquidity while generating appropriate returns.</w:t>
      </w:r>
    </w:p>
    <w:p>
      <w:pPr>
        <w:spacing w:after="0" w:line="63"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Long-term investments: </w:t>
      </w:r>
      <w:r>
        <w:rPr>
          <w:rFonts w:ascii="Arial" w:cs="Arial" w:eastAsia="Arial" w:hAnsi="Arial"/>
          <w:sz w:val="17"/>
          <w:szCs w:val="17"/>
          <w:color w:val="auto"/>
        </w:rPr>
        <w:t>Long-term investments consist of mutual funds, venture capital funds and non-marketable equity securities.</w:t>
      </w:r>
    </w:p>
    <w:p>
      <w:pPr>
        <w:spacing w:after="0" w:line="128" w:lineRule="exact"/>
        <w:rPr>
          <w:rFonts w:ascii="Arial" w:cs="Arial" w:eastAsia="Arial" w:hAnsi="Arial"/>
          <w:sz w:val="17"/>
          <w:szCs w:val="17"/>
          <w:color w:val="auto"/>
        </w:rPr>
      </w:pPr>
    </w:p>
    <w:p>
      <w:pPr>
        <w:ind w:left="1040" w:right="8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of investments: </w:t>
      </w:r>
      <w:r>
        <w:rPr>
          <w:rFonts w:ascii="Arial" w:cs="Arial" w:eastAsia="Arial" w:hAnsi="Arial"/>
          <w:sz w:val="18"/>
          <w:szCs w:val="18"/>
          <w:color w:val="auto"/>
        </w:rPr>
        <w:t>Depending on our reasons for holding the investment and our ownership percentage, we classify our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either available for sale, trading, equity method or cost method, which are more fully described in Note 8. We determine cost or amortized cost, as appropriate, on a specific identification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 Consigned inventory was $334 million and $275 million as of December 31, 2016 and 2015, respectively.</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review inventory quarterly for salability and obsolescence. A statistical allowance is provided for inventory considered unlikely to be sold. The statistical allowance is based on an analysis of historical disposal activity, historical customer shipments, as well as estimated future sales. A specific allowance for each material type will be carried if there is a significant event not captured by the statistical allowance. We write off inventory in the period in which disposal occurs.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Property, plant and equipment; acquisition-related intangibles; and other capitalized costs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Impairments of long-lived assets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Goodwill is not amortized but is reviewed for impairment annually or more frequently if certain impairment indicators arise. We perform our annual goodwill impairment test as of October 1 for our reporting units, which compares the fair value for each reporting unit to its associated carrying value, including goodwill. See Note 9 for additional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functional currency for our non-U.S. subsidiaries is the U.S. dollar. Accounts recorded in currencies other than the U.S. dollar are remeasured into the functional currency. Current assets (except inventories), deferred income taxes, other assets, current liabilities and long-term liabilities are remeasured at exchange rates in effect at the end of each reporting period. Property, plant and equipment with associated depreciation and inventories are valued at historical exchange rates. Revenue and expense accounts other than depreciation for each month are remeasured at the appropriate daily rate of exchange. Currency exchange gains and losses from remeasurement are credited or charged to OI&amp;E. See Note 13 for additional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connection with the issuance of long-term debt, we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Adopted standards for current period</w:t>
      </w:r>
    </w:p>
    <w:p>
      <w:pPr>
        <w:spacing w:after="0" w:line="117"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 xml:space="preserve">In May 2015, the Financial Accounting Standards Board (FASB) issued Accounting Standards Update (ASU) No. 2015-07, </w:t>
      </w:r>
      <w:r>
        <w:rPr>
          <w:rFonts w:ascii="Arial" w:cs="Arial" w:eastAsia="Arial" w:hAnsi="Arial"/>
          <w:sz w:val="16"/>
          <w:szCs w:val="16"/>
          <w:i w:val="1"/>
          <w:iCs w:val="1"/>
          <w:color w:val="auto"/>
        </w:rPr>
        <w:t>Fair Value Measurement (Topic</w:t>
      </w:r>
      <w:r>
        <w:rPr>
          <w:rFonts w:ascii="Arial" w:cs="Arial" w:eastAsia="Arial" w:hAnsi="Arial"/>
          <w:sz w:val="16"/>
          <w:szCs w:val="16"/>
          <w:color w:val="auto"/>
        </w:rPr>
        <w:t xml:space="preserve"> </w:t>
      </w:r>
      <w:r>
        <w:rPr>
          <w:rFonts w:ascii="Arial" w:cs="Arial" w:eastAsia="Arial" w:hAnsi="Arial"/>
          <w:sz w:val="16"/>
          <w:szCs w:val="16"/>
          <w:i w:val="1"/>
          <w:iCs w:val="1"/>
          <w:color w:val="auto"/>
        </w:rPr>
        <w:t>820): Disclosures for Investments in Certain Entities That Calculate Net Asset Value per Share (or Its Equivalent)</w:t>
      </w:r>
      <w:r>
        <w:rPr>
          <w:rFonts w:ascii="Arial" w:cs="Arial" w:eastAsia="Arial" w:hAnsi="Arial"/>
          <w:sz w:val="16"/>
          <w:szCs w:val="16"/>
          <w:color w:val="auto"/>
        </w:rPr>
        <w:t>. This standard removes the requirement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categorize within the fair value hierarchy certain investments for which fair value is not readily available but measured using the net asset value per share.</w:t>
      </w:r>
    </w:p>
    <w:p>
      <w:pPr>
        <w:ind w:right="240"/>
        <w:spacing w:after="0" w:line="255" w:lineRule="auto"/>
        <w:rPr>
          <w:sz w:val="20"/>
          <w:szCs w:val="20"/>
          <w:color w:val="auto"/>
        </w:rPr>
      </w:pPr>
      <w:r>
        <w:rPr>
          <w:rFonts w:ascii="Arial" w:cs="Arial" w:eastAsia="Arial" w:hAnsi="Arial"/>
          <w:sz w:val="18"/>
          <w:szCs w:val="18"/>
          <w:color w:val="auto"/>
        </w:rPr>
        <w:t>This standard was effective beginning January 1, 2016, and prior period amounts have been retrospectively adjusted for consistency in presentation. Our adoption of this standard only affects our presentation of fair values of postretirement plan assets in Note 10 and does not impact our financial position and results of operations.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5" w:name="page36"/>
    <w:bookmarkEnd w:id="35"/>
    <w:p>
      <w:pPr>
        <w:ind w:right="60"/>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standard provides for several changes to the accounting for stock compensation, including a requirement that certain income-tax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be recognized in Net income in the period in which the awards are settled or vested, rather than recognized as Paid-in capital in the equity section of the balance sheet. The standard also changes the presentation of excess tax benefits and statutory tax withholdings in the statement of cash flows. This standard is effective for interim and annual periods beginning January 1, 2017; however, early adoption is permitted. We elected to adopt this standard in the fourth quarter of 2016, which requires us to reflect any adjustments as of January 1, 2016, the beginning of the annual period that includes the adoption. Each of the provisions within this standard has its own specified transition method; some have been applied prospectively and others have been applied on a retrospective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primary effects of early adoption on our financial statements are as follows:</w:t>
      </w:r>
    </w:p>
    <w:p>
      <w:pPr>
        <w:spacing w:after="0" w:line="117" w:lineRule="exact"/>
        <w:rPr>
          <w:sz w:val="20"/>
          <w:szCs w:val="20"/>
          <w:color w:val="auto"/>
        </w:rPr>
      </w:pPr>
    </w:p>
    <w:p>
      <w:pPr>
        <w:ind w:left="1040" w:right="20" w:hanging="519"/>
        <w:spacing w:after="0" w:line="272"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Income statement effects</w:t>
      </w:r>
      <w:r>
        <w:rPr>
          <w:rFonts w:ascii="Arial" w:cs="Arial" w:eastAsia="Arial" w:hAnsi="Arial"/>
          <w:sz w:val="17"/>
          <w:szCs w:val="17"/>
          <w:color w:val="auto"/>
        </w:rPr>
        <w:t>: Prospective basis – Net excess tax benefits and deficiencies will now be included in Provision for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rather than in Paid-in capital. The new standard requires this to be adopted on a prospective basis, with an initial adjustment to interim periods in the year of adoption. We recorded adjustments within Provision for income taxes, rather than in Paid-in capital, for excess tax benefits of $43 million, $40 million and $50 million for the first, second and third quarters of 2016, respectively. Excess tax benefits for the fourth quarter of 2016 were $17 million, for a total of $150 million recognized for all of 2016. See Note 6 for more information on income taxes. This standard also affects the average shares outstanding used in the diluted EPS calculation. The effects of these adjustments are shown in the table below. Results for prior annual periods were not affected.</w:t>
      </w:r>
    </w:p>
    <w:p>
      <w:pPr>
        <w:spacing w:after="0" w:line="69" w:lineRule="exact"/>
        <w:rPr>
          <w:rFonts w:ascii="Arial" w:cs="Arial" w:eastAsia="Arial" w:hAnsi="Arial"/>
          <w:sz w:val="17"/>
          <w:szCs w:val="17"/>
          <w:color w:val="auto"/>
        </w:rPr>
      </w:pPr>
    </w:p>
    <w:p>
      <w:pPr>
        <w:ind w:left="1040" w:right="20" w:hanging="519"/>
        <w:spacing w:after="0" w:line="25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Cash flow effects</w:t>
      </w:r>
      <w:r>
        <w:rPr>
          <w:rFonts w:ascii="Arial" w:cs="Arial" w:eastAsia="Arial" w:hAnsi="Arial"/>
          <w:sz w:val="18"/>
          <w:szCs w:val="18"/>
          <w:color w:val="auto"/>
        </w:rPr>
        <w:t>: Retrospective basis – Excess tax benefits are now included in Cash flows from operating activities rather than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from financing activities in our Consolidated Statements of Cash Flows. We elected to apply this change in presentation retrospectively, and thus, prior periods have been adjusted. Taxes paid for employee shares withheld upon the vesting of RSUs are now included in Cash flows from financing activities in our Consolidated Statements of Cash Flows. This change is required to be applied retrospectively, and thus, prior periods have been adjusted.</w:t>
      </w:r>
    </w:p>
    <w:p>
      <w:pPr>
        <w:spacing w:after="0" w:line="18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Under this standard, entities are permitted to make an accounting policy election to either estimate forfeitures on stock compensation awards, as previously required, or to recognize forfeitures as they occur. We elected not to change our policy on accounting for forfeitures and will continue to estimate forfeitures expected to occur in determining the amount of compensation cost to be recognized in each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our adoption of the new standard on our unaudited quarterly results for 2016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Quarter</w:t>
            </w: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1st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6"/>
                <w:szCs w:val="16"/>
                <w:b w:val="1"/>
                <w:bCs w:val="1"/>
                <w:color w:val="auto"/>
              </w:rPr>
              <w:t>2nd</w:t>
            </w:r>
          </w:p>
        </w:tc>
        <w:tc>
          <w:tcPr>
            <w:tcW w:w="6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88"/>
              </w:rPr>
              <w:t>3rd</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1"/>
              </w:rPr>
              <w:t>Reported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Recast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1"/>
              </w:rPr>
              <w:t>Reported</w:t>
            </w:r>
          </w:p>
        </w:tc>
        <w:tc>
          <w:tcPr>
            <w:tcW w:w="20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b w:val="1"/>
                <w:bCs w:val="1"/>
                <w:color w:val="auto"/>
                <w:w w:val="83"/>
              </w:rPr>
              <w:t>Recast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Reported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Recast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Income statement data:</w:t>
            </w: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282</w:t>
            </w:r>
          </w:p>
        </w:tc>
        <w:tc>
          <w:tcPr>
            <w:tcW w:w="2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323</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413</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Average diluted shares outstanding, in millions</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spacing w:after="0"/>
              <w:rPr>
                <w:sz w:val="20"/>
                <w:szCs w:val="20"/>
                <w:color w:val="auto"/>
              </w:rPr>
            </w:pPr>
            <w:r>
              <w:rPr>
                <w:rFonts w:ascii="Arial" w:cs="Arial" w:eastAsia="Arial" w:hAnsi="Arial"/>
                <w:sz w:val="16"/>
                <w:szCs w:val="16"/>
                <w:color w:val="auto"/>
              </w:rPr>
              <w:t>Basic EPS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0.65</w:t>
            </w:r>
          </w:p>
        </w:tc>
        <w:tc>
          <w:tcPr>
            <w:tcW w:w="2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0.70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0.77</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0.81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0.95</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Diluted EPS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0.65</w:t>
            </w:r>
          </w:p>
        </w:tc>
        <w:tc>
          <w:tcPr>
            <w:tcW w:w="2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0.94</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 data:</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547</w:t>
            </w:r>
          </w:p>
        </w:tc>
        <w:tc>
          <w:tcPr>
            <w:tcW w:w="2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653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1,069</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1,109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1,413</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(839)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(1,180)</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(1,220)</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(676)</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annual cash flow information has also been adjusted to reflect select aspects of the new standard that are applied retrospectively. The impact to our previously reported annual results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6"/>
                <w:szCs w:val="16"/>
                <w:b w:val="1"/>
                <w:bCs w:val="1"/>
                <w:color w:val="auto"/>
              </w:rPr>
              <w:t>For Years Ended December 31,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6"/>
                <w:szCs w:val="16"/>
                <w:b w:val="1"/>
                <w:bCs w:val="1"/>
                <w:color w:val="auto"/>
              </w:rPr>
              <w:t>2014</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4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Reported</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Recast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Reported</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Recast</w:t>
            </w:r>
          </w:p>
        </w:tc>
        <w:tc>
          <w:tcPr>
            <w:tcW w:w="120" w:type="dxa"/>
            <w:vAlign w:val="bottom"/>
            <w:tcBorders>
              <w:bottom w:val="single" w:sz="8" w:color="CFF0FC"/>
            </w:tcBorders>
          </w:tcPr>
          <w:p>
            <w:pPr>
              <w:spacing w:after="0"/>
              <w:rPr>
                <w:sz w:val="18"/>
                <w:szCs w:val="18"/>
                <w:color w:val="auto"/>
              </w:rPr>
            </w:pPr>
          </w:p>
        </w:tc>
      </w:tr>
      <w:tr>
        <w:trPr>
          <w:trHeight w:val="212"/>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4,268</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4,397</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4,054</w:t>
            </w:r>
          </w:p>
        </w:tc>
        <w:tc>
          <w:tcPr>
            <w:tcW w:w="120" w:type="dxa"/>
            <w:vAlign w:val="bottom"/>
            <w:shd w:val="clear" w:color="auto" w:fill="CFF0FC"/>
          </w:tcPr>
          <w:p>
            <w:pPr>
              <w:spacing w:after="0"/>
              <w:rPr>
                <w:sz w:val="18"/>
                <w:szCs w:val="18"/>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(4,165)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(4,294)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(3,943)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(4,105)</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Standards not yet adopted</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This standard provides a single set of guidelines for revenue recognition to be used across all industries and requires additional disclosures. It is effective for annual and interim reporting periods beginning after December 15, 2017. This standard permits early adoption, but not before December 15, 2016, and permits the use of either the retrospective or cumulative effect transition method. We are currently evaluating the potential impact of this standard on our financial position and results of operations, as well as our selected transition method. Based on our preliminary assessment, we believe the new standard will not have a material impact on our financial position and results of operations, as we do not expect to change the manner or timing of recognizing revenue on a majority of our revenue transactions. We recognize revenue on sales to customers and distributors upon satisfaction of our performance obligations when the goods are shipped. For consignment sales, we recognize revenue when the goods are pulled from consignment inventory.</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Financial Instruments – Overall (Subtopic 825-10): 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Liabilities</w:t>
      </w:r>
      <w:r>
        <w:rPr>
          <w:rFonts w:ascii="Arial" w:cs="Arial" w:eastAsia="Arial" w:hAnsi="Arial"/>
          <w:sz w:val="18"/>
          <w:szCs w:val="18"/>
          <w:color w:val="auto"/>
        </w:rPr>
        <w:t>. Under this standard, all equity investments except those accounted for under the equity method are required to be measured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Equity investments that do not have a readily determinable fair value may, as a practical expedient, be measured at cost, adjusted for changes in observable prices minus impairment. This standard is effective for our interim and annual periods beginning January 1, 2018. We do not expect this standard to have a material impact on our financial position and results of operations, as nearly all of our equity investments are already recorded at fair value or under the equity method.</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financing lease. Costs of an operating lease will continue to be recognized as a single operating expense on a straight-line basis over the lease term. Costs for a financing lease will be disaggregated and recognized as both an operating expense (for the amortization of the right-of-use asset) and interest expense (for interest on the lease liability). This standard will be effective for our interim and annual periods beginning January 1, 2019, and must be applied on a modified retrospective basis to leases existing at, or entered into after, the beginning of the earliest comparative period presented in the financial statements. Early adoption is permitted. We are currently evaluating the timing of adoption and the potential impact of this standard on our financial position, but we do not expect it to have a material impact on our results of operations.</w:t>
      </w:r>
    </w:p>
    <w:p>
      <w:pPr>
        <w:spacing w:after="0" w:line="182"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This standard requires entities to use a current lifetime expected credit loss methodology to measure impairments of certain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This standard will be effective for our interim and annual periods beginning after December 15, 2019, and permits earlier application but not before December 15, 2018. The standard will be applied using a modified retrospective approach. We are currently evaluating the potential impact of this standard, but we do not expect it to have a material impact on our financial position and results of operations.</w:t>
      </w:r>
    </w:p>
    <w:p>
      <w:pPr>
        <w:spacing w:after="0" w:line="356"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Restructuring charges/other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is comprised of the following components: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jc w:val="right"/>
              <w:ind w:right="164"/>
              <w:spacing w:after="0"/>
              <w:rPr>
                <w:sz w:val="20"/>
                <w:szCs w:val="20"/>
                <w:color w:val="auto"/>
              </w:rPr>
            </w:pPr>
            <w:r>
              <w:rPr>
                <w:rFonts w:ascii="Arial" w:cs="Arial" w:eastAsia="Arial" w:hAnsi="Arial"/>
                <w:sz w:val="16"/>
                <w:szCs w:val="16"/>
                <w:b w:val="1"/>
                <w:bCs w:val="1"/>
                <w:color w:val="auto"/>
              </w:rPr>
              <w:t>For Years Ended December 31,</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Restructuring charges (a)</w:t>
            </w:r>
          </w:p>
        </w:tc>
        <w:tc>
          <w:tcPr>
            <w:tcW w:w="1020" w:type="dxa"/>
            <w:vAlign w:val="bottom"/>
            <w:shd w:val="clear" w:color="auto" w:fill="CFF0FC"/>
          </w:tcPr>
          <w:p>
            <w:pPr>
              <w:jc w:val="right"/>
              <w:ind w:right="862"/>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Gains on sales of assets</w:t>
            </w:r>
          </w:p>
        </w:tc>
        <w:tc>
          <w:tcPr>
            <w:tcW w:w="10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6"/>
                <w:szCs w:val="16"/>
                <w:color w:val="auto"/>
              </w:rPr>
              <w:t>Restructuring charges/other</w:t>
            </w: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80" w:type="dxa"/>
            <w:vAlign w:val="bottom"/>
            <w:vMerge w:val="continue"/>
          </w:tcPr>
          <w:p>
            <w:pPr>
              <w:spacing w:after="0"/>
              <w:rPr>
                <w:sz w:val="17"/>
                <w:szCs w:val="17"/>
                <w:color w:val="auto"/>
              </w:rPr>
            </w:pPr>
          </w:p>
        </w:tc>
        <w:tc>
          <w:tcPr>
            <w:tcW w:w="1020" w:type="dxa"/>
            <w:vAlign w:val="bottom"/>
          </w:tcPr>
          <w:p>
            <w:pPr>
              <w:jc w:val="right"/>
              <w:ind w:right="862"/>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80" w:type="dxa"/>
            <w:vAlign w:val="bottom"/>
            <w:vMerge w:val="continue"/>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(71)</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840" w:firstLine="8"/>
        <w:spacing w:after="0" w:line="530" w:lineRule="auto"/>
        <w:tabs>
          <w:tab w:leader="none" w:pos="513"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severance and benefits, accelerated depreciation, changes in estimates or other exit costs. Restructuring charges/other are recognized in Other for segment reporting purposes.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Restructuring charges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fourth quarter of 2016, we recognized $18 million of restructuring charges for severance and benefit costs related to the reorganization of product lines that we announced in January 2017. As of December 31, 2016, no payments have been made.</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announced in January 2016 our intentions to phase out through the end of 2018 a manufacturing facility in Greenock, Scotland. We are moving production from this facility to more cost-effective 200-millimeter TI manufacturing facilities in Germany, Japan and Maine. Total restructuring charges, primarily severance and related benefit costs associated with the expected reduction of about 350 jobs, are estimated to be about $40 million. We recognized charges of $7 million in 2016 and $17 million in 2015. These charges were comprised of severance and benefits costs, as well as accelerated depreciation. The remaining charges are expected to be recognized through the end of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2014 restructuring charges were related to prior actions in Embedded Processing and Japan. These actions have been completed.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accrued restructuring balances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2015</w:t>
            </w: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FF0FC"/>
            </w:tcBorders>
          </w:tcPr>
          <w:p>
            <w:pPr>
              <w:spacing w:after="0"/>
              <w:rPr>
                <w:sz w:val="18"/>
                <w:szCs w:val="18"/>
                <w:color w:val="auto"/>
              </w:rPr>
            </w:pPr>
          </w:p>
        </w:tc>
      </w:tr>
      <w:tr>
        <w:trPr>
          <w:trHeight w:val="213"/>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Balance, January 1</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FF0FC"/>
          </w:tcPr>
          <w:p>
            <w:pPr>
              <w:spacing w:after="0"/>
              <w:rPr>
                <w:sz w:val="18"/>
                <w:szCs w:val="18"/>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Restructuring charges</w:t>
            </w: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r>
      <w:tr>
        <w:trPr>
          <w:trHeight w:val="21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Non-cash items (a)</w:t>
            </w: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(6)</w:t>
            </w: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Payments</w:t>
            </w:r>
          </w:p>
        </w:tc>
        <w:tc>
          <w:tcPr>
            <w:tcW w:w="10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(11)</w:t>
            </w:r>
          </w:p>
        </w:tc>
        <w:tc>
          <w:tcPr>
            <w:tcW w:w="10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(124)</w:t>
            </w:r>
          </w:p>
        </w:tc>
      </w:tr>
      <w:tr>
        <w:trPr>
          <w:trHeight w:val="210"/>
        </w:trPr>
        <w:tc>
          <w:tcPr>
            <w:tcW w:w="6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w:t>
            </w:r>
          </w:p>
        </w:tc>
        <w:tc>
          <w:tcPr>
            <w:tcW w:w="1040" w:type="dxa"/>
            <w:vAlign w:val="bottom"/>
            <w:tcBorders>
              <w:top w:val="single" w:sz="8" w:color="auto"/>
              <w:bottom w:val="single" w:sz="8" w:color="auto"/>
            </w:tcBorders>
            <w:shd w:val="clear" w:color="auto" w:fill="CFF0FC"/>
          </w:tcPr>
          <w:p>
            <w:pPr>
              <w:jc w:val="right"/>
              <w:ind w:right="882"/>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charges for impacts of accelerated depreciation and changes in exchange rates.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on sales of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2016, we recognized a gain of $40 million on the sale of intellectual property.</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recognized $83 million of gains on sales of assets in 2015. This included $48 million associated with the sale of a site in Plano, Texas, and $34 million associated with the sale of a manufacturing facility in Houston, Texas.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recognized $75 million of gains on sales of assets in 2014. This consisted of $30 million associated with the sale of a site in Nice, France; $28 million associated with the sales of real estate in Santa Clara, California; and $17 million of asset sales associated primarily with factory closures in Houston, Texas, and Hiji, Japan.</w:t>
      </w:r>
    </w:p>
    <w:p>
      <w:pPr>
        <w:spacing w:after="0" w:line="370"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Stock compensation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stock options outstanding to participants under long-term incentive plans. We also have assumed stock options that were granted by companies that we later acquired. Unless the options are acquisition-related replacement options, the option price per share may not be less than the fair market value of our common stock on the date of the grant. The options have a 10-year term and generally vest ratably over four years. Our options continue to vest after the option recipient retires.</w:t>
      </w:r>
    </w:p>
    <w:p>
      <w:pPr>
        <w:spacing w:after="0" w:line="18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also have RSUs outstanding under long-term incentive plans. Each RSU represents the right to receive one share of TI common stock on the vesting date, which is generally four years after the date of grant. Upon vesting, the shares are issued without payment by the grantee. Our RSUs continue to vest after the recipient retires. Holders of RSUs receive an annual cash payment equivalent to the dividends paid on our common stock.</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deferred compensation accounts established for such directors.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also have an employee stock purchase plan under which options are offered to all eligible employees in amounts based on a percentage of the employee’s compensation, subject to a cap. Under the plan, the option price per share is 85 percent of the fair market value on the exercise date, and options have a three-month 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Total stock compensation expense recognized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164"/>
              <w:spacing w:after="0"/>
              <w:rPr>
                <w:sz w:val="20"/>
                <w:szCs w:val="20"/>
                <w:color w:val="auto"/>
              </w:rPr>
            </w:pPr>
            <w:r>
              <w:rPr>
                <w:rFonts w:ascii="Arial" w:cs="Arial" w:eastAsia="Arial" w:hAnsi="Arial"/>
                <w:sz w:val="16"/>
                <w:szCs w:val="16"/>
                <w:b w:val="1"/>
                <w:bCs w:val="1"/>
                <w:color w:val="auto"/>
              </w:rPr>
              <w:t>For Years Ended December 31,</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34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FF0FC"/>
            </w:tcBorders>
          </w:tcPr>
          <w:p>
            <w:pPr>
              <w:spacing w:after="0"/>
              <w:rPr>
                <w:sz w:val="18"/>
                <w:szCs w:val="18"/>
                <w:color w:val="auto"/>
              </w:rPr>
            </w:pPr>
          </w:p>
        </w:tc>
      </w:tr>
      <w:tr>
        <w:trPr>
          <w:trHeight w:val="212"/>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COR</w:t>
            </w:r>
          </w:p>
        </w:tc>
        <w:tc>
          <w:tcPr>
            <w:tcW w:w="1080" w:type="dxa"/>
            <w:vAlign w:val="bottom"/>
            <w:shd w:val="clear" w:color="auto" w:fill="CFF0FC"/>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FF0FC"/>
          </w:tcPr>
          <w:p>
            <w:pPr>
              <w:spacing w:after="0"/>
              <w:rPr>
                <w:sz w:val="18"/>
                <w:szCs w:val="18"/>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6"/>
                <w:szCs w:val="16"/>
                <w:color w:val="auto"/>
              </w:rPr>
              <w:t>R&amp;D</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r>
      <w:tr>
        <w:trPr>
          <w:trHeight w:val="219"/>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SG&amp;A</w:t>
            </w: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FF0FC"/>
          </w:tcPr>
          <w:p>
            <w:pPr>
              <w:spacing w:after="0"/>
              <w:rPr>
                <w:sz w:val="19"/>
                <w:szCs w:val="19"/>
                <w:color w:val="auto"/>
              </w:rPr>
            </w:pPr>
          </w:p>
        </w:tc>
      </w:tr>
      <w:tr>
        <w:trPr>
          <w:trHeight w:val="213"/>
        </w:trPr>
        <w:tc>
          <w:tcPr>
            <w:tcW w:w="6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Acquisition charges</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FF0FC"/>
            </w:tcBorders>
          </w:tcPr>
          <w:p>
            <w:pPr>
              <w:spacing w:after="0"/>
              <w:rPr>
                <w:sz w:val="18"/>
                <w:szCs w:val="18"/>
                <w:color w:val="auto"/>
              </w:rPr>
            </w:pPr>
          </w:p>
        </w:tc>
      </w:tr>
      <w:tr>
        <w:trPr>
          <w:trHeight w:val="210"/>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080" w:type="dxa"/>
            <w:vAlign w:val="bottom"/>
            <w:shd w:val="clear" w:color="auto" w:fill="CFF0FC"/>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252</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FF0FC"/>
          </w:tcPr>
          <w:p>
            <w:pPr>
              <w:spacing w:after="0"/>
              <w:rPr>
                <w:sz w:val="18"/>
                <w:szCs w:val="18"/>
                <w:color w:val="auto"/>
              </w:rPr>
            </w:pPr>
          </w:p>
        </w:tc>
      </w:tr>
      <w:tr>
        <w:trPr>
          <w:trHeight w:val="20"/>
        </w:trPr>
        <w:tc>
          <w:tcPr>
            <w:tcW w:w="63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amounts include expenses related to non-qualified stock options, RSUs and stock options offered under our employee stock purchase plan and are net of expected forfeitures.</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issue awards of non-qualified stock options with graded vesting provisions (e.g., 25 percent per year for four years). We recognize the related compensation expense on a straight-line basis over the minimum service period required for vesting of the award, adjusting for expected forfeiture activity. Awards issued to employees who are retirement eligible or nearing retirement eligibility are expensed on an accelerated basis.</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RSUs generally vest four years after the date of grant. We recognize the related compensation expense on a straight-line basis over the vesting period, adjusting for expected forfeiture activity. RSUs issued to employees who are retirement eligible or nearing retirement eligibility are expensed on an accelerated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methods and assumptions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account for all awards granted under our various stock compensation plans at fair value. We estimate the fair values for non-qualified stock options using the Black-Scholes-Merton option-pricing model with the following weighted average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204"/>
              <w:spacing w:after="0"/>
              <w:rPr>
                <w:sz w:val="20"/>
                <w:szCs w:val="20"/>
                <w:color w:val="auto"/>
              </w:rPr>
            </w:pPr>
            <w:r>
              <w:rPr>
                <w:rFonts w:ascii="Arial" w:cs="Arial" w:eastAsia="Arial" w:hAnsi="Arial"/>
                <w:sz w:val="16"/>
                <w:szCs w:val="16"/>
                <w:b w:val="1"/>
                <w:bCs w:val="1"/>
                <w:color w:val="auto"/>
              </w:rPr>
              <w:t>For Years Ended December 31,</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3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CFF0FC"/>
            </w:tcBorders>
          </w:tcPr>
          <w:p>
            <w:pPr>
              <w:spacing w:after="0"/>
              <w:rPr>
                <w:sz w:val="18"/>
                <w:szCs w:val="18"/>
                <w:color w:val="auto"/>
              </w:rPr>
            </w:pPr>
          </w:p>
        </w:tc>
      </w:tr>
      <w:tr>
        <w:trPr>
          <w:trHeight w:val="212"/>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grant date fair value, per share</w:t>
            </w:r>
          </w:p>
        </w:tc>
        <w:tc>
          <w:tcPr>
            <w:tcW w:w="960" w:type="dxa"/>
            <w:vAlign w:val="bottom"/>
            <w:shd w:val="clear" w:color="auto" w:fill="CFF0FC"/>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10.03</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9.49</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w:t>
            </w:r>
          </w:p>
        </w:tc>
        <w:tc>
          <w:tcPr>
            <w:tcW w:w="140" w:type="dxa"/>
            <w:vAlign w:val="bottom"/>
            <w:shd w:val="clear" w:color="auto" w:fill="CFF0FC"/>
          </w:tcPr>
          <w:p>
            <w:pPr>
              <w:spacing w:after="0"/>
              <w:rPr>
                <w:sz w:val="18"/>
                <w:szCs w:val="18"/>
                <w:color w:val="auto"/>
              </w:rPr>
            </w:pPr>
          </w:p>
        </w:tc>
      </w:tr>
      <w:tr>
        <w:trPr>
          <w:trHeight w:val="213"/>
        </w:trPr>
        <w:tc>
          <w:tcPr>
            <w:tcW w:w="6320" w:type="dxa"/>
            <w:vAlign w:val="bottom"/>
          </w:tcPr>
          <w:p>
            <w:pPr>
              <w:spacing w:after="0"/>
              <w:rPr>
                <w:sz w:val="20"/>
                <w:szCs w:val="20"/>
                <w:color w:val="auto"/>
              </w:rPr>
            </w:pPr>
            <w:r>
              <w:rPr>
                <w:rFonts w:ascii="Arial" w:cs="Arial" w:eastAsia="Arial" w:hAnsi="Arial"/>
                <w:sz w:val="16"/>
                <w:szCs w:val="16"/>
                <w:color w:val="auto"/>
              </w:rPr>
              <w:t>Weighted average assumptions used:</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63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Expected volatility</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25%</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Expected lives (in years)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8"/>
                <w:szCs w:val="18"/>
                <w:color w:val="auto"/>
              </w:rPr>
            </w:pPr>
          </w:p>
        </w:tc>
      </w:tr>
      <w:tr>
        <w:trPr>
          <w:trHeight w:val="219"/>
        </w:trPr>
        <w:tc>
          <w:tcPr>
            <w:tcW w:w="63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Risk-free interest rates</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1.72%</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1.64%</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2.45%</w:t>
            </w:r>
          </w:p>
        </w:tc>
      </w:tr>
      <w:tr>
        <w:trPr>
          <w:trHeight w:val="210"/>
        </w:trPr>
        <w:tc>
          <w:tcPr>
            <w:tcW w:w="6320" w:type="dxa"/>
            <w:vAlign w:val="bottom"/>
          </w:tcPr>
          <w:p>
            <w:pPr>
              <w:ind w:left="140"/>
              <w:spacing w:after="0"/>
              <w:rPr>
                <w:sz w:val="20"/>
                <w:szCs w:val="20"/>
                <w:color w:val="auto"/>
              </w:rPr>
            </w:pPr>
            <w:r>
              <w:rPr>
                <w:rFonts w:ascii="Arial" w:cs="Arial" w:eastAsia="Arial" w:hAnsi="Arial"/>
                <w:sz w:val="16"/>
                <w:szCs w:val="16"/>
                <w:color w:val="auto"/>
              </w:rPr>
              <w:t>Expected dividend yields</w:t>
            </w:r>
          </w:p>
        </w:tc>
        <w:tc>
          <w:tcPr>
            <w:tcW w:w="9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2.87%</w:t>
            </w:r>
          </w:p>
        </w:tc>
        <w:tc>
          <w:tcPr>
            <w:tcW w:w="3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2.52%</w:t>
            </w: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2.72%</w:t>
            </w:r>
          </w:p>
        </w:tc>
      </w:tr>
    </w:tbl>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determine expected volatility on all options granted using available implied volatility rates. We believe that market-based measures of implied volatility are currently the best available indicators of the expected volatility used in these estimates.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determine expected lives of options based on the historical option exercise experience of our optionees using a rolling 10-year average. We believe the historical experience method is the best estimate of future exercise patterns currently available.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Expected dividend yields are based on the annualized approved quarterly dividend rate and the current market price of our common stock at the time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assumption for a future dividend rate change is included unless there is an approved plan to change the dividend in the near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per share of RSUs is determined based on the closing price of our common stock on the date of grant.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employee stock purchase plan is a discount-purchase plan and consequently the Black-Scholes-Merton option-pricing model is not used to determine the fair value per share of these awards. The fair value per share under this plan equals the amount of the discount.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Long-term incentive and director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3600" w:type="dxa"/>
            <w:vAlign w:val="bottom"/>
            <w:gridSpan w:val="6"/>
          </w:tcPr>
          <w:p>
            <w:pPr>
              <w:ind w:left="1220"/>
              <w:spacing w:after="0"/>
              <w:rPr>
                <w:sz w:val="20"/>
                <w:szCs w:val="20"/>
                <w:color w:val="auto"/>
              </w:rPr>
            </w:pPr>
            <w:r>
              <w:rPr>
                <w:rFonts w:ascii="Arial" w:cs="Arial" w:eastAsia="Arial" w:hAnsi="Arial"/>
                <w:sz w:val="16"/>
                <w:szCs w:val="16"/>
                <w:b w:val="1"/>
                <w:bCs w:val="1"/>
                <w:color w:val="auto"/>
              </w:rPr>
              <w:t>Stock Options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gridSpan w:val="3"/>
          </w:tcPr>
          <w:p>
            <w:pPr>
              <w:ind w:left="20"/>
              <w:spacing w:after="0"/>
              <w:rPr>
                <w:sz w:val="20"/>
                <w:szCs w:val="20"/>
                <w:color w:val="auto"/>
              </w:rPr>
            </w:pPr>
            <w:r>
              <w:rPr>
                <w:rFonts w:ascii="Arial" w:cs="Arial" w:eastAsia="Arial" w:hAnsi="Arial"/>
                <w:sz w:val="16"/>
                <w:szCs w:val="16"/>
                <w:b w:val="1"/>
                <w:bCs w:val="1"/>
                <w:color w:val="auto"/>
              </w:rPr>
              <w:t>RSUs</w:t>
            </w:r>
          </w:p>
        </w:tc>
      </w:tr>
      <w:tr>
        <w:trPr>
          <w:trHeight w:val="207"/>
        </w:trPr>
        <w:tc>
          <w:tcPr>
            <w:tcW w:w="42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0"/>
              </w:rPr>
              <w:t>Weighted Average</w:t>
            </w:r>
          </w:p>
        </w:tc>
        <w:tc>
          <w:tcPr>
            <w:tcW w:w="1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Weighted Average</w:t>
            </w:r>
          </w:p>
        </w:tc>
        <w:tc>
          <w:tcPr>
            <w:tcW w:w="100" w:type="dxa"/>
            <w:vAlign w:val="bottom"/>
          </w:tcPr>
          <w:p>
            <w:pPr>
              <w:spacing w:after="0"/>
              <w:rPr>
                <w:sz w:val="17"/>
                <w:szCs w:val="17"/>
                <w:color w:val="auto"/>
              </w:rPr>
            </w:pPr>
          </w:p>
        </w:tc>
      </w:tr>
      <w:tr>
        <w:trPr>
          <w:trHeight w:val="216"/>
        </w:trPr>
        <w:tc>
          <w:tcPr>
            <w:tcW w:w="4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Exercise Price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Grant Date Fair</w:t>
            </w:r>
          </w:p>
        </w:tc>
      </w:tr>
      <w:tr>
        <w:trPr>
          <w:trHeight w:val="219"/>
        </w:trPr>
        <w:tc>
          <w:tcPr>
            <w:tcW w:w="428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2"/>
              </w:rPr>
              <w:t>per Share</w:t>
            </w:r>
          </w:p>
        </w:tc>
        <w:tc>
          <w:tcPr>
            <w:tcW w:w="18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2"/>
              </w:rPr>
              <w:t>Value per Share</w:t>
            </w:r>
          </w:p>
        </w:tc>
        <w:tc>
          <w:tcPr>
            <w:tcW w:w="100" w:type="dxa"/>
            <w:vAlign w:val="bottom"/>
            <w:tcBorders>
              <w:bottom w:val="single" w:sz="8" w:color="CFF0FC"/>
            </w:tcBorders>
          </w:tcPr>
          <w:p>
            <w:pPr>
              <w:spacing w:after="0"/>
              <w:rPr>
                <w:sz w:val="19"/>
                <w:szCs w:val="19"/>
                <w:color w:val="auto"/>
              </w:rPr>
            </w:pPr>
          </w:p>
        </w:tc>
      </w:tr>
      <w:tr>
        <w:trPr>
          <w:trHeight w:val="213"/>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Outstanding grants, December 31, 2015</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56,773,983</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37.45</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16,055,542</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38.51</w:t>
            </w:r>
          </w:p>
        </w:tc>
        <w:tc>
          <w:tcPr>
            <w:tcW w:w="100" w:type="dxa"/>
            <w:vAlign w:val="bottom"/>
            <w:shd w:val="clear" w:color="auto" w:fill="CFF0FC"/>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6"/>
                <w:szCs w:val="16"/>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10,974,304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53.02</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2,337,976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53.98</w:t>
            </w:r>
          </w:p>
        </w:tc>
        <w:tc>
          <w:tcPr>
            <w:tcW w:w="100" w:type="dxa"/>
            <w:vAlign w:val="bottom"/>
          </w:tcPr>
          <w:p>
            <w:pPr>
              <w:spacing w:after="0"/>
              <w:rPr>
                <w:sz w:val="18"/>
                <w:szCs w:val="18"/>
                <w:color w:val="auto"/>
              </w:rPr>
            </w:pPr>
          </w:p>
        </w:tc>
      </w:tr>
      <w:tr>
        <w:trPr>
          <w:trHeight w:val="222"/>
        </w:trPr>
        <w:tc>
          <w:tcPr>
            <w:tcW w:w="4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Vested RSUs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(5,639,666)</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31.64</w:t>
            </w:r>
          </w:p>
        </w:tc>
        <w:tc>
          <w:tcPr>
            <w:tcW w:w="100" w:type="dxa"/>
            <w:vAlign w:val="bottom"/>
            <w:shd w:val="clear" w:color="auto" w:fill="CFF0FC"/>
          </w:tcPr>
          <w:p>
            <w:pPr>
              <w:spacing w:after="0"/>
              <w:rPr>
                <w:sz w:val="19"/>
                <w:szCs w:val="19"/>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6"/>
                <w:szCs w:val="16"/>
                <w:b w:val="1"/>
                <w:bCs w:val="1"/>
                <w:color w:val="auto"/>
              </w:rPr>
              <w:t>Forfeited and expired</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(965,893)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48.12</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(421,473)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42.63</w:t>
            </w:r>
          </w:p>
        </w:tc>
        <w:tc>
          <w:tcPr>
            <w:tcW w:w="100" w:type="dxa"/>
            <w:vAlign w:val="bottom"/>
          </w:tcPr>
          <w:p>
            <w:pPr>
              <w:spacing w:after="0"/>
              <w:rPr>
                <w:sz w:val="18"/>
                <w:szCs w:val="18"/>
                <w:color w:val="auto"/>
              </w:rPr>
            </w:pPr>
          </w:p>
        </w:tc>
      </w:tr>
      <w:tr>
        <w:trPr>
          <w:trHeight w:val="222"/>
        </w:trPr>
        <w:tc>
          <w:tcPr>
            <w:tcW w:w="4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Exercised</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(14,516,606)</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32.51</w:t>
            </w: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w:t>
            </w:r>
          </w:p>
        </w:tc>
      </w:tr>
      <w:tr>
        <w:trPr>
          <w:trHeight w:val="207"/>
        </w:trPr>
        <w:tc>
          <w:tcPr>
            <w:tcW w:w="4280" w:type="dxa"/>
            <w:vAlign w:val="bottom"/>
          </w:tcPr>
          <w:p>
            <w:pPr>
              <w:spacing w:after="0"/>
              <w:rPr>
                <w:sz w:val="20"/>
                <w:szCs w:val="20"/>
                <w:color w:val="auto"/>
              </w:rPr>
            </w:pPr>
            <w:r>
              <w:rPr>
                <w:rFonts w:ascii="Arial" w:cs="Arial" w:eastAsia="Arial" w:hAnsi="Arial"/>
                <w:sz w:val="16"/>
                <w:szCs w:val="16"/>
                <w:b w:val="1"/>
                <w:bCs w:val="1"/>
                <w:color w:val="auto"/>
              </w:rPr>
              <w:t>Outstanding grants, December 31, 2016</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52,265,788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41.89</w:t>
            </w:r>
          </w:p>
        </w:tc>
        <w:tc>
          <w:tcPr>
            <w:tcW w:w="1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12,332,379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44.44</w:t>
            </w:r>
          </w:p>
        </w:tc>
        <w:tc>
          <w:tcPr>
            <w:tcW w:w="10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weighted average grant date fair values per share of RSUs granted in 2016, 2015 and 2014 were $53.98, $53.22 and $44.71, respectively. In 2016, 2015 and 2014, the total grant date fair values of shares vested from RSU grants were $178 million, $114 million and $133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stock options outstanding as of December 31, 2016,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gridSpan w:val="3"/>
          </w:tcPr>
          <w:p>
            <w:pPr>
              <w:ind w:left="200"/>
              <w:spacing w:after="0"/>
              <w:rPr>
                <w:sz w:val="20"/>
                <w:szCs w:val="20"/>
                <w:color w:val="auto"/>
              </w:rPr>
            </w:pPr>
            <w:r>
              <w:rPr>
                <w:rFonts w:ascii="Arial" w:cs="Arial" w:eastAsia="Arial" w:hAnsi="Arial"/>
                <w:sz w:val="16"/>
                <w:szCs w:val="16"/>
                <w:b w:val="1"/>
                <w:bCs w:val="1"/>
                <w:color w:val="auto"/>
                <w:w w:val="91"/>
              </w:rPr>
              <w:t>Stock Options Outstanding</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gridSpan w:val="5"/>
          </w:tcPr>
          <w:p>
            <w:pPr>
              <w:ind w:left="1100"/>
              <w:spacing w:after="0"/>
              <w:rPr>
                <w:sz w:val="20"/>
                <w:szCs w:val="20"/>
                <w:color w:val="auto"/>
              </w:rPr>
            </w:pPr>
            <w:r>
              <w:rPr>
                <w:rFonts w:ascii="Arial" w:cs="Arial" w:eastAsia="Arial" w:hAnsi="Arial"/>
                <w:sz w:val="16"/>
                <w:szCs w:val="16"/>
                <w:b w:val="1"/>
                <w:bCs w:val="1"/>
                <w:color w:val="auto"/>
              </w:rPr>
              <w:t>Options Exercisable</w:t>
            </w:r>
          </w:p>
        </w:tc>
      </w:tr>
      <w:tr>
        <w:trPr>
          <w:trHeight w:val="207"/>
        </w:trPr>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2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Weighted Average</w:t>
            </w: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Weighted Average</w:t>
            </w:r>
          </w:p>
        </w:tc>
        <w:tc>
          <w:tcPr>
            <w:tcW w:w="28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7"/>
                <w:szCs w:val="17"/>
                <w:color w:val="auto"/>
              </w:rPr>
            </w:pPr>
          </w:p>
        </w:tc>
      </w:tr>
      <w:tr>
        <w:trPr>
          <w:trHeight w:val="208"/>
        </w:trPr>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Exercise Price</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28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Contractual</w:t>
            </w:r>
          </w:p>
        </w:tc>
        <w:tc>
          <w:tcPr>
            <w:tcW w:w="140" w:type="dxa"/>
            <w:vAlign w:val="bottom"/>
          </w:tcPr>
          <w:p>
            <w:pPr>
              <w:spacing w:after="0"/>
              <w:rPr>
                <w:sz w:val="18"/>
                <w:szCs w:val="18"/>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Exercise Price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Exercise Price</w:t>
            </w:r>
          </w:p>
        </w:tc>
      </w:tr>
      <w:tr>
        <w:trPr>
          <w:trHeight w:val="219"/>
        </w:trPr>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Range</w:t>
            </w:r>
          </w:p>
        </w:tc>
        <w:tc>
          <w:tcPr>
            <w:tcW w:w="18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 (Years)</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per Share</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(Shares)</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per Share</w:t>
            </w:r>
          </w:p>
        </w:tc>
        <w:tc>
          <w:tcPr>
            <w:tcW w:w="120" w:type="dxa"/>
            <w:vAlign w:val="bottom"/>
            <w:tcBorders>
              <w:bottom w:val="single" w:sz="8" w:color="CFF0FC"/>
            </w:tcBorders>
          </w:tcPr>
          <w:p>
            <w:pPr>
              <w:spacing w:after="0"/>
              <w:rPr>
                <w:sz w:val="19"/>
                <w:szCs w:val="19"/>
                <w:color w:val="auto"/>
              </w:rPr>
            </w:pPr>
          </w:p>
        </w:tc>
      </w:tr>
      <w:tr>
        <w:trPr>
          <w:trHeight w:val="213"/>
        </w:trPr>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14.47 to 20.00</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1,996,801</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1,996,801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14.96</w:t>
            </w:r>
          </w:p>
        </w:tc>
        <w:tc>
          <w:tcPr>
            <w:tcW w:w="120" w:type="dxa"/>
            <w:vAlign w:val="bottom"/>
            <w:shd w:val="clear" w:color="auto" w:fill="CFF0FC"/>
          </w:tcPr>
          <w:p>
            <w:pPr>
              <w:spacing w:after="0"/>
              <w:rPr>
                <w:sz w:val="18"/>
                <w:szCs w:val="18"/>
                <w:color w:val="auto"/>
              </w:rPr>
            </w:pPr>
          </w:p>
        </w:tc>
      </w:tr>
      <w:tr>
        <w:trPr>
          <w:trHeight w:val="213"/>
        </w:trPr>
        <w:tc>
          <w:tcPr>
            <w:tcW w:w="260" w:type="dxa"/>
            <w:vAlign w:val="bottom"/>
          </w:tcPr>
          <w:p>
            <w:pPr>
              <w:spacing w:after="0"/>
              <w:rPr>
                <w:sz w:val="18"/>
                <w:szCs w:val="18"/>
                <w:color w:val="auto"/>
              </w:rPr>
            </w:pPr>
          </w:p>
        </w:tc>
        <w:tc>
          <w:tcPr>
            <w:tcW w:w="1780" w:type="dxa"/>
            <w:vAlign w:val="bottom"/>
            <w:gridSpan w:val="2"/>
          </w:tcPr>
          <w:p>
            <w:pPr>
              <w:ind w:left="640"/>
              <w:spacing w:after="0"/>
              <w:rPr>
                <w:sz w:val="20"/>
                <w:szCs w:val="20"/>
                <w:color w:val="auto"/>
              </w:rPr>
            </w:pPr>
            <w:r>
              <w:rPr>
                <w:rFonts w:ascii="Arial" w:cs="Arial" w:eastAsia="Arial" w:hAnsi="Arial"/>
                <w:sz w:val="16"/>
                <w:szCs w:val="16"/>
                <w:color w:val="auto"/>
              </w:rPr>
              <w:t>20.01 to 30.00</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5,130,177</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rPr>
              <w:t>2.6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24.59</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5,130,177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24.59</w:t>
            </w:r>
          </w:p>
        </w:tc>
        <w:tc>
          <w:tcPr>
            <w:tcW w:w="120" w:type="dxa"/>
            <w:vAlign w:val="bottom"/>
          </w:tcPr>
          <w:p>
            <w:pPr>
              <w:spacing w:after="0"/>
              <w:rPr>
                <w:sz w:val="18"/>
                <w:szCs w:val="18"/>
                <w:color w:val="auto"/>
              </w:rPr>
            </w:pPr>
          </w:p>
        </w:tc>
      </w:tr>
      <w:tr>
        <w:trPr>
          <w:trHeight w:val="219"/>
        </w:trPr>
        <w:tc>
          <w:tcPr>
            <w:tcW w:w="2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30.01 to 40.00</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14,126,454</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5.3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33.06</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11,328,597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33.12</w:t>
            </w:r>
          </w:p>
        </w:tc>
        <w:tc>
          <w:tcPr>
            <w:tcW w:w="120" w:type="dxa"/>
            <w:vAlign w:val="bottom"/>
            <w:shd w:val="clear" w:color="auto" w:fill="CFF0FC"/>
          </w:tcPr>
          <w:p>
            <w:pPr>
              <w:spacing w:after="0"/>
              <w:rPr>
                <w:sz w:val="19"/>
                <w:szCs w:val="19"/>
                <w:color w:val="auto"/>
              </w:rPr>
            </w:pPr>
          </w:p>
        </w:tc>
      </w:tr>
      <w:tr>
        <w:trPr>
          <w:trHeight w:val="213"/>
        </w:trPr>
        <w:tc>
          <w:tcPr>
            <w:tcW w:w="260" w:type="dxa"/>
            <w:vAlign w:val="bottom"/>
          </w:tcPr>
          <w:p>
            <w:pPr>
              <w:spacing w:after="0"/>
              <w:rPr>
                <w:sz w:val="18"/>
                <w:szCs w:val="18"/>
                <w:color w:val="auto"/>
              </w:rPr>
            </w:pPr>
          </w:p>
        </w:tc>
        <w:tc>
          <w:tcPr>
            <w:tcW w:w="1780" w:type="dxa"/>
            <w:vAlign w:val="bottom"/>
            <w:gridSpan w:val="2"/>
          </w:tcPr>
          <w:p>
            <w:pPr>
              <w:ind w:left="640"/>
              <w:spacing w:after="0"/>
              <w:rPr>
                <w:sz w:val="20"/>
                <w:szCs w:val="20"/>
                <w:color w:val="auto"/>
              </w:rPr>
            </w:pPr>
            <w:r>
              <w:rPr>
                <w:rFonts w:ascii="Arial" w:cs="Arial" w:eastAsia="Arial" w:hAnsi="Arial"/>
                <w:sz w:val="16"/>
                <w:szCs w:val="16"/>
                <w:color w:val="auto"/>
              </w:rPr>
              <w:t>40.01 to 50.00</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9,854,196</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rPr>
              <w:t>7.1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44.10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3,544,639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44.10</w:t>
            </w:r>
          </w:p>
        </w:tc>
        <w:tc>
          <w:tcPr>
            <w:tcW w:w="120" w:type="dxa"/>
            <w:vAlign w:val="bottom"/>
          </w:tcPr>
          <w:p>
            <w:pPr>
              <w:spacing w:after="0"/>
              <w:rPr>
                <w:sz w:val="18"/>
                <w:szCs w:val="18"/>
                <w:color w:val="auto"/>
              </w:rPr>
            </w:pPr>
          </w:p>
        </w:tc>
      </w:tr>
      <w:tr>
        <w:trPr>
          <w:trHeight w:val="219"/>
        </w:trPr>
        <w:tc>
          <w:tcPr>
            <w:tcW w:w="2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50.01 to 60.00</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21,103,396</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8.6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53.44</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2,017,172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53.96</w:t>
            </w:r>
          </w:p>
        </w:tc>
        <w:tc>
          <w:tcPr>
            <w:tcW w:w="120" w:type="dxa"/>
            <w:vAlign w:val="bottom"/>
            <w:shd w:val="clear" w:color="auto" w:fill="CFF0FC"/>
          </w:tcPr>
          <w:p>
            <w:pPr>
              <w:spacing w:after="0"/>
              <w:rPr>
                <w:sz w:val="19"/>
                <w:szCs w:val="19"/>
                <w:color w:val="auto"/>
              </w:rPr>
            </w:pPr>
          </w:p>
        </w:tc>
      </w:tr>
      <w:tr>
        <w:trPr>
          <w:trHeight w:val="213"/>
        </w:trPr>
        <w:tc>
          <w:tcPr>
            <w:tcW w:w="260" w:type="dxa"/>
            <w:vAlign w:val="bottom"/>
            <w:tcBorders>
              <w:bottom w:val="single" w:sz="8" w:color="CFF0FC"/>
            </w:tcBorders>
          </w:tcPr>
          <w:p>
            <w:pPr>
              <w:spacing w:after="0"/>
              <w:rPr>
                <w:sz w:val="18"/>
                <w:szCs w:val="18"/>
                <w:color w:val="auto"/>
              </w:rPr>
            </w:pPr>
          </w:p>
        </w:tc>
        <w:tc>
          <w:tcPr>
            <w:tcW w:w="1780" w:type="dxa"/>
            <w:vAlign w:val="bottom"/>
            <w:tcBorders>
              <w:bottom w:val="single" w:sz="8" w:color="CFF0FC"/>
            </w:tcBorders>
            <w:gridSpan w:val="2"/>
          </w:tcPr>
          <w:p>
            <w:pPr>
              <w:ind w:left="640"/>
              <w:spacing w:after="0"/>
              <w:rPr>
                <w:sz w:val="20"/>
                <w:szCs w:val="20"/>
                <w:color w:val="auto"/>
              </w:rPr>
            </w:pPr>
            <w:r>
              <w:rPr>
                <w:rFonts w:ascii="Arial" w:cs="Arial" w:eastAsia="Arial" w:hAnsi="Arial"/>
                <w:sz w:val="16"/>
                <w:szCs w:val="16"/>
                <w:color w:val="auto"/>
              </w:rPr>
              <w:t>60.01 to 71.27</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54,764</w:t>
            </w:r>
          </w:p>
        </w:tc>
        <w:tc>
          <w:tcPr>
            <w:tcW w:w="184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b w:val="1"/>
                <w:bCs w:val="1"/>
                <w:color w:val="auto"/>
              </w:rPr>
              <w:t>9.7</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58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rPr>
              <w:t>71.00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7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6"/>
                <w:szCs w:val="16"/>
                <w:b w:val="1"/>
                <w:bCs w:val="1"/>
                <w:color w:val="auto"/>
              </w:rPr>
              <w:t>—</w:t>
            </w:r>
          </w:p>
        </w:tc>
      </w:tr>
      <w:tr>
        <w:trPr>
          <w:trHeight w:val="210"/>
        </w:trPr>
        <w:tc>
          <w:tcPr>
            <w:tcW w:w="26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gridSpan w:val="2"/>
            <w:shd w:val="clear" w:color="auto" w:fill="CFF0FC"/>
          </w:tcPr>
          <w:p>
            <w:pPr>
              <w:ind w:left="640"/>
              <w:spacing w:after="0"/>
              <w:rPr>
                <w:sz w:val="20"/>
                <w:szCs w:val="20"/>
                <w:color w:val="auto"/>
              </w:rPr>
            </w:pPr>
            <w:r>
              <w:rPr>
                <w:rFonts w:ascii="Arial" w:cs="Arial" w:eastAsia="Arial" w:hAnsi="Arial"/>
                <w:sz w:val="16"/>
                <w:szCs w:val="16"/>
                <w:color w:val="auto"/>
              </w:rPr>
              <w:t>14.47 to 71.27</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52,265,788</w:t>
            </w:r>
          </w:p>
        </w:tc>
        <w:tc>
          <w:tcPr>
            <w:tcW w:w="1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6.6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41.89</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24,017,386</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33.16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2016, 2015 and 2014, the aggregate intrinsic values (i.e., the difference in the closing market price on the date of exercise and the exercise price paid by the optionee) of options exercised were $424 million, $290 million and $367 million, respectively.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Summarized information as of December 31, 2016, about outstanding stock options that are vested and expected to vest, as well as stock options that are currently exercisable,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Outstanding</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tcPr>
          <w:p>
            <w:pPr>
              <w:jc w:val="center"/>
              <w:ind w:right="219"/>
              <w:spacing w:after="0"/>
              <w:rPr>
                <w:sz w:val="20"/>
                <w:szCs w:val="20"/>
                <w:color w:val="auto"/>
              </w:rPr>
            </w:pPr>
            <w:r>
              <w:rPr>
                <w:rFonts w:ascii="Arial" w:cs="Arial" w:eastAsia="Arial" w:hAnsi="Arial"/>
                <w:sz w:val="16"/>
                <w:szCs w:val="16"/>
                <w:b w:val="1"/>
                <w:bCs w:val="1"/>
                <w:color w:val="auto"/>
                <w:w w:val="90"/>
              </w:rPr>
              <w:t>Stock Options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(Fully Vested and</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Options</w:t>
            </w:r>
          </w:p>
        </w:tc>
      </w:tr>
      <w:tr>
        <w:trPr>
          <w:trHeight w:val="219"/>
        </w:trPr>
        <w:tc>
          <w:tcPr>
            <w:tcW w:w="4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Expected to Vest) (a)</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Exercisable</w:t>
            </w:r>
          </w:p>
        </w:tc>
      </w:tr>
      <w:tr>
        <w:trPr>
          <w:trHeight w:val="21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Number of outstanding (shares)</w:t>
            </w:r>
          </w:p>
        </w:tc>
        <w:tc>
          <w:tcPr>
            <w:tcW w:w="14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50,994,139</w:t>
            </w:r>
          </w:p>
        </w:tc>
        <w:tc>
          <w:tcPr>
            <w:tcW w:w="3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24,017,386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6"/>
                <w:szCs w:val="16"/>
                <w:color w:val="auto"/>
              </w:rPr>
              <w:t>Weighted average remaining contractual life (in years)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18"/>
                <w:szCs w:val="18"/>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exercise price per share</w:t>
            </w: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41.63</w:t>
            </w: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33.16</w:t>
            </w:r>
          </w:p>
        </w:tc>
        <w:tc>
          <w:tcPr>
            <w:tcW w:w="100" w:type="dxa"/>
            <w:vAlign w:val="bottom"/>
            <w:shd w:val="clear" w:color="auto" w:fill="CFF0FC"/>
          </w:tcPr>
          <w:p>
            <w:pPr>
              <w:spacing w:after="0"/>
              <w:rPr>
                <w:sz w:val="19"/>
                <w:szCs w:val="19"/>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6"/>
                <w:szCs w:val="16"/>
                <w:color w:val="auto"/>
              </w:rPr>
              <w:t>Intrinsic value (millions of dollars)</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6"/>
                <w:szCs w:val="16"/>
                <w:b w:val="1"/>
                <w:bCs w:val="1"/>
                <w:color w:val="auto"/>
              </w:rPr>
              <w:t>1,598</w:t>
            </w:r>
          </w:p>
        </w:tc>
        <w:tc>
          <w:tcPr>
            <w:tcW w:w="7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956</w:t>
            </w:r>
          </w:p>
        </w:tc>
        <w:tc>
          <w:tcPr>
            <w:tcW w:w="100" w:type="dxa"/>
            <w:vAlign w:val="bottom"/>
          </w:tcPr>
          <w:p>
            <w:pPr>
              <w:spacing w:after="0"/>
              <w:rPr>
                <w:sz w:val="18"/>
                <w:szCs w:val="18"/>
                <w:color w:val="auto"/>
              </w:rPr>
            </w:pPr>
          </w:p>
        </w:tc>
      </w:tr>
    </w:tbl>
    <w:p>
      <w:pPr>
        <w:spacing w:after="0" w:line="113" w:lineRule="exact"/>
        <w:rPr>
          <w:sz w:val="20"/>
          <w:szCs w:val="20"/>
          <w:color w:val="auto"/>
        </w:rPr>
      </w:pPr>
    </w:p>
    <w:p>
      <w:pPr>
        <w:ind w:left="52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effects of expected forfeitures of approximately 1 million shares. Excluding the effects of expected forfeitures, the aggregate intrinsic value of stock options outstanding was $1,624 million.</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December 31, 2016, the total future compensation cost related to equity awards not yet recognized in our Consolidated Statements of Income was $250 million, consisting of $111 million related to unvested stock options and $139 million related to unvested RSUs. The $250 million is expected to be recognized as follows: $129 million in 2017, $80 million in 2018, $37 million in 2019 and $4 million in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Director deferred compensation</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Directors who retire or resign from the board may receive stock distributions for compensation they elected to defer. Director deferred stock activity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20" w:type="dxa"/>
            <w:vAlign w:val="bottom"/>
          </w:tcPr>
          <w:p>
            <w:pPr>
              <w:spacing w:after="0"/>
              <w:rPr>
                <w:sz w:val="18"/>
                <w:szCs w:val="18"/>
                <w:color w:val="auto"/>
              </w:rPr>
            </w:pPr>
          </w:p>
        </w:tc>
        <w:tc>
          <w:tcPr>
            <w:tcW w:w="22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Director Deferred Stock</w:t>
            </w:r>
          </w:p>
        </w:tc>
      </w:tr>
      <w:tr>
        <w:trPr>
          <w:trHeight w:val="219"/>
        </w:trPr>
        <w:tc>
          <w:tcPr>
            <w:tcW w:w="9220" w:type="dxa"/>
            <w:vAlign w:val="bottom"/>
          </w:tcPr>
          <w:p>
            <w:pPr>
              <w:spacing w:after="0"/>
              <w:rPr>
                <w:sz w:val="19"/>
                <w:szCs w:val="19"/>
                <w:color w:val="auto"/>
              </w:rPr>
            </w:pPr>
          </w:p>
        </w:tc>
        <w:tc>
          <w:tcPr>
            <w:tcW w:w="2200" w:type="dxa"/>
            <w:vAlign w:val="bottom"/>
            <w:gridSpan w:val="2"/>
          </w:tcPr>
          <w:p>
            <w:pPr>
              <w:jc w:val="right"/>
              <w:ind w:right="880"/>
              <w:spacing w:after="0"/>
              <w:rPr>
                <w:sz w:val="20"/>
                <w:szCs w:val="20"/>
                <w:color w:val="auto"/>
              </w:rPr>
            </w:pPr>
            <w:r>
              <w:rPr>
                <w:rFonts w:ascii="Arial" w:cs="Arial" w:eastAsia="Arial" w:hAnsi="Arial"/>
                <w:sz w:val="16"/>
                <w:szCs w:val="16"/>
                <w:b w:val="1"/>
                <w:bCs w:val="1"/>
                <w:color w:val="auto"/>
              </w:rPr>
              <w:t>(Shares)</w:t>
            </w:r>
          </w:p>
        </w:tc>
      </w:tr>
      <w:tr>
        <w:trPr>
          <w:trHeight w:val="213"/>
        </w:trPr>
        <w:tc>
          <w:tcPr>
            <w:tcW w:w="9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December 31, 2015</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142,913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9220" w:type="dxa"/>
            <w:vAlign w:val="bottom"/>
          </w:tcPr>
          <w:p>
            <w:pPr>
              <w:spacing w:after="0"/>
              <w:rPr>
                <w:sz w:val="20"/>
                <w:szCs w:val="20"/>
                <w:color w:val="auto"/>
              </w:rPr>
            </w:pPr>
            <w:r>
              <w:rPr>
                <w:rFonts w:ascii="Arial" w:cs="Arial" w:eastAsia="Arial" w:hAnsi="Arial"/>
                <w:sz w:val="16"/>
                <w:szCs w:val="16"/>
                <w:b w:val="1"/>
                <w:bCs w:val="1"/>
                <w:color w:val="auto"/>
              </w:rPr>
              <w:t>New shares deferred</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14,319</w:t>
            </w:r>
          </w:p>
        </w:tc>
        <w:tc>
          <w:tcPr>
            <w:tcW w:w="120" w:type="dxa"/>
            <w:vAlign w:val="bottom"/>
          </w:tcPr>
          <w:p>
            <w:pPr>
              <w:spacing w:after="0"/>
              <w:rPr>
                <w:sz w:val="18"/>
                <w:szCs w:val="18"/>
                <w:color w:val="auto"/>
              </w:rPr>
            </w:pPr>
          </w:p>
        </w:tc>
      </w:tr>
      <w:tr>
        <w:trPr>
          <w:trHeight w:val="222"/>
        </w:trPr>
        <w:tc>
          <w:tcPr>
            <w:tcW w:w="9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Issued</w:t>
            </w:r>
          </w:p>
        </w:tc>
        <w:tc>
          <w:tcPr>
            <w:tcW w:w="2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(13,587)</w:t>
            </w:r>
          </w:p>
        </w:tc>
      </w:tr>
      <w:tr>
        <w:trPr>
          <w:trHeight w:val="207"/>
        </w:trPr>
        <w:tc>
          <w:tcPr>
            <w:tcW w:w="9220" w:type="dxa"/>
            <w:vAlign w:val="bottom"/>
          </w:tcPr>
          <w:p>
            <w:pPr>
              <w:spacing w:after="0"/>
              <w:rPr>
                <w:sz w:val="20"/>
                <w:szCs w:val="20"/>
                <w:color w:val="auto"/>
              </w:rPr>
            </w:pPr>
            <w:r>
              <w:rPr>
                <w:rFonts w:ascii="Arial" w:cs="Arial" w:eastAsia="Arial" w:hAnsi="Arial"/>
                <w:sz w:val="16"/>
                <w:szCs w:val="16"/>
                <w:b w:val="1"/>
                <w:bCs w:val="1"/>
                <w:color w:val="auto"/>
              </w:rPr>
              <w:t>Outstanding, December 31, 2016</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143,645</w:t>
            </w:r>
          </w:p>
        </w:tc>
        <w:tc>
          <w:tcPr>
            <w:tcW w:w="12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Options outstanding under the employee stock purchase plan as of December 31, 2016, had an exercise price equal to 85 percent of the fair market value of TI common stock on the date of automatic exercise. The automatic exercise occurred on January 3, 2017, resulting in an exercise price of $62.55 per share. Of the total outstanding options, none were exercisable as of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transactions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Employee Stock</w:t>
            </w: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Purchase Plan</w:t>
            </w: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560" w:type="dxa"/>
            <w:vAlign w:val="bottom"/>
          </w:tcPr>
          <w:p>
            <w:pPr>
              <w:spacing w:after="0"/>
              <w:rPr>
                <w:sz w:val="19"/>
                <w:szCs w:val="19"/>
                <w:color w:val="auto"/>
              </w:rPr>
            </w:pPr>
          </w:p>
        </w:tc>
        <w:tc>
          <w:tcPr>
            <w:tcW w:w="2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(Shares)</w:t>
            </w:r>
          </w:p>
        </w:tc>
        <w:tc>
          <w:tcPr>
            <w:tcW w:w="360" w:type="dxa"/>
            <w:vAlign w:val="bottom"/>
          </w:tcPr>
          <w:p>
            <w:pPr>
              <w:spacing w:after="0"/>
              <w:rPr>
                <w:sz w:val="19"/>
                <w:szCs w:val="19"/>
                <w:color w:val="auto"/>
              </w:rPr>
            </w:pPr>
          </w:p>
        </w:tc>
        <w:tc>
          <w:tcPr>
            <w:tcW w:w="2060" w:type="dxa"/>
            <w:vAlign w:val="bottom"/>
            <w:gridSpan w:val="2"/>
          </w:tcPr>
          <w:p>
            <w:pPr>
              <w:ind w:left="300"/>
              <w:spacing w:after="0"/>
              <w:rPr>
                <w:sz w:val="20"/>
                <w:szCs w:val="20"/>
                <w:color w:val="auto"/>
              </w:rPr>
            </w:pPr>
            <w:r>
              <w:rPr>
                <w:rFonts w:ascii="Arial" w:cs="Arial" w:eastAsia="Arial" w:hAnsi="Arial"/>
                <w:sz w:val="16"/>
                <w:szCs w:val="16"/>
                <w:b w:val="1"/>
                <w:bCs w:val="1"/>
                <w:color w:val="auto"/>
              </w:rPr>
              <w:t>Exercise Price</w:t>
            </w:r>
          </w:p>
        </w:tc>
      </w:tr>
      <w:tr>
        <w:trPr>
          <w:trHeight w:val="21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grants, December 31, 2015</w:t>
            </w:r>
          </w:p>
        </w:tc>
        <w:tc>
          <w:tcPr>
            <w:tcW w:w="2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372,566</w:t>
            </w:r>
          </w:p>
        </w:tc>
        <w:tc>
          <w:tcPr>
            <w:tcW w:w="3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6"/>
                <w:szCs w:val="16"/>
                <w:b w:val="1"/>
                <w:bCs w:val="1"/>
                <w:color w:val="auto"/>
              </w:rPr>
              <w:t>Granted</w:t>
            </w:r>
          </w:p>
        </w:tc>
        <w:tc>
          <w:tcPr>
            <w:tcW w:w="2100" w:type="dxa"/>
            <w:vAlign w:val="bottom"/>
          </w:tcPr>
          <w:p>
            <w:pPr>
              <w:jc w:val="right"/>
              <w:spacing w:after="0"/>
              <w:rPr>
                <w:sz w:val="20"/>
                <w:szCs w:val="20"/>
                <w:color w:val="auto"/>
              </w:rPr>
            </w:pPr>
            <w:r>
              <w:rPr>
                <w:rFonts w:ascii="Arial" w:cs="Arial" w:eastAsia="Arial" w:hAnsi="Arial"/>
                <w:sz w:val="16"/>
                <w:szCs w:val="16"/>
                <w:b w:val="1"/>
                <w:bCs w:val="1"/>
                <w:color w:val="auto"/>
              </w:rPr>
              <w:t>1,273,036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55.51</w:t>
            </w:r>
          </w:p>
        </w:tc>
        <w:tc>
          <w:tcPr>
            <w:tcW w:w="120" w:type="dxa"/>
            <w:vAlign w:val="bottom"/>
          </w:tcPr>
          <w:p>
            <w:pPr>
              <w:spacing w:after="0"/>
              <w:rPr>
                <w:sz w:val="18"/>
                <w:szCs w:val="18"/>
                <w:color w:val="auto"/>
              </w:rPr>
            </w:pPr>
          </w:p>
        </w:tc>
      </w:tr>
      <w:tr>
        <w:trPr>
          <w:trHeight w:val="222"/>
        </w:trPr>
        <w:tc>
          <w:tcPr>
            <w:tcW w:w="6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Exercised</w:t>
            </w:r>
          </w:p>
        </w:tc>
        <w:tc>
          <w:tcPr>
            <w:tcW w:w="24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(1,362,202)</w:t>
            </w:r>
          </w:p>
        </w:tc>
        <w:tc>
          <w:tcPr>
            <w:tcW w:w="3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51.50</w:t>
            </w:r>
          </w:p>
        </w:tc>
        <w:tc>
          <w:tcPr>
            <w:tcW w:w="120" w:type="dxa"/>
            <w:vAlign w:val="bottom"/>
            <w:shd w:val="clear" w:color="auto" w:fill="CFF0FC"/>
          </w:tcPr>
          <w:p>
            <w:pPr>
              <w:spacing w:after="0"/>
              <w:rPr>
                <w:sz w:val="19"/>
                <w:szCs w:val="19"/>
                <w:color w:val="auto"/>
              </w:rPr>
            </w:pPr>
          </w:p>
        </w:tc>
      </w:tr>
      <w:tr>
        <w:trPr>
          <w:trHeight w:val="207"/>
        </w:trPr>
        <w:tc>
          <w:tcPr>
            <w:tcW w:w="6560" w:type="dxa"/>
            <w:vAlign w:val="bottom"/>
          </w:tcPr>
          <w:p>
            <w:pPr>
              <w:spacing w:after="0"/>
              <w:rPr>
                <w:sz w:val="20"/>
                <w:szCs w:val="20"/>
                <w:color w:val="auto"/>
              </w:rPr>
            </w:pPr>
            <w:r>
              <w:rPr>
                <w:rFonts w:ascii="Arial" w:cs="Arial" w:eastAsia="Arial" w:hAnsi="Arial"/>
                <w:sz w:val="16"/>
                <w:szCs w:val="16"/>
                <w:b w:val="1"/>
                <w:bCs w:val="1"/>
                <w:color w:val="auto"/>
              </w:rPr>
              <w:t>Outstanding grants, December 31, 2016</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283,400</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62.55</w:t>
            </w:r>
          </w:p>
        </w:tc>
        <w:tc>
          <w:tcPr>
            <w:tcW w:w="120" w:type="dxa"/>
            <w:vAlign w:val="bottom"/>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weighted average grant date fair values per share of options granted under the employee stock purchase plans in 2016, 2015 and 2014 were $9.79, $7.89 and $7.34, respectively. In 2016, 2015 and 2014, the total intrinsic value of options exercised under these plans was $12 million per year.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on shares outstanding and treasury shares</w:t>
      </w:r>
    </w:p>
    <w:p>
      <w:pPr>
        <w:spacing w:after="0" w:line="1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Treasury shares were acquired in connection with the board-authorized stock repurchase program. As of December 31, 2016, $5.80 billion of stock repurchase authorizations remain, and no expiration date has been specified.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ind w:right="260"/>
        <w:spacing w:after="0" w:line="277" w:lineRule="auto"/>
        <w:rPr>
          <w:sz w:val="20"/>
          <w:szCs w:val="20"/>
          <w:color w:val="auto"/>
        </w:rPr>
      </w:pPr>
      <w:r>
        <w:rPr>
          <w:rFonts w:ascii="Arial" w:cs="Arial" w:eastAsia="Arial" w:hAnsi="Arial"/>
          <w:sz w:val="18"/>
          <w:szCs w:val="18"/>
          <w:color w:val="auto"/>
        </w:rPr>
        <w:t>Our current practice is to issue shares of common stock from treasury shares upon exercise of stock options, distribution of director deferred compensation and vesting of RSUs. The following table reflects the changes in our treasury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70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Stock Options</w:t>
            </w:r>
          </w:p>
        </w:tc>
        <w:tc>
          <w:tcPr>
            <w:tcW w:w="24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RSUs</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Treasury Shares</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2013</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658,012,970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gridSpan w:val="2"/>
          </w:tcPr>
          <w:p>
            <w:pPr>
              <w:spacing w:after="0"/>
              <w:rPr>
                <w:sz w:val="20"/>
                <w:szCs w:val="20"/>
                <w:color w:val="auto"/>
              </w:rPr>
            </w:pPr>
            <w:r>
              <w:rPr>
                <w:rFonts w:ascii="Arial" w:cs="Arial" w:eastAsia="Arial" w:hAnsi="Arial"/>
                <w:sz w:val="16"/>
                <w:szCs w:val="16"/>
                <w:color w:val="auto"/>
              </w:rPr>
              <w:t>Repurchases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61,665,209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Shares used for:</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6"/>
                <w:szCs w:val="16"/>
                <w:color w:val="auto"/>
              </w:rPr>
              <w:t>Stock options/RSUs</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(19,503,382)</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(5,609,627)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applied to exercises or taxes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6,618</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1,408,701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6"/>
                <w:szCs w:val="16"/>
                <w:color w:val="auto"/>
              </w:rPr>
              <w:t>ESPP</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(1,784,184)</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Director deferred stock</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(7,178)</w:t>
            </w:r>
          </w:p>
        </w:tc>
        <w:tc>
          <w:tcPr>
            <w:tcW w:w="0" w:type="dxa"/>
            <w:vAlign w:val="bottom"/>
          </w:tcPr>
          <w:p>
            <w:pPr>
              <w:spacing w:after="0"/>
              <w:rPr>
                <w:sz w:val="1"/>
                <w:szCs w:val="1"/>
                <w:color w:val="auto"/>
              </w:rPr>
            </w:pPr>
          </w:p>
        </w:tc>
      </w:tr>
      <w:tr>
        <w:trPr>
          <w:trHeight w:val="250"/>
        </w:trPr>
        <w:tc>
          <w:tcPr>
            <w:tcW w:w="6720" w:type="dxa"/>
            <w:vAlign w:val="bottom"/>
            <w:gridSpan w:val="2"/>
          </w:tcPr>
          <w:p>
            <w:pPr>
              <w:spacing w:after="0"/>
              <w:rPr>
                <w:sz w:val="20"/>
                <w:szCs w:val="20"/>
                <w:color w:val="auto"/>
              </w:rPr>
            </w:pPr>
            <w:r>
              <w:rPr>
                <w:rFonts w:ascii="Arial" w:cs="Arial" w:eastAsia="Arial" w:hAnsi="Arial"/>
                <w:sz w:val="16"/>
                <w:szCs w:val="16"/>
                <w:color w:val="auto"/>
              </w:rPr>
              <w:t>Total issued</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(21,280,948)</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(4,200,926)</w:t>
            </w:r>
          </w:p>
        </w:tc>
        <w:tc>
          <w:tcPr>
            <w:tcW w:w="1580" w:type="dxa"/>
            <w:vAlign w:val="bottom"/>
            <w:gridSpan w:val="3"/>
          </w:tcPr>
          <w:p>
            <w:pPr>
              <w:jc w:val="right"/>
              <w:ind w:right="60"/>
              <w:spacing w:after="0"/>
              <w:rPr>
                <w:sz w:val="20"/>
                <w:szCs w:val="20"/>
                <w:color w:val="auto"/>
              </w:rPr>
            </w:pPr>
            <w:r>
              <w:rPr>
                <w:rFonts w:ascii="Arial" w:cs="Arial" w:eastAsia="Arial" w:hAnsi="Arial"/>
                <w:sz w:val="16"/>
                <w:szCs w:val="16"/>
                <w:color w:val="auto"/>
              </w:rPr>
              <w:t>(25,481,874)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2014</w:t>
            </w:r>
          </w:p>
        </w:tc>
        <w:tc>
          <w:tcPr>
            <w:tcW w:w="13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694,189,127</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Repurchases</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51,384,339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gridSpan w:val="2"/>
          </w:tcPr>
          <w:p>
            <w:pPr>
              <w:spacing w:after="0"/>
              <w:rPr>
                <w:sz w:val="20"/>
                <w:szCs w:val="20"/>
                <w:color w:val="auto"/>
              </w:rPr>
            </w:pPr>
            <w:r>
              <w:rPr>
                <w:rFonts w:ascii="Arial" w:cs="Arial" w:eastAsia="Arial" w:hAnsi="Arial"/>
                <w:sz w:val="16"/>
                <w:szCs w:val="16"/>
                <w:color w:val="auto"/>
              </w:rPr>
              <w:t>Shares used for:</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options/RSUs</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(11,953,455)</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(3,386,415)</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6"/>
                <w:szCs w:val="16"/>
                <w:color w:val="auto"/>
              </w:rPr>
              <w:t>Stock applied to exercises or taxes</w:t>
            </w:r>
          </w:p>
        </w:tc>
        <w:tc>
          <w:tcPr>
            <w:tcW w:w="1360" w:type="dxa"/>
            <w:vAlign w:val="bottom"/>
          </w:tcPr>
          <w:p>
            <w:pPr>
              <w:jc w:val="right"/>
              <w:spacing w:after="0"/>
              <w:rPr>
                <w:sz w:val="20"/>
                <w:szCs w:val="20"/>
                <w:color w:val="auto"/>
              </w:rPr>
            </w:pPr>
            <w:r>
              <w:rPr>
                <w:rFonts w:ascii="Arial" w:cs="Arial" w:eastAsia="Arial" w:hAnsi="Arial"/>
                <w:sz w:val="16"/>
                <w:szCs w:val="16"/>
                <w:color w:val="auto"/>
              </w:rPr>
              <w:t>8,562</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845,164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ESPP</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(1,532,264)</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Director deferred stock</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580" w:type="dxa"/>
            <w:vAlign w:val="bottom"/>
            <w:tcBorders>
              <w:bottom w:val="single" w:sz="8" w:color="CFF0FC"/>
            </w:tcBorders>
            <w:gridSpan w:val="3"/>
          </w:tcPr>
          <w:p>
            <w:pPr>
              <w:jc w:val="right"/>
              <w:ind w:right="60"/>
              <w:spacing w:after="0"/>
              <w:rPr>
                <w:sz w:val="20"/>
                <w:szCs w:val="20"/>
                <w:color w:val="auto"/>
              </w:rPr>
            </w:pPr>
            <w:r>
              <w:rPr>
                <w:rFonts w:ascii="Arial" w:cs="Arial" w:eastAsia="Arial" w:hAnsi="Arial"/>
                <w:sz w:val="16"/>
                <w:szCs w:val="16"/>
                <w:color w:val="auto"/>
              </w:rPr>
              <w:t>(7,531)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Total issued</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(13,477,157)</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(2,541,251)</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(16,018,408)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20" w:type="dxa"/>
            <w:vAlign w:val="bottom"/>
            <w:gridSpan w:val="2"/>
          </w:tcPr>
          <w:p>
            <w:pPr>
              <w:spacing w:after="0"/>
              <w:rPr>
                <w:sz w:val="20"/>
                <w:szCs w:val="20"/>
                <w:color w:val="auto"/>
              </w:rPr>
            </w:pPr>
            <w:r>
              <w:rPr>
                <w:rFonts w:ascii="Arial" w:cs="Arial" w:eastAsia="Arial" w:hAnsi="Arial"/>
                <w:sz w:val="16"/>
                <w:szCs w:val="16"/>
                <w:color w:val="auto"/>
              </w:rPr>
              <w:t>Balance, December 31, 2015</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729,547,527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70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6"/>
                <w:szCs w:val="16"/>
                <w:b w:val="1"/>
                <w:bCs w:val="1"/>
                <w:color w:val="auto"/>
              </w:rPr>
              <w:t>Repurchases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35,480,036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Shares used for:</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6"/>
                <w:szCs w:val="16"/>
                <w:b w:val="1"/>
                <w:bCs w:val="1"/>
                <w:color w:val="auto"/>
              </w:rPr>
              <w:t>Stock options/RSUs</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(14,516,606)</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(5,639,666)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Stock applied to exercises or taxes</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1,336,476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6"/>
                <w:szCs w:val="16"/>
                <w:b w:val="1"/>
                <w:bCs w:val="1"/>
                <w:color w:val="auto"/>
              </w:rPr>
              <w:t>ESPP</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(1,362,202)</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0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Director deferred stock</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(13,587)</w:t>
            </w:r>
          </w:p>
        </w:tc>
        <w:tc>
          <w:tcPr>
            <w:tcW w:w="0" w:type="dxa"/>
            <w:vAlign w:val="bottom"/>
          </w:tcPr>
          <w:p>
            <w:pPr>
              <w:spacing w:after="0"/>
              <w:rPr>
                <w:sz w:val="1"/>
                <w:szCs w:val="1"/>
                <w:color w:val="auto"/>
              </w:rPr>
            </w:pPr>
          </w:p>
        </w:tc>
      </w:tr>
      <w:tr>
        <w:trPr>
          <w:trHeight w:val="250"/>
        </w:trPr>
        <w:tc>
          <w:tcPr>
            <w:tcW w:w="6720" w:type="dxa"/>
            <w:vAlign w:val="bottom"/>
            <w:gridSpan w:val="2"/>
          </w:tcPr>
          <w:p>
            <w:pPr>
              <w:spacing w:after="0"/>
              <w:rPr>
                <w:sz w:val="20"/>
                <w:szCs w:val="20"/>
                <w:color w:val="auto"/>
              </w:rPr>
            </w:pPr>
            <w:r>
              <w:rPr>
                <w:rFonts w:ascii="Arial" w:cs="Arial" w:eastAsia="Arial" w:hAnsi="Arial"/>
                <w:sz w:val="16"/>
                <w:szCs w:val="16"/>
                <w:b w:val="1"/>
                <w:bCs w:val="1"/>
                <w:color w:val="auto"/>
              </w:rPr>
              <w:t>Total issued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(15,878,808)</w:t>
            </w:r>
          </w:p>
        </w:tc>
        <w:tc>
          <w:tcPr>
            <w:tcW w:w="24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(4,303,190)</w:t>
            </w:r>
          </w:p>
        </w:tc>
        <w:tc>
          <w:tcPr>
            <w:tcW w:w="140" w:type="dxa"/>
            <w:vAlign w:val="bottom"/>
          </w:tcPr>
          <w:p>
            <w:pPr>
              <w:spacing w:after="0"/>
              <w:rPr>
                <w:sz w:val="21"/>
                <w:szCs w:val="21"/>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(20,181,998)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December 31, 2016</w:t>
            </w:r>
          </w:p>
        </w:tc>
        <w:tc>
          <w:tcPr>
            <w:tcW w:w="136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1380" w:type="dxa"/>
            <w:vAlign w:val="bottom"/>
            <w:tcBorders>
              <w:top w:val="single" w:sz="8" w:color="auto"/>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744,831,978</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grants and reserved for issuance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1220"/>
              <w:spacing w:after="0"/>
              <w:rPr>
                <w:sz w:val="20"/>
                <w:szCs w:val="20"/>
                <w:color w:val="auto"/>
              </w:rPr>
            </w:pPr>
            <w:r>
              <w:rPr>
                <w:rFonts w:ascii="Arial" w:cs="Arial" w:eastAsia="Arial" w:hAnsi="Arial"/>
                <w:sz w:val="16"/>
                <w:szCs w:val="16"/>
                <w:b w:val="1"/>
                <w:bCs w:val="1"/>
                <w:color w:val="auto"/>
              </w:rPr>
              <w:t>December 31, 2016</w:t>
            </w: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Long-Term</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Director</w:t>
            </w:r>
          </w:p>
        </w:tc>
        <w:tc>
          <w:tcPr>
            <w:tcW w:w="17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Employee Stock</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Compensation Plans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Incentive Plans</w:t>
            </w:r>
          </w:p>
        </w:tc>
        <w:tc>
          <w:tcPr>
            <w:tcW w:w="24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w:t>
            </w:r>
          </w:p>
        </w:tc>
        <w:tc>
          <w:tcPr>
            <w:tcW w:w="240" w:type="dxa"/>
            <w:vAlign w:val="bottom"/>
            <w:tcBorders>
              <w:bottom w:val="single" w:sz="8" w:color="CFF0FC"/>
            </w:tcBorders>
          </w:tcPr>
          <w:p>
            <w:pPr>
              <w:spacing w:after="0"/>
              <w:rPr>
                <w:sz w:val="18"/>
                <w:szCs w:val="18"/>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Purchase Plan</w:t>
            </w:r>
          </w:p>
        </w:tc>
        <w:tc>
          <w:tcPr>
            <w:tcW w:w="240" w:type="dxa"/>
            <w:vAlign w:val="bottom"/>
            <w:tcBorders>
              <w:bottom w:val="single" w:sz="8" w:color="CFF0FC"/>
            </w:tcBorders>
          </w:tcPr>
          <w:p>
            <w:pPr>
              <w:spacing w:after="0"/>
              <w:rPr>
                <w:sz w:val="18"/>
                <w:szCs w:val="18"/>
                <w:color w:val="auto"/>
              </w:rPr>
            </w:pPr>
          </w:p>
        </w:tc>
        <w:tc>
          <w:tcPr>
            <w:tcW w:w="15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Reserved for issuance</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123,296,771</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2,341,272</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36,670,572</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162,308,615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60" w:type="dxa"/>
            <w:vAlign w:val="bottom"/>
            <w:gridSpan w:val="2"/>
          </w:tcPr>
          <w:p>
            <w:pPr>
              <w:spacing w:after="0"/>
              <w:rPr>
                <w:sz w:val="20"/>
                <w:szCs w:val="20"/>
                <w:color w:val="auto"/>
              </w:rPr>
            </w:pPr>
            <w:r>
              <w:rPr>
                <w:rFonts w:ascii="Arial" w:cs="Arial" w:eastAsia="Arial" w:hAnsi="Arial"/>
                <w:sz w:val="16"/>
                <w:szCs w:val="16"/>
                <w:color w:val="auto"/>
              </w:rPr>
              <w:t>Shares to be issued upon exercise of</w:t>
            </w:r>
          </w:p>
        </w:tc>
        <w:tc>
          <w:tcPr>
            <w:tcW w:w="17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(63,715,186)</w:t>
            </w:r>
          </w:p>
        </w:tc>
        <w:tc>
          <w:tcPr>
            <w:tcW w:w="17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(1,026,626)</w:t>
            </w:r>
          </w:p>
        </w:tc>
        <w:tc>
          <w:tcPr>
            <w:tcW w:w="176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(283,400)</w:t>
            </w:r>
          </w:p>
        </w:tc>
        <w:tc>
          <w:tcPr>
            <w:tcW w:w="162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(65,025,212)</w:t>
            </w:r>
          </w:p>
        </w:tc>
        <w:tc>
          <w:tcPr>
            <w:tcW w:w="0" w:type="dxa"/>
            <w:vAlign w:val="bottom"/>
          </w:tcPr>
          <w:p>
            <w:pPr>
              <w:spacing w:after="0"/>
              <w:rPr>
                <w:sz w:val="1"/>
                <w:szCs w:val="1"/>
                <w:color w:val="auto"/>
              </w:rPr>
            </w:pPr>
          </w:p>
        </w:tc>
      </w:tr>
      <w:tr>
        <w:trPr>
          <w:trHeight w:val="209"/>
        </w:trPr>
        <w:tc>
          <w:tcPr>
            <w:tcW w:w="4560" w:type="dxa"/>
            <w:vAlign w:val="bottom"/>
            <w:gridSpan w:val="2"/>
          </w:tcPr>
          <w:p>
            <w:pPr>
              <w:ind w:left="120"/>
              <w:spacing w:after="0"/>
              <w:rPr>
                <w:sz w:val="20"/>
                <w:szCs w:val="20"/>
                <w:color w:val="auto"/>
              </w:rPr>
            </w:pPr>
            <w:r>
              <w:rPr>
                <w:rFonts w:ascii="Arial" w:cs="Arial" w:eastAsia="Arial" w:hAnsi="Arial"/>
                <w:sz w:val="16"/>
                <w:szCs w:val="16"/>
                <w:color w:val="auto"/>
              </w:rPr>
              <w:t>outstanding options and RSUs</w:t>
            </w:r>
          </w:p>
        </w:tc>
        <w:tc>
          <w:tcPr>
            <w:tcW w:w="1740" w:type="dxa"/>
            <w:vAlign w:val="bottom"/>
            <w:gridSpan w:val="2"/>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Available for future grants</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59,581,585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1,314,646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36,387,172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97,283,403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right="40" w:hanging="512"/>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143,645 shares credited to directors’ deferred stock accounts that settle in shares of TI common stock. These shares are not included as grants outstanding as of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effects on cash flows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6"/>
                <w:szCs w:val="16"/>
                <w:b w:val="1"/>
                <w:bCs w:val="1"/>
                <w:color w:val="auto"/>
              </w:rPr>
              <w:t>For Years Ended December 31,</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FF0FC"/>
            </w:tcBorders>
          </w:tcPr>
          <w:p>
            <w:pPr>
              <w:spacing w:after="0"/>
              <w:rPr>
                <w:sz w:val="18"/>
                <w:szCs w:val="18"/>
                <w:color w:val="auto"/>
              </w:rPr>
            </w:pPr>
          </w:p>
        </w:tc>
        <w:tc>
          <w:tcPr>
            <w:tcW w:w="17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common stock transactions (a)</w:t>
            </w:r>
          </w:p>
        </w:tc>
        <w:tc>
          <w:tcPr>
            <w:tcW w:w="17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472</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Tax benefit realized from stock compensation</w:t>
            </w:r>
          </w:p>
        </w:tc>
        <w:tc>
          <w:tcPr>
            <w:tcW w:w="2720" w:type="dxa"/>
            <w:vAlign w:val="bottom"/>
            <w:gridSpan w:val="2"/>
            <w:shd w:val="clear" w:color="auto" w:fill="CFF0FC"/>
          </w:tcPr>
          <w:p>
            <w:pPr>
              <w:jc w:val="right"/>
              <w:ind w:right="84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255</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Reduction to deferred income tax asset</w:t>
            </w: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Excess tax benefit for stock compensation</w:t>
            </w:r>
          </w:p>
        </w:tc>
        <w:tc>
          <w:tcPr>
            <w:tcW w:w="17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FF0FC"/>
          </w:tcPr>
          <w:p>
            <w:pPr>
              <w:spacing w:after="0"/>
              <w:rPr>
                <w:sz w:val="18"/>
                <w:szCs w:val="18"/>
                <w:color w:val="auto"/>
              </w:rPr>
            </w:pPr>
          </w:p>
        </w:tc>
        <w:tc>
          <w:tcPr>
            <w:tcW w:w="172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jc w:val="right"/>
              <w:ind w:right="84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of taxes paid for employee shares withheld of $70 million in 2016, $46 million in 2015 and $62 million in 2014.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Profit sharing plans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Profit sharing benefits are generally formulaic and determined by one or more subsidiary or company-wide financial metrics. We pay profit sharing benefits primarily under the company-wide TI Employee Profit Sharing Plan. This plan provides for profit sharing to be paid based solely on TI’s operating margin for the full calendar year. Under this plan, TI must achieve a minimum threshold of 10 percent operating margin before any profit sharing is paid. At 10 percent operating margin, profit sharing will be 2 percent of eligible payroll. The maximum amount of profit sharing available under the plan is 20 percent of eligible payroll, which is paid only if TI’s operating margin is at or above 35 percent for a full calendar year.</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recognized $346 million, $309 million and $269 million of profit sharing expense under the TI Employee Profit Sharing Plan in 2016, 2015 and 2014, respectively.</w:t>
      </w:r>
    </w:p>
    <w:p>
      <w:pPr>
        <w:spacing w:after="0" w:line="360"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before 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84"/>
              <w:spacing w:after="0"/>
              <w:rPr>
                <w:sz w:val="20"/>
                <w:szCs w:val="20"/>
                <w:color w:val="auto"/>
              </w:rPr>
            </w:pPr>
            <w:r>
              <w:rPr>
                <w:rFonts w:ascii="Arial" w:cs="Arial" w:eastAsia="Arial" w:hAnsi="Arial"/>
                <w:sz w:val="16"/>
                <w:szCs w:val="16"/>
                <w:b w:val="1"/>
                <w:bCs w:val="1"/>
                <w:color w:val="auto"/>
              </w:rPr>
              <w:t>For Years Ended 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3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FF0FC"/>
            </w:tcBorders>
          </w:tcPr>
          <w:p>
            <w:pPr>
              <w:spacing w:after="0"/>
              <w:rPr>
                <w:sz w:val="18"/>
                <w:szCs w:val="18"/>
                <w:color w:val="auto"/>
              </w:rPr>
            </w:pPr>
          </w:p>
        </w:tc>
      </w:tr>
      <w:tr>
        <w:trPr>
          <w:trHeight w:val="212"/>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U.S.</w:t>
            </w:r>
          </w:p>
        </w:tc>
        <w:tc>
          <w:tcPr>
            <w:tcW w:w="960" w:type="dxa"/>
            <w:vAlign w:val="bottom"/>
            <w:shd w:val="clear" w:color="auto" w:fill="CFF0FC"/>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3,953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3,218</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2,684</w:t>
            </w:r>
          </w:p>
        </w:tc>
        <w:tc>
          <w:tcPr>
            <w:tcW w:w="120" w:type="dxa"/>
            <w:vAlign w:val="bottom"/>
            <w:shd w:val="clear" w:color="auto" w:fill="CFF0FC"/>
          </w:tcPr>
          <w:p>
            <w:pPr>
              <w:spacing w:after="0"/>
              <w:rPr>
                <w:sz w:val="18"/>
                <w:szCs w:val="18"/>
                <w:color w:val="auto"/>
              </w:rPr>
            </w:pPr>
          </w:p>
        </w:tc>
      </w:tr>
      <w:tr>
        <w:trPr>
          <w:trHeight w:val="213"/>
        </w:trPr>
        <w:tc>
          <w:tcPr>
            <w:tcW w:w="6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Non-U.S.</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977</w:t>
            </w: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w:t>
            </w:r>
          </w:p>
        </w:tc>
        <w:tc>
          <w:tcPr>
            <w:tcW w:w="120" w:type="dxa"/>
            <w:vAlign w:val="bottom"/>
            <w:tcBorders>
              <w:bottom w:val="single" w:sz="8" w:color="CFF0FC"/>
            </w:tcBorders>
          </w:tcPr>
          <w:p>
            <w:pPr>
              <w:spacing w:after="0"/>
              <w:rPr>
                <w:sz w:val="18"/>
                <w:szCs w:val="18"/>
                <w:color w:val="auto"/>
              </w:rPr>
            </w:pPr>
          </w:p>
        </w:tc>
      </w:tr>
      <w:tr>
        <w:trPr>
          <w:trHeight w:val="210"/>
        </w:trPr>
        <w:tc>
          <w:tcPr>
            <w:tcW w:w="6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FF0FC"/>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4,930</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4,216</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jc w:val="right"/>
              <w:ind w:right="519"/>
              <w:spacing w:after="0"/>
              <w:rPr>
                <w:sz w:val="20"/>
                <w:szCs w:val="20"/>
                <w:color w:val="auto"/>
              </w:rPr>
            </w:pPr>
            <w:r>
              <w:rPr>
                <w:rFonts w:ascii="Arial" w:cs="Arial" w:eastAsia="Arial" w:hAnsi="Arial"/>
                <w:sz w:val="16"/>
                <w:szCs w:val="16"/>
                <w:b w:val="1"/>
                <w:bCs w:val="1"/>
                <w:color w:val="auto"/>
              </w:rPr>
              <w:t>For Years Ended December 31,</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1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Current</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Deferred</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Current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7"/>
              </w:rPr>
              <w:t>Deferred</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Current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7"/>
              </w:rPr>
              <w:t>Deferred</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CFF0FC"/>
            </w:tcBorders>
          </w:tcPr>
          <w:p>
            <w:pPr>
              <w:spacing w:after="0"/>
              <w:rPr>
                <w:sz w:val="18"/>
                <w:szCs w:val="18"/>
                <w:color w:val="auto"/>
              </w:rPr>
            </w:pPr>
          </w:p>
        </w:tc>
      </w:tr>
      <w:tr>
        <w:trPr>
          <w:trHeight w:val="212"/>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U.S. federal</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1,289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1,167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(72)</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(73)</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w:t>
            </w:r>
          </w:p>
        </w:tc>
        <w:tc>
          <w:tcPr>
            <w:tcW w:w="60" w:type="dxa"/>
            <w:vAlign w:val="bottom"/>
            <w:shd w:val="clear" w:color="auto" w:fill="CFF0FC"/>
          </w:tcPr>
          <w:p>
            <w:pPr>
              <w:spacing w:after="0"/>
              <w:rPr>
                <w:sz w:val="18"/>
                <w:szCs w:val="18"/>
                <w:color w:val="auto"/>
              </w:rPr>
            </w:pPr>
          </w:p>
        </w:tc>
      </w:tr>
      <w:tr>
        <w:trPr>
          <w:trHeight w:val="213"/>
        </w:trPr>
        <w:tc>
          <w:tcPr>
            <w:tcW w:w="1300" w:type="dxa"/>
            <w:vAlign w:val="bottom"/>
          </w:tcPr>
          <w:p>
            <w:pPr>
              <w:spacing w:after="0"/>
              <w:rPr>
                <w:sz w:val="20"/>
                <w:szCs w:val="20"/>
                <w:color w:val="auto"/>
              </w:rPr>
            </w:pPr>
            <w:r>
              <w:rPr>
                <w:rFonts w:ascii="Arial" w:cs="Arial" w:eastAsia="Arial" w:hAnsi="Arial"/>
                <w:sz w:val="16"/>
                <w:szCs w:val="16"/>
                <w:color w:val="auto"/>
              </w:rPr>
              <w:t>Non-U.S.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(80)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205</w:t>
            </w:r>
          </w:p>
        </w:tc>
        <w:tc>
          <w:tcPr>
            <w:tcW w:w="60" w:type="dxa"/>
            <w:vAlign w:val="bottom"/>
          </w:tcPr>
          <w:p>
            <w:pPr>
              <w:spacing w:after="0"/>
              <w:rPr>
                <w:sz w:val="18"/>
                <w:szCs w:val="18"/>
                <w:color w:val="auto"/>
              </w:rPr>
            </w:pPr>
          </w:p>
        </w:tc>
      </w:tr>
      <w:tr>
        <w:trPr>
          <w:trHeight w:val="219"/>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U.S. state</w:t>
            </w: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FF0FC"/>
          </w:tcPr>
          <w:p>
            <w:pPr>
              <w:spacing w:after="0"/>
              <w:rPr>
                <w:sz w:val="19"/>
                <w:szCs w:val="19"/>
                <w:color w:val="auto"/>
              </w:rPr>
            </w:pPr>
          </w:p>
        </w:tc>
      </w:tr>
      <w:tr>
        <w:trPr>
          <w:trHeight w:val="207"/>
        </w:trPr>
        <w:tc>
          <w:tcPr>
            <w:tcW w:w="1300" w:type="dxa"/>
            <w:vAlign w:val="bottom"/>
          </w:tcPr>
          <w:p>
            <w:pPr>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1,537</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2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1,335</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1,285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(55)</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1,230</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1,114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(61)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1,053</w:t>
            </w:r>
          </w:p>
        </w:tc>
        <w:tc>
          <w:tcPr>
            <w:tcW w:w="6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Principal reconciling items from the U.S. statutory income tax rate to the effective tax rate (Provision for income taxes as a percentage of Income before income taxes)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900" w:type="dxa"/>
            <w:vAlign w:val="bottom"/>
            <w:tcBorders>
              <w:bottom w:val="single" w:sz="8" w:color="auto"/>
            </w:tcBorders>
            <w:gridSpan w:val="5"/>
          </w:tcPr>
          <w:p>
            <w:pPr>
              <w:ind w:left="700"/>
              <w:spacing w:after="0"/>
              <w:rPr>
                <w:sz w:val="20"/>
                <w:szCs w:val="20"/>
                <w:color w:val="auto"/>
              </w:rPr>
            </w:pPr>
            <w:r>
              <w:rPr>
                <w:rFonts w:ascii="Arial" w:cs="Arial" w:eastAsia="Arial" w:hAnsi="Arial"/>
                <w:sz w:val="16"/>
                <w:szCs w:val="16"/>
                <w:b w:val="1"/>
                <w:bCs w:val="1"/>
                <w:color w:val="auto"/>
                <w:w w:val="92"/>
              </w:rPr>
              <w:t>For Years Ended December 31,</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7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Borders>
              <w:bottom w:val="single" w:sz="8" w:color="CCEEFF"/>
            </w:tcBorders>
          </w:tcPr>
          <w:p>
            <w:pPr>
              <w:spacing w:after="0"/>
              <w:rPr>
                <w:sz w:val="18"/>
                <w:szCs w:val="18"/>
                <w:color w:val="auto"/>
              </w:rPr>
            </w:pPr>
          </w:p>
        </w:tc>
      </w:tr>
      <w:tr>
        <w:trPr>
          <w:trHeight w:val="212"/>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U.S. statutory income tax rate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40" w:type="dxa"/>
            <w:vAlign w:val="bottom"/>
            <w:shd w:val="clear" w:color="auto" w:fill="CCEEFF"/>
          </w:tcPr>
          <w:p>
            <w:pPr>
              <w:spacing w:after="0"/>
              <w:rPr>
                <w:sz w:val="18"/>
                <w:szCs w:val="18"/>
                <w:color w:val="auto"/>
              </w:rPr>
            </w:pPr>
          </w:p>
        </w:tc>
      </w:tr>
      <w:tr>
        <w:trPr>
          <w:trHeight w:val="213"/>
        </w:trPr>
        <w:tc>
          <w:tcPr>
            <w:tcW w:w="7700" w:type="dxa"/>
            <w:vAlign w:val="bottom"/>
          </w:tcPr>
          <w:p>
            <w:pPr>
              <w:spacing w:after="0"/>
              <w:rPr>
                <w:sz w:val="20"/>
                <w:szCs w:val="20"/>
                <w:color w:val="auto"/>
              </w:rPr>
            </w:pPr>
            <w:r>
              <w:rPr>
                <w:rFonts w:ascii="Arial" w:cs="Arial" w:eastAsia="Arial" w:hAnsi="Arial"/>
                <w:sz w:val="16"/>
                <w:szCs w:val="16"/>
                <w:color w:val="auto"/>
              </w:rPr>
              <w:t>Non-U.S. effective tax rates</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(3.7)</w:t>
            </w: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(5.5)</w:t>
            </w:r>
          </w:p>
        </w:tc>
      </w:tr>
      <w:tr>
        <w:trPr>
          <w:trHeight w:val="219"/>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U.S. excess tax benefit for stock compensation (a)</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(3.0)</w:t>
            </w:r>
          </w:p>
        </w:tc>
        <w:tc>
          <w:tcPr>
            <w:tcW w:w="1560" w:type="dxa"/>
            <w:vAlign w:val="bottom"/>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7700" w:type="dxa"/>
            <w:vAlign w:val="bottom"/>
          </w:tcPr>
          <w:p>
            <w:pPr>
              <w:spacing w:after="0"/>
              <w:rPr>
                <w:sz w:val="20"/>
                <w:szCs w:val="20"/>
                <w:color w:val="auto"/>
              </w:rPr>
            </w:pPr>
            <w:r>
              <w:rPr>
                <w:rFonts w:ascii="Arial" w:cs="Arial" w:eastAsia="Arial" w:hAnsi="Arial"/>
                <w:sz w:val="16"/>
                <w:szCs w:val="16"/>
                <w:color w:val="auto"/>
              </w:rPr>
              <w:t>U.S. tax benefit for manufacturing</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(1.5)</w:t>
            </w: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r>
      <w:tr>
        <w:trPr>
          <w:trHeight w:val="219"/>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U.S. R&amp;D tax credit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(1.2)</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r>
      <w:tr>
        <w:trPr>
          <w:trHeight w:val="213"/>
        </w:trPr>
        <w:tc>
          <w:tcPr>
            <w:tcW w:w="7700" w:type="dxa"/>
            <w:vAlign w:val="bottom"/>
          </w:tcPr>
          <w:p>
            <w:pPr>
              <w:spacing w:after="0"/>
              <w:rPr>
                <w:sz w:val="20"/>
                <w:szCs w:val="20"/>
                <w:color w:val="auto"/>
              </w:rPr>
            </w:pPr>
            <w:r>
              <w:rPr>
                <w:rFonts w:ascii="Arial" w:cs="Arial" w:eastAsia="Arial" w:hAnsi="Arial"/>
                <w:sz w:val="16"/>
                <w:szCs w:val="16"/>
                <w:color w:val="auto"/>
              </w:rPr>
              <w:t>U.S. non-deductible expenses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0.3</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r>
      <w:tr>
        <w:trPr>
          <w:trHeight w:val="219"/>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Impact of changes to uncertain tax positions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9"/>
                <w:szCs w:val="19"/>
                <w:color w:val="auto"/>
              </w:rPr>
            </w:pPr>
          </w:p>
        </w:tc>
      </w:tr>
      <w:tr>
        <w:trPr>
          <w:trHeight w:val="213"/>
        </w:trPr>
        <w:tc>
          <w:tcPr>
            <w:tcW w:w="7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w:t>
            </w:r>
          </w:p>
        </w:tc>
        <w:tc>
          <w:tcPr>
            <w:tcW w:w="4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bottom w:val="single" w:sz="8" w:color="CCEEFF"/>
            </w:tcBorders>
          </w:tcPr>
          <w:p>
            <w:pPr>
              <w:spacing w:after="0"/>
              <w:rPr>
                <w:sz w:val="18"/>
                <w:szCs w:val="18"/>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27.1%</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27.2%</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98"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is related to the adoption of ASU 2016-09 as discussed in Note 2.</w:t>
      </w:r>
    </w:p>
    <w:p>
      <w:pPr>
        <w:spacing w:after="0" w:line="2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effective tax rate benefits from lower rates (compared with the U.S. statutory income tax rate) applicable to our operations in many of the jurisdictions in which we operate, and from U.S. tax benefits. These lower non-U.S. tax rates are generally statutory in nature, without expiration and available to companies that operate in those taxing jurisdictions. Also included in the non-U.S. effective tax rates reconciling item above are benefits from tax holidays of $30 million, $50 million and $44 million in 2016, 2015 and 2014, respectively. The tax benefits relate to our operations in Malaysia and the Philippines, and expire in 2018 and 2017, respectively. The terms of the Malaysia tax holiday are currently under governmental review as required for the end of the first five years of the holiday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 primary components of deferred income tax assets and liabilities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192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assets:</w:t>
            </w:r>
          </w:p>
        </w:tc>
        <w:tc>
          <w:tcPr>
            <w:tcW w:w="19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3040" w:type="dxa"/>
            <w:vAlign w:val="bottom"/>
            <w:gridSpan w:val="2"/>
          </w:tcPr>
          <w:p>
            <w:pPr>
              <w:jc w:val="right"/>
              <w:ind w:right="96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320" w:type="dxa"/>
            <w:vAlign w:val="bottom"/>
          </w:tcPr>
          <w:p>
            <w:pPr>
              <w:spacing w:after="0"/>
              <w:rPr>
                <w:sz w:val="18"/>
                <w:szCs w:val="18"/>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Accrued expenses</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219</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color w:val="auto"/>
              </w:rPr>
              <w:t>Deferred loss and tax credit carryforwards</w:t>
            </w: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214</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Inventories and related reserves</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145</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color w:val="auto"/>
              </w:rPr>
              <w:t>Retirement costs for defined benefit and retiree health care</w:t>
            </w: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w:t>
            </w:r>
          </w:p>
        </w:tc>
        <w:tc>
          <w:tcPr>
            <w:tcW w:w="19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81</w:t>
            </w:r>
          </w:p>
        </w:tc>
        <w:tc>
          <w:tcPr>
            <w:tcW w:w="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6"/>
                <w:szCs w:val="16"/>
                <w:color w:val="auto"/>
              </w:rPr>
              <w:t>Total deferred income tax assets, before valuation allowance</w:t>
            </w:r>
          </w:p>
        </w:tc>
        <w:tc>
          <w:tcPr>
            <w:tcW w:w="1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961</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Valuation allowance</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(128)</w:t>
            </w:r>
          </w:p>
        </w:tc>
        <w:tc>
          <w:tcPr>
            <w:tcW w:w="4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6"/>
                <w:szCs w:val="16"/>
                <w:color w:val="auto"/>
              </w:rPr>
              <w:t>Total deferred income tax assets, after valuation allowance</w:t>
            </w:r>
          </w:p>
        </w:tc>
        <w:tc>
          <w:tcPr>
            <w:tcW w:w="19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833</w:t>
            </w:r>
          </w:p>
        </w:tc>
        <w:tc>
          <w:tcPr>
            <w:tcW w:w="3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color w:val="auto"/>
              </w:rPr>
              <w:t>Acquisition-related intangibles and fair-value adjustments</w:t>
            </w: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(460)</w:t>
            </w:r>
          </w:p>
        </w:tc>
        <w:tc>
          <w:tcPr>
            <w:tcW w:w="4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International earnings</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(32)</w:t>
            </w:r>
          </w:p>
        </w:tc>
        <w:tc>
          <w:tcPr>
            <w:tcW w:w="4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Total deferred income tax liabilities</w:t>
            </w:r>
          </w:p>
        </w:tc>
        <w:tc>
          <w:tcPr>
            <w:tcW w:w="19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4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(492)</w:t>
            </w:r>
          </w:p>
        </w:tc>
        <w:tc>
          <w:tcPr>
            <w:tcW w:w="3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deferred income tax asset</w:t>
            </w:r>
          </w:p>
        </w:tc>
        <w:tc>
          <w:tcPr>
            <w:tcW w:w="192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96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341</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deferred income tax assets and liabilities based on tax jurisdictions are presented on our Consolidated Balance Sheets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880" w:type="dxa"/>
            <w:vAlign w:val="bottom"/>
            <w:tcBorders>
              <w:bottom w:val="single" w:sz="8" w:color="CFF0FC"/>
            </w:tcBorders>
          </w:tcPr>
          <w:p>
            <w:pPr>
              <w:spacing w:after="0"/>
              <w:rPr>
                <w:sz w:val="18"/>
                <w:szCs w:val="18"/>
                <w:color w:val="auto"/>
              </w:rPr>
            </w:pPr>
          </w:p>
        </w:tc>
        <w:tc>
          <w:tcPr>
            <w:tcW w:w="28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8"/>
                <w:szCs w:val="18"/>
                <w:color w:val="auto"/>
              </w:rPr>
            </w:pPr>
          </w:p>
        </w:tc>
      </w:tr>
      <w:tr>
        <w:trPr>
          <w:trHeight w:val="212"/>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assets</w:t>
            </w:r>
          </w:p>
        </w:tc>
        <w:tc>
          <w:tcPr>
            <w:tcW w:w="28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62"/>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374</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FF0FC"/>
          </w:tcPr>
          <w:p>
            <w:pPr>
              <w:spacing w:after="0"/>
              <w:rPr>
                <w:sz w:val="18"/>
                <w:szCs w:val="18"/>
                <w:color w:val="auto"/>
              </w:rPr>
            </w:pPr>
          </w:p>
        </w:tc>
      </w:tr>
      <w:tr>
        <w:trPr>
          <w:trHeight w:val="213"/>
        </w:trPr>
        <w:tc>
          <w:tcPr>
            <w:tcW w:w="4880" w:type="dxa"/>
            <w:vAlign w:val="bottom"/>
          </w:tcPr>
          <w:p>
            <w:pPr>
              <w:spacing w:after="0"/>
              <w:rPr>
                <w:sz w:val="20"/>
                <w:szCs w:val="20"/>
                <w:color w:val="auto"/>
              </w:rPr>
            </w:pPr>
            <w:r>
              <w:rPr>
                <w:rFonts w:ascii="Arial" w:cs="Arial" w:eastAsia="Arial" w:hAnsi="Arial"/>
                <w:sz w:val="16"/>
                <w:szCs w:val="16"/>
                <w:color w:val="auto"/>
              </w:rPr>
              <w:t>Deferred income tax liabilities</w:t>
            </w: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(33)</w:t>
            </w:r>
          </w:p>
        </w:tc>
        <w:tc>
          <w:tcPr>
            <w:tcW w:w="4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r>
      <w:tr>
        <w:trPr>
          <w:trHeight w:val="210"/>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deferred income tax asset</w:t>
            </w:r>
          </w:p>
        </w:tc>
        <w:tc>
          <w:tcPr>
            <w:tcW w:w="288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96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341</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Changes in valuation allowance balances in 2016 and 2015 of $58 million and $9 million, respectively, impacted Net income by $63 million and $0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have U.S. and non-U.S. tax loss carryforwards of approximately $12 million, none of which will expire before the year 2026.</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 provision has been made for deferred taxes on undistributed earnings of non-U.S. subsidiaries to the extent that dividend payments from these subsidiaries are expected to result in additional tax liability. The remaining undistributed earnings of approximately $9.03 billion as of December 31, 2016, have been indefinitely reinvested outside of the United States; therefore, no U.S. tax provision has been made for taxes due upon remittance of these earnings. The indefinitely reinvested earnings of our non-U.S. subsidiaries are primarily invested in working capital and property, plant and equipment. Determination of the amount of unrecognized deferred income tax liability is not practical because of the complexities associated with its hypothetical calculation.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Cash payments made for income taxes, net of refunds, were $1.15 billion, $1.17 billion and $1.10 billion in 2016, 2015 and 2014,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our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changes in the total amounts of uncertain tax positions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2016</w:t>
            </w: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2015</w:t>
            </w: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FF0FC"/>
            </w:tcBorders>
          </w:tcPr>
          <w:p>
            <w:pPr>
              <w:spacing w:after="0"/>
              <w:rPr>
                <w:sz w:val="18"/>
                <w:szCs w:val="18"/>
                <w:color w:val="auto"/>
              </w:rPr>
            </w:pPr>
          </w:p>
        </w:tc>
      </w:tr>
      <w:tr>
        <w:trPr>
          <w:trHeight w:val="213"/>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Balance, January 1</w:t>
            </w:r>
          </w:p>
        </w:tc>
        <w:tc>
          <w:tcPr>
            <w:tcW w:w="880" w:type="dxa"/>
            <w:vAlign w:val="bottom"/>
            <w:shd w:val="clear" w:color="auto" w:fill="CFF0FC"/>
          </w:tcPr>
          <w:p>
            <w:pPr>
              <w:jc w:val="right"/>
              <w:ind w:right="682"/>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8"/>
                <w:szCs w:val="18"/>
                <w:color w:val="auto"/>
              </w:rPr>
            </w:pPr>
          </w:p>
        </w:tc>
      </w:tr>
      <w:tr>
        <w:trPr>
          <w:trHeight w:val="213"/>
        </w:trPr>
        <w:tc>
          <w:tcPr>
            <w:tcW w:w="6900" w:type="dxa"/>
            <w:vAlign w:val="bottom"/>
          </w:tcPr>
          <w:p>
            <w:pPr>
              <w:spacing w:after="0"/>
              <w:rPr>
                <w:sz w:val="20"/>
                <w:szCs w:val="20"/>
                <w:color w:val="auto"/>
              </w:rPr>
            </w:pPr>
            <w:r>
              <w:rPr>
                <w:rFonts w:ascii="Arial" w:cs="Arial" w:eastAsia="Arial" w:hAnsi="Arial"/>
                <w:sz w:val="16"/>
                <w:szCs w:val="16"/>
                <w:color w:val="auto"/>
              </w:rPr>
              <w:t>Additions based on tax positions related to the current year</w:t>
            </w: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r>
      <w:tr>
        <w:trPr>
          <w:trHeight w:val="219"/>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Additions for tax positions of prior years</w:t>
            </w: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189</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9"/>
                <w:szCs w:val="19"/>
                <w:color w:val="auto"/>
              </w:rPr>
            </w:pPr>
          </w:p>
        </w:tc>
      </w:tr>
      <w:tr>
        <w:trPr>
          <w:trHeight w:val="213"/>
        </w:trPr>
        <w:tc>
          <w:tcPr>
            <w:tcW w:w="6900" w:type="dxa"/>
            <w:vAlign w:val="bottom"/>
          </w:tcPr>
          <w:p>
            <w:pPr>
              <w:spacing w:after="0"/>
              <w:rPr>
                <w:sz w:val="20"/>
                <w:szCs w:val="20"/>
                <w:color w:val="auto"/>
              </w:rPr>
            </w:pPr>
            <w:r>
              <w:rPr>
                <w:rFonts w:ascii="Arial" w:cs="Arial" w:eastAsia="Arial" w:hAnsi="Arial"/>
                <w:sz w:val="16"/>
                <w:szCs w:val="16"/>
                <w:color w:val="auto"/>
              </w:rPr>
              <w:t>Reductions for tax positions of prior years</w:t>
            </w:r>
          </w:p>
        </w:tc>
        <w:tc>
          <w:tcPr>
            <w:tcW w:w="8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w:t>
            </w:r>
          </w:p>
        </w:tc>
        <w:tc>
          <w:tcPr>
            <w:tcW w:w="9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219"/>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Settlements with tax authorities</w:t>
            </w: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(32)</w:t>
            </w:r>
          </w:p>
        </w:tc>
        <w:tc>
          <w:tcPr>
            <w:tcW w:w="9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w:t>
            </w:r>
          </w:p>
        </w:tc>
      </w:tr>
      <w:tr>
        <w:trPr>
          <w:trHeight w:val="247"/>
        </w:trPr>
        <w:tc>
          <w:tcPr>
            <w:tcW w:w="6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Balance, December 31</w:t>
            </w:r>
          </w:p>
        </w:tc>
        <w:tc>
          <w:tcPr>
            <w:tcW w:w="88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w:t>
            </w:r>
          </w:p>
        </w:tc>
        <w:tc>
          <w:tcPr>
            <w:tcW w:w="300" w:type="dxa"/>
            <w:vAlign w:val="bottom"/>
            <w:tcBorders>
              <w:bottom w:val="single" w:sz="8" w:color="CFF0FC"/>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3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FF0FC"/>
            </w:tcBorders>
          </w:tcPr>
          <w:p>
            <w:pPr>
              <w:spacing w:after="0"/>
              <w:rPr>
                <w:sz w:val="21"/>
                <w:szCs w:val="21"/>
                <w:color w:val="auto"/>
              </w:rPr>
            </w:pPr>
          </w:p>
        </w:tc>
      </w:tr>
      <w:tr>
        <w:trPr>
          <w:trHeight w:val="199"/>
        </w:trPr>
        <w:tc>
          <w:tcPr>
            <w:tcW w:w="69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3"/>
        </w:trPr>
        <w:tc>
          <w:tcPr>
            <w:tcW w:w="6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income (expense) recognized in the year ended December 31</w:t>
            </w:r>
          </w:p>
        </w:tc>
        <w:tc>
          <w:tcPr>
            <w:tcW w:w="880" w:type="dxa"/>
            <w:vAlign w:val="bottom"/>
            <w:tcBorders>
              <w:bottom w:val="single" w:sz="8" w:color="auto"/>
            </w:tcBorders>
          </w:tcPr>
          <w:p>
            <w:pPr>
              <w:jc w:val="right"/>
              <w:ind w:right="72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jc w:val="right"/>
              <w:ind w:right="742"/>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FF0FC"/>
            </w:tcBorders>
          </w:tcPr>
          <w:p>
            <w:pPr>
              <w:spacing w:after="0"/>
              <w:rPr>
                <w:sz w:val="22"/>
                <w:szCs w:val="22"/>
                <w:color w:val="auto"/>
              </w:rPr>
            </w:pPr>
          </w:p>
        </w:tc>
      </w:tr>
      <w:tr>
        <w:trPr>
          <w:trHeight w:val="199"/>
        </w:trPr>
        <w:tc>
          <w:tcPr>
            <w:tcW w:w="69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6900" w:type="dxa"/>
            <w:vAlign w:val="bottom"/>
          </w:tcPr>
          <w:p>
            <w:pPr>
              <w:spacing w:after="0"/>
              <w:rPr>
                <w:sz w:val="20"/>
                <w:szCs w:val="20"/>
                <w:color w:val="auto"/>
              </w:rPr>
            </w:pPr>
            <w:r>
              <w:rPr>
                <w:rFonts w:ascii="Arial" w:cs="Arial" w:eastAsia="Arial" w:hAnsi="Arial"/>
                <w:sz w:val="16"/>
                <w:szCs w:val="16"/>
                <w:color w:val="auto"/>
              </w:rPr>
              <w:t>Interest receivable (payable) as of December 31</w:t>
            </w:r>
          </w:p>
        </w:tc>
        <w:tc>
          <w:tcPr>
            <w:tcW w:w="880" w:type="dxa"/>
            <w:vAlign w:val="bottom"/>
          </w:tcPr>
          <w:p>
            <w:pPr>
              <w:jc w:val="right"/>
              <w:ind w:right="72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300" w:type="dxa"/>
            <w:vAlign w:val="bottom"/>
          </w:tcPr>
          <w:p>
            <w:pPr>
              <w:spacing w:after="0"/>
              <w:rPr>
                <w:sz w:val="18"/>
                <w:szCs w:val="18"/>
                <w:color w:val="auto"/>
              </w:rPr>
            </w:pP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6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liability for uncertain tax positions is a component of Deferred credits and other liabilities on our Consolidated Balance Sheets.</w:t>
      </w:r>
    </w:p>
    <w:p>
      <w:pPr>
        <w:spacing w:after="0" w:line="29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All of the $243 million liability for uncertain tax positions as of December 31, 2016, is comprised of positions that, if recognized, would benefit the effective tax rate. If these tax liabilities are ultimately realized, $12 million of existing deferred tax assets would also be realized, related to refunds from counterparty jurisdictions resulting from procedures for relief from double taxation.</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All of the $84 million liability for uncertain tax positions as of December 31, 2015, is comprised of positions that, if recognized, would benefit the effective tax rate. If these tax liabilities are ultimately realized, $12 million of existing deferred tax assets would also be realized, related to refunds from counterparty jurisdictions resulting from procedures for relief from double taxation.</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2016, the statute of limitations remains open for U.S. federal tax returns for 2010 and following years. Audit activities related to our U.S. federal tax returns through 2012 have been completed except for certain pending tax treaty procedures for relief from double taxation. The procedures for relief from double taxation pertain to U.S. federal tax returns for the years 2006 through 2011.</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United States, our subsidiaries are no longer subject to income tax audits for years before 2007.</w:t>
      </w:r>
    </w:p>
    <w:p>
      <w:pPr>
        <w:spacing w:after="0" w:line="360"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risk concentration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hold derivative financial instruments such as forward foreign currency exchange contracts, the fair value of which was not material as of December 31, 2016. Our forward foreign currency exchange contracts outstanding as of December 31, 2016, had a notional value of $494 million to hedge our non-U.S. dollar net balance sheet exposures, including $158 million to sell Japanese yen and $123 million to sell euros.</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investments in cash equivalents, short-term investments and certain long-term investments, as well as our postretirement plan assets and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8 for a description of fair value and the definition of Level 2 inputs.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concentration</w:t>
      </w:r>
    </w:p>
    <w:p>
      <w:pPr>
        <w:spacing w:after="0" w:line="117" w:lineRule="exact"/>
        <w:rPr>
          <w:sz w:val="20"/>
          <w:szCs w:val="20"/>
          <w:color w:val="auto"/>
        </w:rPr>
      </w:pPr>
    </w:p>
    <w:p>
      <w:pPr>
        <w:ind w:right="640"/>
        <w:spacing w:after="0" w:line="302" w:lineRule="auto"/>
        <w:rPr>
          <w:sz w:val="20"/>
          <w:szCs w:val="20"/>
          <w:color w:val="auto"/>
        </w:rPr>
      </w:pPr>
      <w:r>
        <w:rPr>
          <w:rFonts w:ascii="Arial" w:cs="Arial" w:eastAsia="Arial" w:hAnsi="Arial"/>
          <w:sz w:val="16"/>
          <w:szCs w:val="16"/>
          <w:color w:val="auto"/>
        </w:rPr>
        <w:t>We are subject to counterparty risks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right="460"/>
        <w:spacing w:after="0" w:line="264"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collectability. These allowances are deducted from accounts receivable on our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Details of these accounts receivable allowances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276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r>
      <w:tr>
        <w:trPr>
          <w:trHeight w:val="21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January 1</w:t>
            </w:r>
          </w:p>
        </w:tc>
        <w:tc>
          <w:tcPr>
            <w:tcW w:w="17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42"/>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2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4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880" w:type="dxa"/>
            <w:vAlign w:val="bottom"/>
          </w:tcPr>
          <w:p>
            <w:pPr>
              <w:spacing w:after="0"/>
              <w:rPr>
                <w:sz w:val="20"/>
                <w:szCs w:val="20"/>
                <w:color w:val="auto"/>
              </w:rPr>
            </w:pPr>
            <w:r>
              <w:rPr>
                <w:rFonts w:ascii="Arial" w:cs="Arial" w:eastAsia="Arial" w:hAnsi="Arial"/>
                <w:sz w:val="16"/>
                <w:szCs w:val="16"/>
                <w:color w:val="auto"/>
              </w:rPr>
              <w:t>Additions charged (credited) to operating results</w:t>
            </w: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219"/>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Recoveries and write-offs, net</w:t>
            </w:r>
          </w:p>
        </w:tc>
        <w:tc>
          <w:tcPr>
            <w:tcW w:w="1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4880" w:type="dxa"/>
            <w:vAlign w:val="bottom"/>
          </w:tcPr>
          <w:p>
            <w:pPr>
              <w:spacing w:after="0"/>
              <w:rPr>
                <w:sz w:val="20"/>
                <w:szCs w:val="20"/>
                <w:color w:val="auto"/>
              </w:rPr>
            </w:pPr>
            <w:r>
              <w:rPr>
                <w:rFonts w:ascii="Arial" w:cs="Arial" w:eastAsia="Arial" w:hAnsi="Arial"/>
                <w:sz w:val="16"/>
                <w:szCs w:val="16"/>
                <w:color w:val="auto"/>
              </w:rPr>
              <w:t>Balance, December 31</w:t>
            </w:r>
          </w:p>
        </w:tc>
        <w:tc>
          <w:tcPr>
            <w:tcW w:w="17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2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Valuation of debt and equity investments and certain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Available-for-sale and trading securities are stated at fair value, which is generally based on market prices or broker quotes. See the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December 31, 2016</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December 31, 2015</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Cash and Cash</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Short-Term</w:t>
            </w:r>
          </w:p>
        </w:tc>
        <w:tc>
          <w:tcPr>
            <w:tcW w:w="12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w w:val="98"/>
              </w:rPr>
              <w:t>Long-Term</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Cash and Cash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Short-Term</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Long-Term</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Equivalents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Investments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Equivalents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Measured at fair value:</w:t>
            </w: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346</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7"/>
              </w:rPr>
              <w:t>U.S. government agency and Treasury</w:t>
            </w:r>
          </w:p>
        </w:tc>
        <w:tc>
          <w:tcPr>
            <w:tcW w:w="12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490</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1,792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securities</w:t>
            </w:r>
          </w:p>
        </w:tc>
        <w:tc>
          <w:tcPr>
            <w:tcW w:w="120" w:type="dxa"/>
            <w:vAlign w:val="bottom"/>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4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943</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2,336</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2,218</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Equity-method investments</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Cost-method investments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on hand</w:t>
            </w: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211</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1,154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2,336</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235</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1,000</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2,218</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2016 and 2015, unrealized gains and losses associated with our available-for-sale investments were not material. We did not recognize any credit losses related to available-for-sale investments in 2016, 2015 and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ind w:right="300"/>
        <w:spacing w:after="0" w:line="277" w:lineRule="auto"/>
        <w:rPr>
          <w:sz w:val="20"/>
          <w:szCs w:val="20"/>
          <w:color w:val="auto"/>
        </w:rPr>
      </w:pPr>
      <w:r>
        <w:rPr>
          <w:rFonts w:ascii="Arial" w:cs="Arial" w:eastAsia="Arial" w:hAnsi="Arial"/>
          <w:sz w:val="18"/>
          <w:szCs w:val="18"/>
          <w:color w:val="auto"/>
        </w:rPr>
        <w:t>In 2016, 2015 and 2014, the proceeds from sales, redemptions and maturities of short-term available-for-sale investments were $3.39 billion, $2.89 billion and $2.97 billion, respectively. Gross realized gains and losses from these sales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as of December 31,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2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FF0FC"/>
            </w:tcBorders>
          </w:tcPr>
          <w:p>
            <w:pPr>
              <w:spacing w:after="0"/>
              <w:rPr>
                <w:sz w:val="18"/>
                <w:szCs w:val="18"/>
                <w:color w:val="auto"/>
              </w:rPr>
            </w:pPr>
          </w:p>
        </w:tc>
      </w:tr>
      <w:tr>
        <w:trPr>
          <w:trHeight w:val="213"/>
        </w:trPr>
        <w:tc>
          <w:tcPr>
            <w:tcW w:w="9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One year or less</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3,254</w:t>
            </w:r>
          </w:p>
        </w:tc>
        <w:tc>
          <w:tcPr>
            <w:tcW w:w="120" w:type="dxa"/>
            <w:vAlign w:val="bottom"/>
            <w:shd w:val="clear" w:color="auto" w:fill="CFF0FC"/>
          </w:tcPr>
          <w:p>
            <w:pPr>
              <w:spacing w:after="0"/>
              <w:rPr>
                <w:sz w:val="18"/>
                <w:szCs w:val="18"/>
                <w:color w:val="auto"/>
              </w:rPr>
            </w:pPr>
          </w:p>
        </w:tc>
      </w:tr>
      <w:tr>
        <w:trPr>
          <w:trHeight w:val="210"/>
        </w:trPr>
        <w:tc>
          <w:tcPr>
            <w:tcW w:w="9240" w:type="dxa"/>
            <w:vAlign w:val="bottom"/>
            <w:gridSpan w:val="2"/>
          </w:tcPr>
          <w:p>
            <w:pPr>
              <w:spacing w:after="0"/>
              <w:rPr>
                <w:sz w:val="20"/>
                <w:szCs w:val="20"/>
                <w:color w:val="auto"/>
              </w:rPr>
            </w:pPr>
            <w:r>
              <w:rPr>
                <w:rFonts w:ascii="Arial" w:cs="Arial" w:eastAsia="Arial" w:hAnsi="Arial"/>
                <w:sz w:val="16"/>
                <w:szCs w:val="16"/>
                <w:color w:val="auto"/>
              </w:rPr>
              <w:t>One to two years</w:t>
            </w: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Other-than-temporary declines and impairments in the values of these investments recognized in OI&amp;E were not material in 2016, 2015 and 2014.</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117"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0" w:lineRule="exact"/>
        <w:rPr>
          <w:rFonts w:ascii="Arial" w:cs="Arial" w:eastAsia="Arial" w:hAnsi="Arial"/>
          <w:sz w:val="17"/>
          <w:szCs w:val="17"/>
          <w:color w:val="auto"/>
        </w:rPr>
      </w:pPr>
    </w:p>
    <w:p>
      <w:pPr>
        <w:ind w:left="1040" w:right="220" w:hanging="519"/>
        <w:spacing w:after="0" w:line="312"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Uses inputs that are unobservable, supported by little or no market activity and reflect the use of significant management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These values are generally determined using pricing models that utilize management estimates of market participant assumptions. As of December 31, 2016 and 2015, we had no Level 3 assets or liabilities, other than certain assets held by our postretirement plans.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December 31, 2016</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December 31, 2015</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920" w:type="dxa"/>
            <w:vAlign w:val="bottom"/>
            <w:gridSpan w:val="2"/>
          </w:tcPr>
          <w:p>
            <w:pPr>
              <w:jc w:val="right"/>
              <w:ind w:right="743"/>
              <w:spacing w:after="0"/>
              <w:rPr>
                <w:sz w:val="20"/>
                <w:szCs w:val="20"/>
                <w:color w:val="auto"/>
              </w:rPr>
            </w:pPr>
            <w:r>
              <w:rPr>
                <w:rFonts w:ascii="Arial" w:cs="Arial" w:eastAsia="Arial" w:hAnsi="Arial"/>
                <w:sz w:val="16"/>
                <w:szCs w:val="16"/>
                <w:b w:val="1"/>
                <w:bCs w:val="1"/>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346</w:t>
            </w:r>
          </w:p>
        </w:tc>
        <w:tc>
          <w:tcPr>
            <w:tcW w:w="48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346</w:t>
            </w:r>
          </w:p>
        </w:tc>
        <w:tc>
          <w:tcPr>
            <w:tcW w:w="30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395</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Corporate obligations</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651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651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40" w:type="dxa"/>
            <w:vAlign w:val="bottom"/>
          </w:tcPr>
          <w:p>
            <w:pPr>
              <w:ind w:left="120"/>
              <w:spacing w:after="0"/>
              <w:rPr>
                <w:sz w:val="20"/>
                <w:szCs w:val="20"/>
                <w:color w:val="auto"/>
              </w:rPr>
            </w:pPr>
            <w:r>
              <w:rPr>
                <w:rFonts w:ascii="Arial" w:cs="Arial" w:eastAsia="Arial" w:hAnsi="Arial"/>
                <w:sz w:val="16"/>
                <w:szCs w:val="16"/>
                <w:color w:val="auto"/>
                <w:w w:val="90"/>
              </w:rPr>
              <w:t>U.S. government agency and Treasury</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2,042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2,282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Pr>
          <w:p>
            <w:pPr>
              <w:ind w:left="1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Mutual funds</w:t>
            </w:r>
          </w:p>
        </w:tc>
        <w:tc>
          <w:tcPr>
            <w:tcW w:w="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201</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201</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6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20" w:type="dxa"/>
            <w:vAlign w:val="bottom"/>
          </w:tcPr>
          <w:p>
            <w:pPr>
              <w:spacing w:after="0"/>
              <w:rPr>
                <w:sz w:val="21"/>
                <w:szCs w:val="21"/>
                <w:color w:val="auto"/>
              </w:rPr>
            </w:pPr>
          </w:p>
        </w:tc>
        <w:tc>
          <w:tcPr>
            <w:tcW w:w="900" w:type="dxa"/>
            <w:vAlign w:val="bottom"/>
          </w:tcPr>
          <w:p>
            <w:pPr>
              <w:jc w:val="right"/>
              <w:ind w:right="743"/>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w w:val="89"/>
              </w:rPr>
              <w:t>2,589</w:t>
            </w:r>
          </w:p>
        </w:tc>
        <w:tc>
          <w:tcPr>
            <w:tcW w:w="3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891</w:t>
            </w:r>
          </w:p>
        </w:tc>
        <w:tc>
          <w:tcPr>
            <w:tcW w:w="30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3,480</w:t>
            </w:r>
          </w:p>
        </w:tc>
        <w:tc>
          <w:tcPr>
            <w:tcW w:w="300" w:type="dxa"/>
            <w:vAlign w:val="bottom"/>
          </w:tcPr>
          <w:p>
            <w:pPr>
              <w:spacing w:after="0"/>
              <w:rPr>
                <w:sz w:val="21"/>
                <w:szCs w:val="21"/>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2,410</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767</w:t>
            </w:r>
          </w:p>
        </w:tc>
        <w:tc>
          <w:tcPr>
            <w:tcW w:w="30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6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Deferred compensation</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3"/>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218</w:t>
            </w:r>
          </w:p>
        </w:tc>
        <w:tc>
          <w:tcPr>
            <w:tcW w:w="48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6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900" w:type="dxa"/>
            <w:vAlign w:val="bottom"/>
          </w:tcPr>
          <w:p>
            <w:pPr>
              <w:jc w:val="right"/>
              <w:ind w:right="743"/>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218</w:t>
            </w:r>
          </w:p>
        </w:tc>
        <w:tc>
          <w:tcPr>
            <w:tcW w:w="300" w:type="dxa"/>
            <w:vAlign w:val="bottom"/>
            <w:vMerge w:val="continue"/>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vMerge w:val="continue"/>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218</w:t>
            </w:r>
          </w:p>
        </w:tc>
        <w:tc>
          <w:tcPr>
            <w:tcW w:w="30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198</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Goodwill, net, by segment as of December 31, 2016 and 2015,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2"/>
          </w:tcPr>
          <w:p>
            <w:pPr>
              <w:ind w:left="320"/>
              <w:spacing w:after="0"/>
              <w:rPr>
                <w:sz w:val="20"/>
                <w:szCs w:val="20"/>
                <w:color w:val="auto"/>
              </w:rPr>
            </w:pPr>
            <w:r>
              <w:rPr>
                <w:rFonts w:ascii="Arial" w:cs="Arial" w:eastAsia="Arial" w:hAnsi="Arial"/>
                <w:sz w:val="16"/>
                <w:szCs w:val="16"/>
                <w:b w:val="1"/>
                <w:bCs w:val="1"/>
                <w:color w:val="auto"/>
              </w:rPr>
              <w:t>Goodwill</w:t>
            </w:r>
          </w:p>
        </w:tc>
      </w:tr>
      <w:tr>
        <w:trPr>
          <w:trHeight w:val="213"/>
        </w:trPr>
        <w:tc>
          <w:tcPr>
            <w:tcW w:w="9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Analog</w:t>
            </w:r>
          </w:p>
        </w:tc>
        <w:tc>
          <w:tcPr>
            <w:tcW w:w="400" w:type="dxa"/>
            <w:vAlign w:val="bottom"/>
            <w:tcBorders>
              <w:top w:val="single" w:sz="8" w:color="auto"/>
            </w:tcBorders>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4,158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9200" w:type="dxa"/>
            <w:vAlign w:val="bottom"/>
          </w:tcPr>
          <w:p>
            <w:pPr>
              <w:spacing w:after="0"/>
              <w:rPr>
                <w:sz w:val="20"/>
                <w:szCs w:val="20"/>
                <w:color w:val="auto"/>
              </w:rPr>
            </w:pPr>
            <w:r>
              <w:rPr>
                <w:rFonts w:ascii="Arial" w:cs="Arial" w:eastAsia="Arial" w:hAnsi="Arial"/>
                <w:sz w:val="16"/>
                <w:szCs w:val="16"/>
                <w:color w:val="auto"/>
              </w:rPr>
              <w:t>Embedded Processing</w:t>
            </w: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r>
      <w:tr>
        <w:trPr>
          <w:trHeight w:val="219"/>
        </w:trPr>
        <w:tc>
          <w:tcPr>
            <w:tcW w:w="92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9"/>
                <w:szCs w:val="19"/>
                <w:color w:val="auto"/>
              </w:rPr>
            </w:pPr>
          </w:p>
        </w:tc>
      </w:tr>
      <w:tr>
        <w:trPr>
          <w:trHeight w:val="207"/>
        </w:trPr>
        <w:tc>
          <w:tcPr>
            <w:tcW w:w="9200" w:type="dxa"/>
            <w:vAlign w:val="bottom"/>
          </w:tcPr>
          <w:p>
            <w:pPr>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w:t>
            </w:r>
          </w:p>
        </w:tc>
        <w:tc>
          <w:tcPr>
            <w:tcW w:w="100" w:type="dxa"/>
            <w:vAlign w:val="bottom"/>
          </w:tcPr>
          <w:p>
            <w:pPr>
              <w:spacing w:after="0"/>
              <w:rPr>
                <w:sz w:val="17"/>
                <w:szCs w:val="17"/>
                <w:color w:val="auto"/>
              </w:rPr>
            </w:pPr>
          </w:p>
        </w:tc>
      </w:tr>
      <w:tr>
        <w:trPr>
          <w:trHeight w:val="20"/>
        </w:trPr>
        <w:tc>
          <w:tcPr>
            <w:tcW w:w="9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perform our annual goodwill impairment test as of October 1 and determine whether the fair value of each of our reporting units is in excess of its carrying value. Determination of fair value is based upon management estimates and judgment, using unobservable inputs in discounted cash flow models to calculate the fair value of each reporting unit. These unobservable inputs are considered Level 3 measurements, as described in Note 8. In 2016, 2015 and 2014, we determined no impairment was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net,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6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December 31, 2016</w:t>
            </w: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960"/>
              <w:spacing w:after="0"/>
              <w:rPr>
                <w:sz w:val="20"/>
                <w:szCs w:val="20"/>
                <w:color w:val="auto"/>
              </w:rPr>
            </w:pPr>
            <w:r>
              <w:rPr>
                <w:rFonts w:ascii="Arial" w:cs="Arial" w:eastAsia="Arial" w:hAnsi="Arial"/>
                <w:sz w:val="16"/>
                <w:szCs w:val="16"/>
                <w:b w:val="1"/>
                <w:bCs w:val="1"/>
                <w:color w:val="auto"/>
              </w:rPr>
              <w:t>December 31, 2015</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1860" w:type="dxa"/>
            <w:vAlign w:val="bottom"/>
          </w:tcPr>
          <w:p>
            <w:pPr>
              <w:ind w:left="240"/>
              <w:spacing w:after="0"/>
              <w:rPr>
                <w:sz w:val="20"/>
                <w:szCs w:val="20"/>
                <w:color w:val="auto"/>
              </w:rPr>
            </w:pPr>
            <w:r>
              <w:rPr>
                <w:rFonts w:ascii="Arial" w:cs="Arial" w:eastAsia="Arial" w:hAnsi="Arial"/>
                <w:sz w:val="16"/>
                <w:szCs w:val="16"/>
                <w:b w:val="1"/>
                <w:bCs w:val="1"/>
                <w:color w:val="auto"/>
              </w:rPr>
              <w:t>Acquisition-Related</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1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Gross Carrying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6"/>
              </w:rPr>
              <w:t>Gross Carrying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1860" w:type="dxa"/>
            <w:vAlign w:val="bottom"/>
            <w:tcBorders>
              <w:bottom w:val="single" w:sz="8" w:color="CFF0FC"/>
            </w:tcBorders>
          </w:tcPr>
          <w:p>
            <w:pPr>
              <w:ind w:left="540"/>
              <w:spacing w:after="0"/>
              <w:rPr>
                <w:sz w:val="20"/>
                <w:szCs w:val="20"/>
                <w:color w:val="auto"/>
              </w:rPr>
            </w:pPr>
            <w:r>
              <w:rPr>
                <w:rFonts w:ascii="Arial" w:cs="Arial" w:eastAsia="Arial" w:hAnsi="Arial"/>
                <w:sz w:val="16"/>
                <w:szCs w:val="16"/>
                <w:b w:val="1"/>
                <w:bCs w:val="1"/>
                <w:color w:val="auto"/>
              </w:rPr>
              <w:t>Intangibles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Net</w:t>
            </w: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Net</w:t>
            </w:r>
          </w:p>
        </w:tc>
        <w:tc>
          <w:tcPr>
            <w:tcW w:w="60" w:type="dxa"/>
            <w:vAlign w:val="bottom"/>
            <w:tcBorders>
              <w:bottom w:val="single" w:sz="8" w:color="CFF0FC"/>
            </w:tcBorders>
          </w:tcPr>
          <w:p>
            <w:pPr>
              <w:spacing w:after="0"/>
              <w:rPr>
                <w:sz w:val="19"/>
                <w:szCs w:val="19"/>
                <w:color w:val="auto"/>
              </w:rPr>
            </w:pPr>
          </w:p>
        </w:tc>
      </w:tr>
      <w:tr>
        <w:trPr>
          <w:trHeight w:val="213"/>
        </w:trPr>
        <w:tc>
          <w:tcPr>
            <w:tcW w:w="1860" w:type="dxa"/>
            <w:vAlign w:val="bottom"/>
            <w:shd w:val="clear" w:color="auto" w:fill="CFF0FC"/>
          </w:tcPr>
          <w:p>
            <w:pPr>
              <w:spacing w:after="0"/>
              <w:rPr>
                <w:sz w:val="20"/>
                <w:szCs w:val="20"/>
                <w:color w:val="auto"/>
              </w:rPr>
            </w:pPr>
            <w:r>
              <w:rPr>
                <w:rFonts w:ascii="Arial" w:cs="Arial" w:eastAsia="Arial" w:hAnsi="Arial"/>
                <w:sz w:val="16"/>
                <w:szCs w:val="16"/>
                <w:color w:val="auto"/>
              </w:rPr>
              <w:t>Developed technology</w:t>
            </w:r>
          </w:p>
        </w:tc>
        <w:tc>
          <w:tcPr>
            <w:tcW w:w="122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92"/>
              </w:rPr>
              <w:t>7 - 10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2,130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1,144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4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986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2"/>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1,203</w:t>
            </w:r>
          </w:p>
        </w:tc>
        <w:tc>
          <w:tcPr>
            <w:tcW w:w="60" w:type="dxa"/>
            <w:vAlign w:val="bottom"/>
            <w:shd w:val="clear" w:color="auto" w:fill="CFF0FC"/>
          </w:tcPr>
          <w:p>
            <w:pPr>
              <w:spacing w:after="0"/>
              <w:rPr>
                <w:sz w:val="18"/>
                <w:szCs w:val="18"/>
                <w:color w:val="auto"/>
              </w:rPr>
            </w:pPr>
          </w:p>
        </w:tc>
      </w:tr>
      <w:tr>
        <w:trPr>
          <w:trHeight w:val="213"/>
        </w:trPr>
        <w:tc>
          <w:tcPr>
            <w:tcW w:w="186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810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532</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379</w:t>
            </w:r>
          </w:p>
        </w:tc>
        <w:tc>
          <w:tcPr>
            <w:tcW w:w="60" w:type="dxa"/>
            <w:vAlign w:val="bottom"/>
          </w:tcPr>
          <w:p>
            <w:pPr>
              <w:spacing w:after="0"/>
              <w:rPr>
                <w:sz w:val="18"/>
                <w:szCs w:val="18"/>
                <w:color w:val="auto"/>
              </w:rPr>
            </w:pPr>
          </w:p>
        </w:tc>
      </w:tr>
      <w:tr>
        <w:trPr>
          <w:trHeight w:val="219"/>
        </w:trPr>
        <w:tc>
          <w:tcPr>
            <w:tcW w:w="1860" w:type="dxa"/>
            <w:vAlign w:val="bottom"/>
            <w:shd w:val="clear" w:color="auto" w:fill="CFF0FC"/>
          </w:tcPr>
          <w:p>
            <w:pPr>
              <w:spacing w:after="0"/>
              <w:rPr>
                <w:sz w:val="20"/>
                <w:szCs w:val="20"/>
                <w:color w:val="auto"/>
              </w:rPr>
            </w:pPr>
            <w:r>
              <w:rPr>
                <w:rFonts w:ascii="Arial" w:cs="Arial" w:eastAsia="Arial" w:hAnsi="Arial"/>
                <w:sz w:val="16"/>
                <w:szCs w:val="16"/>
                <w:color w:val="auto"/>
              </w:rPr>
              <w:t>Other intangibles</w:t>
            </w:r>
          </w:p>
        </w:tc>
        <w:tc>
          <w:tcPr>
            <w:tcW w:w="122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FF0FC"/>
          </w:tcPr>
          <w:p>
            <w:pPr>
              <w:spacing w:after="0"/>
              <w:rPr>
                <w:sz w:val="19"/>
                <w:szCs w:val="19"/>
                <w:color w:val="auto"/>
              </w:rPr>
            </w:pPr>
          </w:p>
        </w:tc>
      </w:tr>
      <w:tr>
        <w:trPr>
          <w:trHeight w:val="207"/>
        </w:trPr>
        <w:tc>
          <w:tcPr>
            <w:tcW w:w="186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2,940</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1,676</w:t>
            </w:r>
          </w:p>
        </w:tc>
        <w:tc>
          <w:tcPr>
            <w:tcW w:w="220" w:type="dxa"/>
            <w:vAlign w:val="bottom"/>
          </w:tcPr>
          <w:p>
            <w:pPr>
              <w:spacing w:after="0"/>
              <w:rPr>
                <w:sz w:val="17"/>
                <w:szCs w:val="17"/>
                <w:color w:val="auto"/>
              </w:rPr>
            </w:pPr>
          </w:p>
        </w:tc>
        <w:tc>
          <w:tcPr>
            <w:tcW w:w="800" w:type="dxa"/>
            <w:vAlign w:val="bottom"/>
          </w:tcPr>
          <w:p>
            <w:pPr>
              <w:jc w:val="right"/>
              <w:ind w:right="64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1,264</w:t>
            </w:r>
          </w:p>
        </w:tc>
        <w:tc>
          <w:tcPr>
            <w:tcW w:w="2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2,944</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1,361</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1,583</w:t>
            </w:r>
          </w:p>
        </w:tc>
        <w:tc>
          <w:tcPr>
            <w:tcW w:w="60" w:type="dxa"/>
            <w:vAlign w:val="bottom"/>
          </w:tcPr>
          <w:p>
            <w:pPr>
              <w:spacing w:after="0"/>
              <w:rPr>
                <w:sz w:val="17"/>
                <w:szCs w:val="17"/>
                <w:color w:val="auto"/>
              </w:rPr>
            </w:pPr>
          </w:p>
        </w:tc>
      </w:tr>
      <w:tr>
        <w:trPr>
          <w:trHeight w:val="20"/>
        </w:trPr>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Amortization of acquisition-related intangibles was $319 million, $319 million and $321 million in 2016, 2015 and 2014, respectively, primarily related to developed technology. Fully amortized assets are written off against accumulated amortization. Future estimated amortization of acquisition-related intangibles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Amortization of</w:t>
            </w:r>
          </w:p>
        </w:tc>
      </w:tr>
      <w:tr>
        <w:trPr>
          <w:trHeight w:val="203"/>
        </w:trPr>
        <w:tc>
          <w:tcPr>
            <w:tcW w:w="50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Acquisition-Related</w:t>
            </w:r>
          </w:p>
        </w:tc>
      </w:tr>
      <w:tr>
        <w:trPr>
          <w:trHeight w:val="213"/>
        </w:trPr>
        <w:tc>
          <w:tcPr>
            <w:tcW w:w="5040" w:type="dxa"/>
            <w:vAlign w:val="bottom"/>
            <w:tcBorders>
              <w:bottom w:val="single" w:sz="8" w:color="CFF0FC"/>
            </w:tcBorders>
          </w:tcPr>
          <w:p>
            <w:pPr>
              <w:spacing w:after="0"/>
              <w:rPr>
                <w:sz w:val="18"/>
                <w:szCs w:val="18"/>
                <w:color w:val="auto"/>
              </w:rPr>
            </w:pPr>
          </w:p>
        </w:tc>
        <w:tc>
          <w:tcPr>
            <w:tcW w:w="43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2"/>
              </w:rPr>
              <w:t>Intangibles</w:t>
            </w:r>
          </w:p>
        </w:tc>
        <w:tc>
          <w:tcPr>
            <w:tcW w:w="100" w:type="dxa"/>
            <w:vAlign w:val="bottom"/>
            <w:tcBorders>
              <w:bottom w:val="single" w:sz="8" w:color="CFF0FC"/>
            </w:tcBorders>
          </w:tcPr>
          <w:p>
            <w:pPr>
              <w:spacing w:after="0"/>
              <w:rPr>
                <w:sz w:val="18"/>
                <w:szCs w:val="18"/>
                <w:color w:val="auto"/>
              </w:rPr>
            </w:pPr>
          </w:p>
        </w:tc>
      </w:tr>
      <w:tr>
        <w:trPr>
          <w:trHeight w:val="213"/>
        </w:trPr>
        <w:tc>
          <w:tcPr>
            <w:tcW w:w="5040" w:type="dxa"/>
            <w:vAlign w:val="bottom"/>
            <w:shd w:val="clear" w:color="auto" w:fill="CFF0FC"/>
          </w:tcPr>
          <w:p>
            <w:pPr>
              <w:spacing w:after="0"/>
              <w:rPr>
                <w:sz w:val="20"/>
                <w:szCs w:val="20"/>
                <w:color w:val="auto"/>
              </w:rPr>
            </w:pPr>
            <w:r>
              <w:rPr>
                <w:rFonts w:ascii="Arial" w:cs="Arial" w:eastAsia="Arial" w:hAnsi="Arial"/>
                <w:sz w:val="16"/>
                <w:szCs w:val="16"/>
                <w:color w:val="auto"/>
              </w:rPr>
              <w:t>2017</w:t>
            </w:r>
          </w:p>
        </w:tc>
        <w:tc>
          <w:tcPr>
            <w:tcW w:w="45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FF0FC"/>
          </w:tcPr>
          <w:p>
            <w:pPr>
              <w:spacing w:after="0"/>
              <w:rPr>
                <w:sz w:val="18"/>
                <w:szCs w:val="18"/>
                <w:color w:val="auto"/>
              </w:rPr>
            </w:pPr>
          </w:p>
        </w:tc>
      </w:tr>
      <w:tr>
        <w:trPr>
          <w:trHeight w:val="213"/>
        </w:trPr>
        <w:tc>
          <w:tcPr>
            <w:tcW w:w="5040" w:type="dxa"/>
            <w:vAlign w:val="bottom"/>
          </w:tcPr>
          <w:p>
            <w:pPr>
              <w:spacing w:after="0"/>
              <w:rPr>
                <w:sz w:val="20"/>
                <w:szCs w:val="20"/>
                <w:color w:val="auto"/>
              </w:rPr>
            </w:pPr>
            <w:r>
              <w:rPr>
                <w:rFonts w:ascii="Arial" w:cs="Arial" w:eastAsia="Arial" w:hAnsi="Arial"/>
                <w:sz w:val="16"/>
                <w:szCs w:val="16"/>
                <w:color w:val="auto"/>
              </w:rPr>
              <w:t>2018</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r>
      <w:tr>
        <w:trPr>
          <w:trHeight w:val="219"/>
        </w:trPr>
        <w:tc>
          <w:tcPr>
            <w:tcW w:w="504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4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FF0FC"/>
          </w:tcPr>
          <w:p>
            <w:pPr>
              <w:spacing w:after="0"/>
              <w:rPr>
                <w:sz w:val="19"/>
                <w:szCs w:val="19"/>
                <w:color w:val="auto"/>
              </w:rPr>
            </w:pPr>
          </w:p>
        </w:tc>
      </w:tr>
      <w:tr>
        <w:trPr>
          <w:trHeight w:val="213"/>
        </w:trPr>
        <w:tc>
          <w:tcPr>
            <w:tcW w:w="5040" w:type="dxa"/>
            <w:vAlign w:val="bottom"/>
          </w:tcPr>
          <w:p>
            <w:pPr>
              <w:spacing w:after="0"/>
              <w:rPr>
                <w:sz w:val="20"/>
                <w:szCs w:val="20"/>
                <w:color w:val="auto"/>
              </w:rPr>
            </w:pPr>
            <w:r>
              <w:rPr>
                <w:rFonts w:ascii="Arial" w:cs="Arial" w:eastAsia="Arial" w:hAnsi="Arial"/>
                <w:sz w:val="16"/>
                <w:szCs w:val="16"/>
                <w:color w:val="auto"/>
              </w:rPr>
              <w:t>2020</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r>
      <w:tr>
        <w:trPr>
          <w:trHeight w:val="219"/>
        </w:trPr>
        <w:tc>
          <w:tcPr>
            <w:tcW w:w="504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4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FF0FC"/>
          </w:tcPr>
          <w:p>
            <w:pPr>
              <w:spacing w:after="0"/>
              <w:rPr>
                <w:sz w:val="19"/>
                <w:szCs w:val="19"/>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6"/>
                <w:szCs w:val="16"/>
                <w:color w:val="auto"/>
              </w:rPr>
              <w:t>Thereafter</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bl>
    <w:p>
      <w:pPr>
        <w:spacing w:after="0" w:line="397"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descriptions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various employee retirement plans, including defined contribution, defined benefit and retiree health care benefit plans. For qualifying employees, we offer deferred compensation arrangements.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retirement plans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principal retirement plans in the U.S. are a defined contribution plan; an enhanced defined contribution plan; and qualified and non-qualified defined benefit pension plans. The defined benefit plans were closed to new participants in 1997, and then current participants were allowed to make a one-time election to continue accruing a benefit in the plans, or to cease accruing a benefit and instead to participate in the enhanced defined contribution plan described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right="120"/>
        <w:spacing w:after="0" w:line="272" w:lineRule="auto"/>
        <w:rPr>
          <w:sz w:val="20"/>
          <w:szCs w:val="20"/>
          <w:color w:val="auto"/>
        </w:rPr>
      </w:pPr>
      <w:r>
        <w:rPr>
          <w:rFonts w:ascii="Arial" w:cs="Arial" w:eastAsia="Arial" w:hAnsi="Arial"/>
          <w:sz w:val="17"/>
          <w:szCs w:val="17"/>
          <w:color w:val="auto"/>
        </w:rPr>
        <w:t>Both defined contribution plans offer an employer-matching savings option that allows employees to make pre-tax contributions to various investment choices. Employees who elected to continue accruing a benefit in the qualified defined benefit pension plans may also participate in the defined contribution plan, where employer-matching contributions are provided for up to 2 percent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do not receive the fixed employer contribution of 2 percent of the employee’s annual eligible earnings.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December 31, 2016 and 2015, as a result of employees’ elections, TI’s U.S. defined contribution plans held shares of TI common stock totaling 11 million shares and 13 million shares valued at $796 million and $704 million, respectively. Dividends paid on these shares in 2016 and 2015 were $20 million and $19 million, respectively. Effective April 1, 2016, the TI common stock fund was frozen to new contributions or transfers into the fund.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aggregate expense for the U.S. defined contribution plans was $60 million in 2016, 2015 and 2014.</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upon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retiree health care benefit plan</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Non-U.S. retirement plans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2016 and 2015, as a result of employees’ elections, TI’s non-U.S. defined contribution plans held TI common stock valued at $20 million and $17 million, respectively. Dividends paid on these shares of TI common stock in 2016 and 2015 were not material.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on our Consolidated Statements of Income and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7"/>
          </w:tcPr>
          <w:p>
            <w:pPr>
              <w:jc w:val="right"/>
              <w:ind w:right="60"/>
              <w:spacing w:after="0"/>
              <w:rPr>
                <w:sz w:val="20"/>
                <w:szCs w:val="20"/>
                <w:color w:val="auto"/>
              </w:rPr>
            </w:pPr>
            <w:r>
              <w:rPr>
                <w:rFonts w:ascii="Arial" w:cs="Arial" w:eastAsia="Arial" w:hAnsi="Arial"/>
                <w:sz w:val="16"/>
                <w:szCs w:val="16"/>
                <w:b w:val="1"/>
                <w:bCs w:val="1"/>
                <w:color w:val="auto"/>
              </w:rPr>
              <w:t>U.S. Defined Benefit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10"/>
          </w:tcPr>
          <w:p>
            <w:pPr>
              <w:jc w:val="right"/>
              <w:ind w:right="700"/>
              <w:spacing w:after="0"/>
              <w:rPr>
                <w:sz w:val="20"/>
                <w:szCs w:val="20"/>
                <w:color w:val="auto"/>
              </w:rPr>
            </w:pPr>
            <w:r>
              <w:rPr>
                <w:rFonts w:ascii="Arial" w:cs="Arial" w:eastAsia="Arial" w:hAnsi="Arial"/>
                <w:sz w:val="16"/>
                <w:szCs w:val="16"/>
                <w:b w:val="1"/>
                <w:bCs w:val="1"/>
                <w:color w:val="auto"/>
              </w:rPr>
              <w:t>U.S. Retiree Health Care</w:t>
            </w:r>
          </w:p>
        </w:tc>
        <w:tc>
          <w:tcPr>
            <w:tcW w:w="140" w:type="dxa"/>
            <w:vAlign w:val="bottom"/>
          </w:tcPr>
          <w:p>
            <w:pPr>
              <w:spacing w:after="0"/>
              <w:rPr>
                <w:sz w:val="18"/>
                <w:szCs w:val="18"/>
                <w:color w:val="auto"/>
              </w:rPr>
            </w:pPr>
          </w:p>
        </w:tc>
        <w:tc>
          <w:tcPr>
            <w:tcW w:w="1900" w:type="dxa"/>
            <w:vAlign w:val="bottom"/>
            <w:gridSpan w:val="8"/>
          </w:tcPr>
          <w:p>
            <w:pPr>
              <w:jc w:val="right"/>
              <w:spacing w:after="0"/>
              <w:rPr>
                <w:sz w:val="20"/>
                <w:szCs w:val="20"/>
                <w:color w:val="auto"/>
              </w:rPr>
            </w:pPr>
            <w:r>
              <w:rPr>
                <w:rFonts w:ascii="Arial" w:cs="Arial" w:eastAsia="Arial" w:hAnsi="Arial"/>
                <w:sz w:val="16"/>
                <w:szCs w:val="16"/>
                <w:b w:val="1"/>
                <w:bCs w:val="1"/>
                <w:color w:val="auto"/>
                <w:w w:val="98"/>
              </w:rPr>
              <w:t>Non-U.S. Defined Benefit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4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2014</w:t>
            </w:r>
          </w:p>
        </w:tc>
        <w:tc>
          <w:tcPr>
            <w:tcW w:w="2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4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4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2014</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Service cost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20"/>
                <w:szCs w:val="20"/>
                <w:color w:val="auto"/>
              </w:rPr>
            </w:pPr>
            <w:r>
              <w:rPr>
                <w:rFonts w:ascii="Arial" w:cs="Arial" w:eastAsia="Arial" w:hAnsi="Arial"/>
                <w:sz w:val="16"/>
                <w:szCs w:val="16"/>
                <w:color w:val="auto"/>
              </w:rPr>
              <w:t>Interest cost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Expected return on plan assets</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(41)</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(42)</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(68)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8"/>
              </w:rPr>
              <w:t>(80)</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20"/>
                <w:szCs w:val="20"/>
                <w:color w:val="auto"/>
              </w:rPr>
            </w:pPr>
            <w:r>
              <w:rPr>
                <w:rFonts w:ascii="Arial" w:cs="Arial" w:eastAsia="Arial" w:hAnsi="Arial"/>
                <w:sz w:val="16"/>
                <w:szCs w:val="16"/>
                <w:color w:val="auto"/>
              </w:rPr>
              <w:t>Amortization of prior service cost (credit)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Recognized net actuarial loss</w:t>
            </w: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periodic benefit costs</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Settlement losses</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20"/>
                <w:szCs w:val="20"/>
                <w:color w:val="auto"/>
              </w:rPr>
            </w:pPr>
            <w:r>
              <w:rPr>
                <w:rFonts w:ascii="Arial" w:cs="Arial" w:eastAsia="Arial" w:hAnsi="Arial"/>
                <w:sz w:val="16"/>
                <w:szCs w:val="16"/>
                <w:color w:val="auto"/>
              </w:rPr>
              <w:t>Curtailment gain</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including other postretirement losses</w:t>
            </w: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65</w:t>
            </w: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43</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(gains)</w:t>
            </w:r>
          </w:p>
        </w:tc>
        <w:tc>
          <w:tcPr>
            <w:tcW w:w="14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jc w:val="both"/>
        <w:ind w:right="80"/>
        <w:spacing w:after="0" w:line="264"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benefit obligations and plan assets for defined benefit and retiree health care benefit plans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44"/>
              <w:spacing w:after="0"/>
              <w:rPr>
                <w:sz w:val="20"/>
                <w:szCs w:val="20"/>
                <w:color w:val="auto"/>
              </w:rPr>
            </w:pPr>
            <w:r>
              <w:rPr>
                <w:rFonts w:ascii="Arial" w:cs="Arial" w:eastAsia="Arial" w:hAnsi="Arial"/>
                <w:sz w:val="16"/>
                <w:szCs w:val="16"/>
                <w:b w:val="1"/>
                <w:bCs w:val="1"/>
                <w:color w:val="auto"/>
              </w:rPr>
              <w:t>U.S.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4"/>
              <w:spacing w:after="0"/>
              <w:rPr>
                <w:sz w:val="20"/>
                <w:szCs w:val="20"/>
                <w:color w:val="auto"/>
              </w:rPr>
            </w:pPr>
            <w:r>
              <w:rPr>
                <w:rFonts w:ascii="Arial" w:cs="Arial" w:eastAsia="Arial" w:hAnsi="Arial"/>
                <w:sz w:val="16"/>
                <w:szCs w:val="16"/>
                <w:b w:val="1"/>
                <w:bCs w:val="1"/>
                <w:color w:val="auto"/>
              </w:rPr>
              <w:t>U.S.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6"/>
                <w:szCs w:val="16"/>
                <w:b w:val="1"/>
                <w:bCs w:val="1"/>
                <w:color w:val="auto"/>
              </w:rPr>
              <w:t>Non-U.S.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Defined Benefit</w:t>
            </w:r>
          </w:p>
        </w:tc>
        <w:tc>
          <w:tcPr>
            <w:tcW w:w="160" w:type="dxa"/>
            <w:vAlign w:val="bottom"/>
          </w:tcPr>
          <w:p>
            <w:pPr>
              <w:spacing w:after="0"/>
              <w:rPr>
                <w:sz w:val="19"/>
                <w:szCs w:val="19"/>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6"/>
              </w:rPr>
              <w:t>Retiree Health Care</w:t>
            </w:r>
          </w:p>
        </w:tc>
        <w:tc>
          <w:tcPr>
            <w:tcW w:w="160" w:type="dxa"/>
            <w:vAlign w:val="bottom"/>
          </w:tcPr>
          <w:p>
            <w:pPr>
              <w:spacing w:after="0"/>
              <w:rPr>
                <w:sz w:val="19"/>
                <w:szCs w:val="19"/>
                <w:color w:val="auto"/>
              </w:rPr>
            </w:pPr>
          </w:p>
        </w:tc>
        <w:tc>
          <w:tcPr>
            <w:tcW w:w="1840" w:type="dxa"/>
            <w:vAlign w:val="bottom"/>
            <w:gridSpan w:val="6"/>
          </w:tcPr>
          <w:p>
            <w:pPr>
              <w:jc w:val="right"/>
              <w:ind w:right="520"/>
              <w:spacing w:after="0"/>
              <w:rPr>
                <w:sz w:val="20"/>
                <w:szCs w:val="20"/>
                <w:color w:val="auto"/>
              </w:rPr>
            </w:pPr>
            <w:r>
              <w:rPr>
                <w:rFonts w:ascii="Arial" w:cs="Arial" w:eastAsia="Arial" w:hAnsi="Arial"/>
                <w:sz w:val="16"/>
                <w:szCs w:val="16"/>
                <w:b w:val="1"/>
                <w:bCs w:val="1"/>
                <w:color w:val="auto"/>
              </w:rPr>
              <w:t>Defined Benefit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bottom w:val="single" w:sz="8" w:color="CFF0FC"/>
            </w:tcBorders>
          </w:tcPr>
          <w:p>
            <w:pPr>
              <w:spacing w:after="0"/>
              <w:rPr>
                <w:sz w:val="18"/>
                <w:szCs w:val="18"/>
                <w:color w:val="auto"/>
              </w:rPr>
            </w:pPr>
          </w:p>
        </w:tc>
        <w:tc>
          <w:tcPr>
            <w:tcW w:w="2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Change in plan benefit obligation</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6"/>
                <w:szCs w:val="16"/>
                <w:color w:val="auto"/>
              </w:rPr>
              <w:t>Benefit obligation at beginning of year:</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1,033</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1,076</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463</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513</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2,231</w:t>
            </w:r>
          </w:p>
        </w:tc>
        <w:tc>
          <w:tcPr>
            <w:tcW w:w="220" w:type="dxa"/>
            <w:vAlign w:val="bottom"/>
          </w:tcPr>
          <w:p>
            <w:pPr>
              <w:spacing w:after="0"/>
              <w:rPr>
                <w:sz w:val="18"/>
                <w:szCs w:val="18"/>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Participant contributions</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Benefits paid</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(9)</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(38)</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(77)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Medicare subsidy</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Actuarial loss (gain)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(27)</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Settlements</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(85)</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(94)</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Plan amendments</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Effects of exchange rate changes</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(136)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Benefit obligation at end of year (BO)</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1,030</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w:t>
            </w:r>
          </w:p>
        </w:tc>
        <w:tc>
          <w:tcPr>
            <w:tcW w:w="24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2,361</w:t>
            </w:r>
          </w:p>
        </w:tc>
        <w:tc>
          <w:tcPr>
            <w:tcW w:w="2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b w:val="1"/>
                <w:bCs w:val="1"/>
                <w:color w:val="auto"/>
              </w:rPr>
              <w:t>Change in plan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Fair value of plan assets at beginning of year:</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2,134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Actual return on plan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Employer contributions (funding of qualified plans)</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Employer contributions (payments for non-qualified plans)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Participant contributions</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Benefits paid</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(9)</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(38)</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(77)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Settlements</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(85)</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(94)</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Effects of exchange rate changes</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(133)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120"/>
              <w:spacing w:after="0"/>
              <w:rPr>
                <w:sz w:val="20"/>
                <w:szCs w:val="20"/>
                <w:color w:val="auto"/>
              </w:rPr>
            </w:pPr>
            <w:r>
              <w:rPr>
                <w:rFonts w:ascii="Arial" w:cs="Arial" w:eastAsia="Arial" w:hAnsi="Arial"/>
                <w:sz w:val="16"/>
                <w:szCs w:val="16"/>
                <w:color w:val="auto"/>
              </w:rPr>
              <w:t>Fair value of plan assets at end of year (FVPA)</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1,034</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1,019</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434</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441</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2,309</w:t>
            </w:r>
          </w:p>
        </w:tc>
        <w:tc>
          <w:tcPr>
            <w:tcW w:w="220" w:type="dxa"/>
            <w:vAlign w:val="bottom"/>
          </w:tcPr>
          <w:p>
            <w:pPr>
              <w:spacing w:after="0"/>
              <w:rPr>
                <w:sz w:val="17"/>
                <w:szCs w:val="17"/>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Funded status (FVPA – BO) at end of year</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(22)</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220" w:type="dxa"/>
            <w:vAlign w:val="bottom"/>
          </w:tcPr>
          <w:p>
            <w:pPr>
              <w:spacing w:after="0"/>
              <w:rPr>
                <w:sz w:val="17"/>
                <w:szCs w:val="17"/>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our Consolidated Balance Sheets as of December 31,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U.S. Defined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b w:val="1"/>
                <w:bCs w:val="1"/>
                <w:color w:val="auto"/>
              </w:rPr>
              <w:t>U.S. Retiree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Non-U.S.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Pr>
          <w:p>
            <w:pPr>
              <w:spacing w:after="0"/>
              <w:rPr>
                <w:sz w:val="19"/>
                <w:szCs w:val="19"/>
                <w:color w:val="auto"/>
              </w:rPr>
            </w:pPr>
          </w:p>
        </w:tc>
        <w:tc>
          <w:tcPr>
            <w:tcW w:w="1320" w:type="dxa"/>
            <w:vAlign w:val="bottom"/>
          </w:tcPr>
          <w:p>
            <w:pPr>
              <w:jc w:val="right"/>
              <w:ind w:right="182"/>
              <w:spacing w:after="0"/>
              <w:rPr>
                <w:sz w:val="20"/>
                <w:szCs w:val="20"/>
                <w:color w:val="auto"/>
              </w:rPr>
            </w:pPr>
            <w:r>
              <w:rPr>
                <w:rFonts w:ascii="Arial" w:cs="Arial" w:eastAsia="Arial" w:hAnsi="Arial"/>
                <w:sz w:val="16"/>
                <w:szCs w:val="16"/>
                <w:b w:val="1"/>
                <w:bCs w:val="1"/>
                <w:color w:val="auto"/>
              </w:rPr>
              <w:t>Benefit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b w:val="1"/>
                <w:bCs w:val="1"/>
                <w:color w:val="auto"/>
              </w:rPr>
              <w:t>Health Care</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8"/>
              </w:rPr>
              <w:t>Defined Benefit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2016</w:t>
            </w: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b w:val="1"/>
                <w:bCs w:val="1"/>
                <w:color w:val="auto"/>
              </w:rPr>
              <w:t>Overfunded retirement plans</w:t>
            </w:r>
          </w:p>
        </w:tc>
        <w:tc>
          <w:tcPr>
            <w:tcW w:w="1320" w:type="dxa"/>
            <w:vAlign w:val="bottom"/>
          </w:tcPr>
          <w:p>
            <w:pPr>
              <w:jc w:val="right"/>
              <w:ind w:right="116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300" w:type="dxa"/>
            <w:vAlign w:val="bottom"/>
          </w:tcPr>
          <w:p>
            <w:pPr>
              <w:spacing w:after="0"/>
              <w:rPr>
                <w:sz w:val="18"/>
                <w:szCs w:val="18"/>
                <w:color w:val="auto"/>
              </w:rPr>
            </w:pPr>
          </w:p>
        </w:tc>
        <w:tc>
          <w:tcPr>
            <w:tcW w:w="1340" w:type="dxa"/>
            <w:vAlign w:val="bottom"/>
          </w:tcPr>
          <w:p>
            <w:pPr>
              <w:jc w:val="right"/>
              <w:ind w:right="1182"/>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8"/>
                <w:szCs w:val="18"/>
                <w:color w:val="auto"/>
              </w:rPr>
            </w:pPr>
          </w:p>
        </w:tc>
        <w:tc>
          <w:tcPr>
            <w:tcW w:w="30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80" w:type="dxa"/>
            <w:vAlign w:val="bottom"/>
          </w:tcPr>
          <w:p>
            <w:pPr>
              <w:spacing w:after="0"/>
              <w:rPr>
                <w:sz w:val="18"/>
                <w:szCs w:val="18"/>
                <w:color w:val="auto"/>
              </w:rPr>
            </w:pPr>
          </w:p>
        </w:tc>
        <w:tc>
          <w:tcPr>
            <w:tcW w:w="500" w:type="dxa"/>
            <w:vAlign w:val="bottom"/>
            <w:gridSpan w:val="2"/>
          </w:tcPr>
          <w:p>
            <w:pPr>
              <w:jc w:val="right"/>
              <w:ind w:right="204"/>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Accrued expenses and other liabilities &amp;</w:t>
            </w:r>
          </w:p>
        </w:tc>
        <w:tc>
          <w:tcPr>
            <w:tcW w:w="1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b w:val="1"/>
                <w:bCs w:val="1"/>
                <w:color w:val="auto"/>
              </w:rPr>
              <w:t>Deferred credits and other liabilities</w:t>
            </w:r>
          </w:p>
        </w:tc>
        <w:tc>
          <w:tcPr>
            <w:tcW w:w="13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(9)</w:t>
            </w:r>
          </w:p>
        </w:tc>
        <w:tc>
          <w:tcPr>
            <w:tcW w:w="13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b w:val="1"/>
                <w:bCs w:val="1"/>
                <w:color w:val="auto"/>
              </w:rPr>
              <w:t>Underfunded retirement plans</w:t>
            </w:r>
          </w:p>
        </w:tc>
        <w:tc>
          <w:tcPr>
            <w:tcW w:w="132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(53)</w:t>
            </w:r>
          </w:p>
        </w:tc>
        <w:tc>
          <w:tcPr>
            <w:tcW w:w="13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(129)</w:t>
            </w:r>
          </w:p>
        </w:tc>
        <w:tc>
          <w:tcPr>
            <w:tcW w:w="0" w:type="dxa"/>
            <w:vAlign w:val="bottom"/>
          </w:tcPr>
          <w:p>
            <w:pPr>
              <w:spacing w:after="0"/>
              <w:rPr>
                <w:sz w:val="1"/>
                <w:szCs w:val="1"/>
                <w:color w:val="auto"/>
              </w:rPr>
            </w:pPr>
          </w:p>
        </w:tc>
      </w:tr>
      <w:tr>
        <w:trPr>
          <w:trHeight w:val="210"/>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Funded status (FVPA – BO) at end of 2016</w:t>
            </w:r>
          </w:p>
        </w:tc>
        <w:tc>
          <w:tcPr>
            <w:tcW w:w="1320" w:type="dxa"/>
            <w:vAlign w:val="bottom"/>
            <w:tcBorders>
              <w:top w:val="single" w:sz="8" w:color="auto"/>
              <w:bottom w:val="single" w:sz="8" w:color="auto"/>
            </w:tcBorders>
            <w:shd w:val="clear" w:color="auto" w:fill="CFF0FC"/>
          </w:tcPr>
          <w:p>
            <w:pPr>
              <w:jc w:val="right"/>
              <w:ind w:right="116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ind w:right="1182"/>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2015</w:t>
            </w: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Overfunded retirement plans</w:t>
            </w:r>
          </w:p>
        </w:tc>
        <w:tc>
          <w:tcPr>
            <w:tcW w:w="1320" w:type="dxa"/>
            <w:vAlign w:val="bottom"/>
          </w:tcPr>
          <w:p>
            <w:pPr>
              <w:jc w:val="right"/>
              <w:ind w:right="1162"/>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51</w:t>
            </w:r>
          </w:p>
        </w:tc>
        <w:tc>
          <w:tcPr>
            <w:tcW w:w="300" w:type="dxa"/>
            <w:vAlign w:val="bottom"/>
          </w:tcPr>
          <w:p>
            <w:pPr>
              <w:spacing w:after="0"/>
              <w:rPr>
                <w:sz w:val="18"/>
                <w:szCs w:val="18"/>
                <w:color w:val="auto"/>
              </w:rPr>
            </w:pPr>
          </w:p>
        </w:tc>
        <w:tc>
          <w:tcPr>
            <w:tcW w:w="1340" w:type="dxa"/>
            <w:vAlign w:val="bottom"/>
          </w:tcPr>
          <w:p>
            <w:pPr>
              <w:jc w:val="right"/>
              <w:ind w:right="118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8"/>
                <w:szCs w:val="18"/>
                <w:color w:val="auto"/>
              </w:rPr>
            </w:pPr>
          </w:p>
        </w:tc>
        <w:tc>
          <w:tcPr>
            <w:tcW w:w="50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Accrued expenses and other liabilities &amp;</w:t>
            </w: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credits and other liabilities</w:t>
            </w:r>
          </w:p>
        </w:tc>
        <w:tc>
          <w:tcPr>
            <w:tcW w:w="13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(16)</w:t>
            </w:r>
          </w:p>
        </w:tc>
        <w:tc>
          <w:tcPr>
            <w:tcW w:w="13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Underfunded retirement plans</w:t>
            </w:r>
          </w:p>
        </w:tc>
        <w:tc>
          <w:tcPr>
            <w:tcW w:w="132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(49)</w:t>
            </w:r>
          </w:p>
        </w:tc>
        <w:tc>
          <w:tcPr>
            <w:tcW w:w="13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Funded status (FVPA – BO) at end of 2015</w:t>
            </w: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FF0FC"/>
          </w:tcPr>
          <w:p>
            <w:pPr>
              <w:spacing w:after="0"/>
              <w:rPr>
                <w:sz w:val="18"/>
                <w:szCs w:val="18"/>
                <w:color w:val="auto"/>
              </w:rPr>
            </w:pPr>
          </w:p>
        </w:tc>
        <w:tc>
          <w:tcPr>
            <w:tcW w:w="1320" w:type="dxa"/>
            <w:vAlign w:val="bottom"/>
            <w:shd w:val="clear" w:color="auto" w:fill="CFF0FC"/>
          </w:tcPr>
          <w:p>
            <w:pPr>
              <w:jc w:val="right"/>
              <w:ind w:right="1162"/>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(14)</w:t>
            </w:r>
          </w:p>
        </w:tc>
        <w:tc>
          <w:tcPr>
            <w:tcW w:w="1340" w:type="dxa"/>
            <w:vAlign w:val="bottom"/>
            <w:shd w:val="clear" w:color="auto" w:fill="CFF0FC"/>
          </w:tcPr>
          <w:p>
            <w:pPr>
              <w:jc w:val="right"/>
              <w:ind w:right="118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(22)</w:t>
            </w:r>
          </w:p>
        </w:tc>
        <w:tc>
          <w:tcPr>
            <w:tcW w:w="3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w:t>
            </w:r>
          </w:p>
        </w:tc>
        <w:tc>
          <w:tcPr>
            <w:tcW w:w="500" w:type="dxa"/>
            <w:vAlign w:val="bottom"/>
            <w:gridSpan w:val="2"/>
            <w:shd w:val="clear" w:color="auto" w:fill="CFF0FC"/>
          </w:tcPr>
          <w:p>
            <w:pPr>
              <w:jc w:val="right"/>
              <w:ind w:right="204"/>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$100 million to our retirement benefit plans in 2017. The amounts shown for underfunded U.S. defined benefit plans were for non-qualified pension plans, which we do not fund because contributions to them are not tax deductible.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jc w:val="both"/>
        <w:ind w:right="240"/>
        <w:spacing w:after="0" w:line="264" w:lineRule="auto"/>
        <w:rPr>
          <w:sz w:val="20"/>
          <w:szCs w:val="20"/>
          <w:color w:val="auto"/>
        </w:rPr>
      </w:pPr>
      <w:r>
        <w:rPr>
          <w:rFonts w:ascii="Arial" w:cs="Arial" w:eastAsia="Arial" w:hAnsi="Arial"/>
          <w:sz w:val="18"/>
          <w:szCs w:val="18"/>
          <w:color w:val="auto"/>
        </w:rPr>
        <w:t>Accumulated benefit obligations, which are generally less than the projected benefit obligations as they exclude the impact of future salary increases, were $926 million and $948 million as of December 31, 2016 and 2015, respectively, for the U.S. defined benefit plans, and $2.22 billion and $2.09 billion as of December 31, 2016 and 2015, respectively, for the non-U.S. defined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AOCI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U.S. Defined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U.S. Retiree</w:t>
            </w:r>
          </w:p>
        </w:tc>
        <w:tc>
          <w:tcPr>
            <w:tcW w:w="120" w:type="dxa"/>
            <w:vAlign w:val="bottom"/>
          </w:tcPr>
          <w:p>
            <w:pPr>
              <w:spacing w:after="0"/>
              <w:rPr>
                <w:sz w:val="18"/>
                <w:szCs w:val="18"/>
                <w:color w:val="auto"/>
              </w:rPr>
            </w:pPr>
          </w:p>
        </w:tc>
        <w:tc>
          <w:tcPr>
            <w:tcW w:w="174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Non-U.S.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Benefit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Health Care</w:t>
            </w:r>
          </w:p>
        </w:tc>
        <w:tc>
          <w:tcPr>
            <w:tcW w:w="120" w:type="dxa"/>
            <w:vAlign w:val="bottom"/>
          </w:tcPr>
          <w:p>
            <w:pPr>
              <w:spacing w:after="0"/>
              <w:rPr>
                <w:sz w:val="19"/>
                <w:szCs w:val="19"/>
                <w:color w:val="auto"/>
              </w:rPr>
            </w:pPr>
          </w:p>
        </w:tc>
        <w:tc>
          <w:tcPr>
            <w:tcW w:w="174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Defined Benefit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Net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Net</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Prior</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Net</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center"/>
              <w:ind w:left="100"/>
              <w:spacing w:after="0"/>
              <w:rPr>
                <w:sz w:val="20"/>
                <w:szCs w:val="20"/>
                <w:color w:val="auto"/>
              </w:rPr>
            </w:pPr>
            <w:r>
              <w:rPr>
                <w:rFonts w:ascii="Arial" w:cs="Arial" w:eastAsia="Arial" w:hAnsi="Arial"/>
                <w:sz w:val="16"/>
                <w:szCs w:val="16"/>
                <w:b w:val="1"/>
                <w:bCs w:val="1"/>
                <w:color w:val="auto"/>
              </w:rPr>
              <w:t>Prior</w:t>
            </w:r>
          </w:p>
        </w:tc>
        <w:tc>
          <w:tcPr>
            <w:tcW w:w="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Actuarial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Actuarial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Service</w:t>
            </w: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Actuarial</w:t>
            </w:r>
          </w:p>
        </w:tc>
        <w:tc>
          <w:tcPr>
            <w:tcW w:w="80" w:type="dxa"/>
            <w:vAlign w:val="bottom"/>
          </w:tcPr>
          <w:p>
            <w:pPr>
              <w:spacing w:after="0"/>
              <w:rPr>
                <w:sz w:val="17"/>
                <w:szCs w:val="17"/>
                <w:color w:val="auto"/>
              </w:rPr>
            </w:pPr>
          </w:p>
        </w:tc>
        <w:tc>
          <w:tcPr>
            <w:tcW w:w="720" w:type="dxa"/>
            <w:vAlign w:val="bottom"/>
          </w:tcPr>
          <w:p>
            <w:pPr>
              <w:jc w:val="center"/>
              <w:ind w:left="100"/>
              <w:spacing w:after="0"/>
              <w:rPr>
                <w:sz w:val="20"/>
                <w:szCs w:val="20"/>
                <w:color w:val="auto"/>
              </w:rPr>
            </w:pPr>
            <w:r>
              <w:rPr>
                <w:rFonts w:ascii="Arial" w:cs="Arial" w:eastAsia="Arial" w:hAnsi="Arial"/>
                <w:sz w:val="16"/>
                <w:szCs w:val="16"/>
                <w:b w:val="1"/>
                <w:bCs w:val="1"/>
                <w:color w:val="auto"/>
                <w:w w:val="87"/>
              </w:rPr>
              <w:t>Service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Actuarial</w:t>
            </w:r>
          </w:p>
        </w:tc>
        <w:tc>
          <w:tcPr>
            <w:tcW w:w="66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w w:val="87"/>
              </w:rPr>
              <w:t>Service</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Credit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b w:val="1"/>
                <w:bCs w:val="1"/>
                <w:color w:val="auto"/>
                <w:w w:val="99"/>
              </w:rPr>
              <w:t>Credit</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5"/>
              </w:rPr>
              <w:t>Loss</w:t>
            </w:r>
          </w:p>
        </w:tc>
        <w:tc>
          <w:tcPr>
            <w:tcW w:w="2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Credit</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AOCI balance, net of taxes, December 31, 2015</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6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b w:val="1"/>
                <w:bCs w:val="1"/>
                <w:color w:val="auto"/>
              </w:rPr>
              <w:t>Changes in AOCI by category: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Adjustments</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w w:val="99"/>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140"/>
              <w:spacing w:after="0"/>
              <w:rPr>
                <w:sz w:val="20"/>
                <w:szCs w:val="20"/>
                <w:color w:val="auto"/>
              </w:rPr>
            </w:pPr>
            <w:r>
              <w:rPr>
                <w:rFonts w:ascii="Arial" w:cs="Arial" w:eastAsia="Arial" w:hAnsi="Arial"/>
                <w:sz w:val="16"/>
                <w:szCs w:val="16"/>
                <w:b w:val="1"/>
                <w:bCs w:val="1"/>
                <w:color w:val="auto"/>
              </w:rPr>
              <w:t>Recognized within Net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(27)</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Tax effect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(11)</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Total change to AOCI</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AOCI balance, net of taxes, December 31, 2016</w:t>
            </w:r>
          </w:p>
        </w:tc>
        <w:tc>
          <w:tcPr>
            <w:tcW w:w="3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133</w:t>
            </w:r>
          </w:p>
        </w:tc>
        <w:tc>
          <w:tcPr>
            <w:tcW w:w="14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58</w:t>
            </w:r>
          </w:p>
        </w:tc>
        <w:tc>
          <w:tcPr>
            <w:tcW w:w="12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2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351</w:t>
            </w:r>
          </w:p>
        </w:tc>
        <w:tc>
          <w:tcPr>
            <w:tcW w:w="14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720" w:type="dxa"/>
            <w:vAlign w:val="bottom"/>
            <w:shd w:val="clear" w:color="auto" w:fill="CFF0FC"/>
          </w:tcPr>
          <w:p>
            <w:pPr>
              <w:jc w:val="right"/>
              <w:ind w:right="560"/>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542</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estimated amounts of net actuarial loss and unrecognized prior service credit included in AOCI as of December 31, 2016, that are expected to be amortized into net periodic benefit cost over the next fiscal year are: $15 million and none for the U.S. defined benefit plans; $4 million and ($4) million for the U.S. retiree health care benefit plan; and $27 million and ($2) million for the non-U.S. defined benefit plans.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Information on plan assets</w:t>
      </w:r>
    </w:p>
    <w:p>
      <w:pPr>
        <w:spacing w:after="0" w:line="11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We report and measure the plan assets of our defined benefit pension and other postretirement plans at fair value. The tables below set forth the fair value of our plan assets using the same three-level hierarchy of fair-value inputs described in Note 8. With the adoption of ASU 2015-07, certain assets are no longer subject to disclosure by level of fair value but have been included in the tables below to permit reconciliation to the total plan assets. See Note 2 for more information.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ind w:right="24"/>
              <w:spacing w:after="0"/>
              <w:rPr>
                <w:sz w:val="20"/>
                <w:szCs w:val="20"/>
                <w:color w:val="auto"/>
              </w:rPr>
            </w:pPr>
            <w:r>
              <w:rPr>
                <w:rFonts w:ascii="Arial" w:cs="Arial" w:eastAsia="Arial" w:hAnsi="Arial"/>
                <w:sz w:val="16"/>
                <w:szCs w:val="16"/>
                <w:b w:val="1"/>
                <w:bCs w:val="1"/>
                <w:color w:val="auto"/>
                <w:w w:val="91"/>
              </w:rPr>
              <w:t>December 31, 2016</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Level 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Level 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Level 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Other (a)</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Assets of U.S. defined benefit plan:</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685</w:t>
            </w:r>
          </w:p>
        </w:tc>
        <w:tc>
          <w:tcPr>
            <w:tcW w:w="2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1,034</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 of U.S. retiree health care plan: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22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6"/>
                <w:szCs w:val="16"/>
                <w:b w:val="1"/>
                <w:bCs w:val="1"/>
                <w:color w:val="auto"/>
              </w:rPr>
              <w:t>Assets of non-U.S. defined benefit plans: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1,508</w:t>
            </w:r>
          </w:p>
        </w:tc>
        <w:tc>
          <w:tcPr>
            <w:tcW w:w="2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hanging="692"/>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6"/>
                <w:szCs w:val="16"/>
                <w:b w:val="1"/>
                <w:bCs w:val="1"/>
                <w:color w:val="auto"/>
                <w:w w:val="91"/>
              </w:rPr>
              <w:t>December 31, 2015</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Level 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Level 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Level 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Other (a)</w:t>
            </w:r>
          </w:p>
        </w:tc>
        <w:tc>
          <w:tcPr>
            <w:tcW w:w="180" w:type="dxa"/>
            <w:vAlign w:val="bottom"/>
          </w:tcPr>
          <w:p>
            <w:pPr>
              <w:spacing w:after="0"/>
              <w:rPr>
                <w:sz w:val="17"/>
                <w:szCs w:val="17"/>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Assets of U.S. defined benefit plan:</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 of U.S. retiree health care plan: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178</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178</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258</w:t>
            </w:r>
          </w:p>
        </w:tc>
        <w:tc>
          <w:tcPr>
            <w:tcW w:w="2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6"/>
                <w:szCs w:val="16"/>
                <w:b w:val="1"/>
                <w:bCs w:val="1"/>
                <w:color w:val="auto"/>
              </w:rPr>
              <w:t>Assets of non-U.S. defined benefit plans: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127</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1,993</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hanging="692"/>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 For the U.S. plans, we utilize an option collar strategy to reduce the volatility of returns on investments in U.S. equity funds.</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only Level 3 asset in our worldwide benefit plans for the periods presented is a diversified property fund in a non-U.S. pension plan. These investments are valued using inputs from the fund managers and internal models. Changes to the fair value of this fund since December 31, 2014, have not been material, and are due to redemptions.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Assumptions and investment policies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gridSpan w:val="4"/>
          </w:tcPr>
          <w:p>
            <w:pPr>
              <w:jc w:val="center"/>
              <w:ind w:right="1080"/>
              <w:spacing w:after="0"/>
              <w:rPr>
                <w:sz w:val="20"/>
                <w:szCs w:val="20"/>
                <w:color w:val="auto"/>
              </w:rPr>
            </w:pPr>
            <w:r>
              <w:rPr>
                <w:rFonts w:ascii="Arial" w:cs="Arial" w:eastAsia="Arial" w:hAnsi="Arial"/>
                <w:sz w:val="16"/>
                <w:szCs w:val="16"/>
                <w:b w:val="1"/>
                <w:bCs w:val="1"/>
                <w:color w:val="auto"/>
                <w:w w:val="89"/>
              </w:rPr>
              <w:t>U.S.</w:t>
            </w:r>
          </w:p>
        </w:tc>
        <w:tc>
          <w:tcPr>
            <w:tcW w:w="2260" w:type="dxa"/>
            <w:vAlign w:val="bottom"/>
            <w:gridSpan w:val="4"/>
          </w:tcPr>
          <w:p>
            <w:pPr>
              <w:ind w:left="600"/>
              <w:spacing w:after="0"/>
              <w:rPr>
                <w:sz w:val="20"/>
                <w:szCs w:val="20"/>
                <w:color w:val="auto"/>
              </w:rPr>
            </w:pPr>
            <w:r>
              <w:rPr>
                <w:rFonts w:ascii="Arial" w:cs="Arial" w:eastAsia="Arial" w:hAnsi="Arial"/>
                <w:sz w:val="16"/>
                <w:szCs w:val="16"/>
                <w:b w:val="1"/>
                <w:bCs w:val="1"/>
                <w:color w:val="auto"/>
              </w:rPr>
              <w:t>U.S. Retiree</w:t>
            </w:r>
          </w:p>
        </w:tc>
        <w:tc>
          <w:tcPr>
            <w:tcW w:w="1340" w:type="dxa"/>
            <w:vAlign w:val="bottom"/>
            <w:gridSpan w:val="3"/>
          </w:tcPr>
          <w:p>
            <w:pPr>
              <w:ind w:left="680"/>
              <w:spacing w:after="0"/>
              <w:rPr>
                <w:sz w:val="20"/>
                <w:szCs w:val="20"/>
                <w:color w:val="auto"/>
              </w:rPr>
            </w:pPr>
            <w:r>
              <w:rPr>
                <w:rFonts w:ascii="Arial" w:cs="Arial" w:eastAsia="Arial" w:hAnsi="Arial"/>
                <w:sz w:val="16"/>
                <w:szCs w:val="16"/>
                <w:b w:val="1"/>
                <w:bCs w:val="1"/>
                <w:color w:val="auto"/>
                <w:w w:val="94"/>
              </w:rPr>
              <w:t>Non-U.S.</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Defined Benefit</w:t>
            </w:r>
          </w:p>
        </w:tc>
        <w:tc>
          <w:tcPr>
            <w:tcW w:w="2260" w:type="dxa"/>
            <w:vAlign w:val="bottom"/>
            <w:gridSpan w:val="4"/>
          </w:tcPr>
          <w:p>
            <w:pPr>
              <w:ind w:left="580"/>
              <w:spacing w:after="0"/>
              <w:rPr>
                <w:sz w:val="20"/>
                <w:szCs w:val="20"/>
                <w:color w:val="auto"/>
              </w:rPr>
            </w:pPr>
            <w:r>
              <w:rPr>
                <w:rFonts w:ascii="Arial" w:cs="Arial" w:eastAsia="Arial" w:hAnsi="Arial"/>
                <w:sz w:val="16"/>
                <w:szCs w:val="16"/>
                <w:b w:val="1"/>
                <w:bCs w:val="1"/>
                <w:color w:val="auto"/>
              </w:rPr>
              <w:t>Health Care</w:t>
            </w:r>
          </w:p>
        </w:tc>
        <w:tc>
          <w:tcPr>
            <w:tcW w:w="2040" w:type="dxa"/>
            <w:vAlign w:val="bottom"/>
            <w:gridSpan w:val="5"/>
          </w:tcPr>
          <w:p>
            <w:pPr>
              <w:ind w:left="440"/>
              <w:spacing w:after="0"/>
              <w:rPr>
                <w:sz w:val="20"/>
                <w:szCs w:val="20"/>
                <w:color w:val="auto"/>
              </w:rPr>
            </w:pPr>
            <w:r>
              <w:rPr>
                <w:rFonts w:ascii="Arial" w:cs="Arial" w:eastAsia="Arial" w:hAnsi="Arial"/>
                <w:sz w:val="16"/>
                <w:szCs w:val="16"/>
                <w:b w:val="1"/>
                <w:bCs w:val="1"/>
                <w:color w:val="auto"/>
              </w:rPr>
              <w:t>Defined Benefit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820" w:type="dxa"/>
            <w:vAlign w:val="bottom"/>
            <w:tcBorders>
              <w:top w:val="single" w:sz="8" w:color="auto"/>
            </w:tcBorders>
          </w:tcPr>
          <w:p>
            <w:pPr>
              <w:ind w:left="300"/>
              <w:spacing w:after="0"/>
              <w:rPr>
                <w:sz w:val="20"/>
                <w:szCs w:val="20"/>
                <w:color w:val="auto"/>
              </w:rPr>
            </w:pPr>
            <w:r>
              <w:rPr>
                <w:rFonts w:ascii="Arial" w:cs="Arial" w:eastAsia="Arial" w:hAnsi="Arial"/>
                <w:sz w:val="16"/>
                <w:szCs w:val="16"/>
                <w:b w:val="1"/>
                <w:bCs w:val="1"/>
                <w:color w:val="auto"/>
              </w:rPr>
              <w:t>2016</w:t>
            </w:r>
          </w:p>
        </w:tc>
        <w:tc>
          <w:tcPr>
            <w:tcW w:w="1300" w:type="dxa"/>
            <w:vAlign w:val="bottom"/>
            <w:tcBorders>
              <w:top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2015</w:t>
            </w:r>
          </w:p>
        </w:tc>
        <w:tc>
          <w:tcPr>
            <w:tcW w:w="260" w:type="dxa"/>
            <w:vAlign w:val="bottom"/>
          </w:tcPr>
          <w:p>
            <w:pPr>
              <w:spacing w:after="0"/>
              <w:rPr>
                <w:sz w:val="18"/>
                <w:szCs w:val="18"/>
                <w:color w:val="auto"/>
              </w:rPr>
            </w:pPr>
          </w:p>
        </w:tc>
        <w:tc>
          <w:tcPr>
            <w:tcW w:w="92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30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920" w:type="dxa"/>
            <w:vAlign w:val="bottom"/>
            <w:tcBorders>
              <w:top w:val="single" w:sz="8" w:color="auto"/>
            </w:tcBorders>
          </w:tcPr>
          <w:p>
            <w:pPr>
              <w:ind w:left="300"/>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Weighted average assumptions used to determine benefit</w:t>
            </w: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obligations: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6"/>
                <w:szCs w:val="16"/>
                <w:color w:val="auto"/>
              </w:rPr>
              <w:t>Discount rate</w:t>
            </w:r>
          </w:p>
        </w:tc>
        <w:tc>
          <w:tcPr>
            <w:tcW w:w="820" w:type="dxa"/>
            <w:vAlign w:val="bottom"/>
          </w:tcPr>
          <w:p>
            <w:pPr>
              <w:ind w:left="300"/>
              <w:spacing w:after="0"/>
              <w:rPr>
                <w:sz w:val="20"/>
                <w:szCs w:val="20"/>
                <w:color w:val="auto"/>
              </w:rPr>
            </w:pPr>
            <w:r>
              <w:rPr>
                <w:rFonts w:ascii="Arial" w:cs="Arial" w:eastAsia="Arial" w:hAnsi="Arial"/>
                <w:sz w:val="16"/>
                <w:szCs w:val="16"/>
                <w:b w:val="1"/>
                <w:bCs w:val="1"/>
                <w:color w:val="auto"/>
              </w:rPr>
              <w:t>4.29%</w:t>
            </w:r>
          </w:p>
        </w:tc>
        <w:tc>
          <w:tcPr>
            <w:tcW w:w="1300" w:type="dxa"/>
            <w:vAlign w:val="bottom"/>
            <w:gridSpan w:val="3"/>
          </w:tcPr>
          <w:p>
            <w:pPr>
              <w:ind w:left="680"/>
              <w:spacing w:after="0"/>
              <w:rPr>
                <w:sz w:val="20"/>
                <w:szCs w:val="20"/>
                <w:color w:val="auto"/>
              </w:rPr>
            </w:pPr>
            <w:r>
              <w:rPr>
                <w:rFonts w:ascii="Arial" w:cs="Arial" w:eastAsia="Arial" w:hAnsi="Arial"/>
                <w:sz w:val="16"/>
                <w:szCs w:val="16"/>
                <w:color w:val="auto"/>
              </w:rPr>
              <w:t>4.62%</w:t>
            </w:r>
          </w:p>
        </w:tc>
        <w:tc>
          <w:tcPr>
            <w:tcW w:w="26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6"/>
                <w:szCs w:val="16"/>
                <w:b w:val="1"/>
                <w:bCs w:val="1"/>
                <w:color w:val="auto"/>
              </w:rPr>
              <w:t>4.08%</w:t>
            </w:r>
          </w:p>
        </w:tc>
        <w:tc>
          <w:tcPr>
            <w:tcW w:w="20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6"/>
                <w:szCs w:val="16"/>
                <w:color w:val="auto"/>
              </w:rPr>
              <w:t>4.40%</w:t>
            </w:r>
          </w:p>
        </w:tc>
        <w:tc>
          <w:tcPr>
            <w:tcW w:w="22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6"/>
                <w:szCs w:val="16"/>
                <w:b w:val="1"/>
                <w:bCs w:val="1"/>
                <w:color w:val="auto"/>
              </w:rPr>
              <w:t>1.76%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auto"/>
              </w:rPr>
              <w:t>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Long-term pay progression</w:t>
            </w:r>
          </w:p>
        </w:tc>
        <w:tc>
          <w:tcPr>
            <w:tcW w:w="820" w:type="dxa"/>
            <w:vAlign w:val="bottom"/>
            <w:shd w:val="clear" w:color="auto" w:fill="CFF0FC"/>
          </w:tcPr>
          <w:p>
            <w:pPr>
              <w:ind w:left="300"/>
              <w:spacing w:after="0"/>
              <w:rPr>
                <w:sz w:val="20"/>
                <w:szCs w:val="20"/>
                <w:color w:val="auto"/>
              </w:rPr>
            </w:pPr>
            <w:r>
              <w:rPr>
                <w:rFonts w:ascii="Arial" w:cs="Arial" w:eastAsia="Arial" w:hAnsi="Arial"/>
                <w:sz w:val="16"/>
                <w:szCs w:val="16"/>
                <w:b w:val="1"/>
                <w:bCs w:val="1"/>
                <w:color w:val="auto"/>
              </w:rPr>
              <w:t>3.30%</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6"/>
                <w:szCs w:val="16"/>
                <w:color w:val="auto"/>
              </w:rPr>
              <w:t>3.30%</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340"/>
              <w:spacing w:after="0"/>
              <w:rPr>
                <w:sz w:val="20"/>
                <w:szCs w:val="20"/>
                <w:color w:val="auto"/>
              </w:rPr>
            </w:pPr>
            <w:r>
              <w:rPr>
                <w:rFonts w:ascii="Arial" w:cs="Arial" w:eastAsia="Arial" w:hAnsi="Arial"/>
                <w:sz w:val="16"/>
                <w:szCs w:val="16"/>
                <w:b w:val="1"/>
                <w:bCs w:val="1"/>
                <w:color w:val="auto"/>
              </w:rPr>
              <w:t>n/a</w:t>
            </w:r>
          </w:p>
        </w:tc>
        <w:tc>
          <w:tcPr>
            <w:tcW w:w="114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n/a</w:t>
            </w:r>
          </w:p>
        </w:tc>
        <w:tc>
          <w:tcPr>
            <w:tcW w:w="920" w:type="dxa"/>
            <w:vAlign w:val="bottom"/>
            <w:shd w:val="clear" w:color="auto" w:fill="CFF0FC"/>
          </w:tcPr>
          <w:p>
            <w:pPr>
              <w:ind w:left="280"/>
              <w:spacing w:after="0"/>
              <w:rPr>
                <w:sz w:val="20"/>
                <w:szCs w:val="20"/>
                <w:color w:val="auto"/>
              </w:rPr>
            </w:pPr>
            <w:r>
              <w:rPr>
                <w:rFonts w:ascii="Arial" w:cs="Arial" w:eastAsia="Arial" w:hAnsi="Arial"/>
                <w:sz w:val="16"/>
                <w:szCs w:val="16"/>
                <w:b w:val="1"/>
                <w:bCs w:val="1"/>
                <w:color w:val="auto"/>
              </w:rPr>
              <w:t>3.11%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ind w:left="60"/>
              <w:spacing w:after="0"/>
              <w:rPr>
                <w:sz w:val="20"/>
                <w:szCs w:val="20"/>
                <w:color w:val="auto"/>
              </w:rPr>
            </w:pPr>
            <w:r>
              <w:rPr>
                <w:rFonts w:ascii="Arial" w:cs="Arial" w:eastAsia="Arial" w:hAnsi="Arial"/>
                <w:sz w:val="16"/>
                <w:szCs w:val="16"/>
                <w:color w:val="auto"/>
              </w:rPr>
              <w:t>3.21%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Weighted average assumptions used to determine net</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periodic benefit cost:</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6"/>
                <w:szCs w:val="16"/>
                <w:color w:val="auto"/>
              </w:rPr>
              <w:t>Discount rate</w:t>
            </w:r>
          </w:p>
        </w:tc>
        <w:tc>
          <w:tcPr>
            <w:tcW w:w="820" w:type="dxa"/>
            <w:vAlign w:val="bottom"/>
          </w:tcPr>
          <w:p>
            <w:pPr>
              <w:ind w:left="300"/>
              <w:spacing w:after="0"/>
              <w:rPr>
                <w:sz w:val="20"/>
                <w:szCs w:val="20"/>
                <w:color w:val="auto"/>
              </w:rPr>
            </w:pPr>
            <w:r>
              <w:rPr>
                <w:rFonts w:ascii="Arial" w:cs="Arial" w:eastAsia="Arial" w:hAnsi="Arial"/>
                <w:sz w:val="16"/>
                <w:szCs w:val="16"/>
                <w:b w:val="1"/>
                <w:bCs w:val="1"/>
                <w:color w:val="auto"/>
              </w:rPr>
              <w:t>4.40%</w:t>
            </w:r>
          </w:p>
        </w:tc>
        <w:tc>
          <w:tcPr>
            <w:tcW w:w="1300" w:type="dxa"/>
            <w:vAlign w:val="bottom"/>
            <w:gridSpan w:val="3"/>
          </w:tcPr>
          <w:p>
            <w:pPr>
              <w:ind w:left="680"/>
              <w:spacing w:after="0"/>
              <w:rPr>
                <w:sz w:val="20"/>
                <w:szCs w:val="20"/>
                <w:color w:val="auto"/>
              </w:rPr>
            </w:pPr>
            <w:r>
              <w:rPr>
                <w:rFonts w:ascii="Arial" w:cs="Arial" w:eastAsia="Arial" w:hAnsi="Arial"/>
                <w:sz w:val="16"/>
                <w:szCs w:val="16"/>
                <w:color w:val="auto"/>
              </w:rPr>
              <w:t>4.33%</w:t>
            </w:r>
          </w:p>
        </w:tc>
        <w:tc>
          <w:tcPr>
            <w:tcW w:w="26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6"/>
                <w:szCs w:val="16"/>
                <w:b w:val="1"/>
                <w:bCs w:val="1"/>
                <w:color w:val="auto"/>
              </w:rPr>
              <w:t>4.40%</w:t>
            </w:r>
          </w:p>
        </w:tc>
        <w:tc>
          <w:tcPr>
            <w:tcW w:w="20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6"/>
                <w:szCs w:val="16"/>
                <w:color w:val="auto"/>
              </w:rPr>
              <w:t>4.15%</w:t>
            </w:r>
          </w:p>
        </w:tc>
        <w:tc>
          <w:tcPr>
            <w:tcW w:w="22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6"/>
                <w:szCs w:val="16"/>
                <w:b w:val="1"/>
                <w:bCs w:val="1"/>
                <w:color w:val="auto"/>
              </w:rPr>
              <w:t>2.41%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auto"/>
              </w:rPr>
              <w:t>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Long-term rate of return on plan assets</w:t>
            </w:r>
          </w:p>
        </w:tc>
        <w:tc>
          <w:tcPr>
            <w:tcW w:w="820" w:type="dxa"/>
            <w:vAlign w:val="bottom"/>
            <w:shd w:val="clear" w:color="auto" w:fill="CFF0FC"/>
          </w:tcPr>
          <w:p>
            <w:pPr>
              <w:ind w:left="300"/>
              <w:spacing w:after="0"/>
              <w:rPr>
                <w:sz w:val="20"/>
                <w:szCs w:val="20"/>
                <w:color w:val="auto"/>
              </w:rPr>
            </w:pPr>
            <w:r>
              <w:rPr>
                <w:rFonts w:ascii="Arial" w:cs="Arial" w:eastAsia="Arial" w:hAnsi="Arial"/>
                <w:sz w:val="16"/>
                <w:szCs w:val="16"/>
                <w:b w:val="1"/>
                <w:bCs w:val="1"/>
                <w:color w:val="auto"/>
              </w:rPr>
              <w:t>4.60%</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6"/>
                <w:szCs w:val="16"/>
                <w:color w:val="auto"/>
              </w:rPr>
              <w:t>5.10%</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ind w:left="280"/>
              <w:spacing w:after="0"/>
              <w:rPr>
                <w:sz w:val="20"/>
                <w:szCs w:val="20"/>
                <w:color w:val="auto"/>
              </w:rPr>
            </w:pPr>
            <w:r>
              <w:rPr>
                <w:rFonts w:ascii="Arial" w:cs="Arial" w:eastAsia="Arial" w:hAnsi="Arial"/>
                <w:sz w:val="16"/>
                <w:szCs w:val="16"/>
                <w:b w:val="1"/>
                <w:bCs w:val="1"/>
                <w:color w:val="auto"/>
              </w:rPr>
              <w:t>4.40%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4.70%</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ind w:left="280"/>
              <w:spacing w:after="0"/>
              <w:rPr>
                <w:sz w:val="20"/>
                <w:szCs w:val="20"/>
                <w:color w:val="auto"/>
              </w:rPr>
            </w:pPr>
            <w:r>
              <w:rPr>
                <w:rFonts w:ascii="Arial" w:cs="Arial" w:eastAsia="Arial" w:hAnsi="Arial"/>
                <w:sz w:val="16"/>
                <w:szCs w:val="16"/>
                <w:b w:val="1"/>
                <w:bCs w:val="1"/>
                <w:color w:val="auto"/>
              </w:rPr>
              <w:t>3.18%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ind w:left="60"/>
              <w:spacing w:after="0"/>
              <w:rPr>
                <w:sz w:val="20"/>
                <w:szCs w:val="20"/>
                <w:color w:val="auto"/>
              </w:rPr>
            </w:pPr>
            <w:r>
              <w:rPr>
                <w:rFonts w:ascii="Arial" w:cs="Arial" w:eastAsia="Arial" w:hAnsi="Arial"/>
                <w:sz w:val="16"/>
                <w:szCs w:val="16"/>
                <w:color w:val="auto"/>
              </w:rPr>
              <w:t>3.55%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6"/>
                <w:szCs w:val="16"/>
                <w:color w:val="auto"/>
              </w:rPr>
              <w:t>Long-term pay progression</w:t>
            </w:r>
          </w:p>
        </w:tc>
        <w:tc>
          <w:tcPr>
            <w:tcW w:w="820" w:type="dxa"/>
            <w:vAlign w:val="bottom"/>
          </w:tcPr>
          <w:p>
            <w:pPr>
              <w:ind w:left="300"/>
              <w:spacing w:after="0"/>
              <w:rPr>
                <w:sz w:val="20"/>
                <w:szCs w:val="20"/>
                <w:color w:val="auto"/>
              </w:rPr>
            </w:pPr>
            <w:r>
              <w:rPr>
                <w:rFonts w:ascii="Arial" w:cs="Arial" w:eastAsia="Arial" w:hAnsi="Arial"/>
                <w:sz w:val="16"/>
                <w:szCs w:val="16"/>
                <w:b w:val="1"/>
                <w:bCs w:val="1"/>
                <w:color w:val="auto"/>
              </w:rPr>
              <w:t>3.30%</w:t>
            </w:r>
          </w:p>
        </w:tc>
        <w:tc>
          <w:tcPr>
            <w:tcW w:w="1300" w:type="dxa"/>
            <w:vAlign w:val="bottom"/>
            <w:gridSpan w:val="3"/>
          </w:tcPr>
          <w:p>
            <w:pPr>
              <w:ind w:left="680"/>
              <w:spacing w:after="0"/>
              <w:rPr>
                <w:sz w:val="20"/>
                <w:szCs w:val="20"/>
                <w:color w:val="auto"/>
              </w:rPr>
            </w:pPr>
            <w:r>
              <w:rPr>
                <w:rFonts w:ascii="Arial" w:cs="Arial" w:eastAsia="Arial" w:hAnsi="Arial"/>
                <w:sz w:val="16"/>
                <w:szCs w:val="16"/>
                <w:color w:val="auto"/>
              </w:rPr>
              <w:t>3.30%</w:t>
            </w:r>
          </w:p>
        </w:tc>
        <w:tc>
          <w:tcPr>
            <w:tcW w:w="26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6"/>
                <w:szCs w:val="16"/>
                <w:b w:val="1"/>
                <w:bCs w:val="1"/>
                <w:color w:val="auto"/>
              </w:rPr>
              <w:t>n/a</w:t>
            </w:r>
          </w:p>
        </w:tc>
        <w:tc>
          <w:tcPr>
            <w:tcW w:w="1140" w:type="dxa"/>
            <w:vAlign w:val="bottom"/>
            <w:gridSpan w:val="2"/>
          </w:tcPr>
          <w:p>
            <w:pPr>
              <w:ind w:left="360"/>
              <w:spacing w:after="0"/>
              <w:rPr>
                <w:sz w:val="20"/>
                <w:szCs w:val="20"/>
                <w:color w:val="auto"/>
              </w:rPr>
            </w:pPr>
            <w:r>
              <w:rPr>
                <w:rFonts w:ascii="Arial" w:cs="Arial" w:eastAsia="Arial" w:hAnsi="Arial"/>
                <w:sz w:val="16"/>
                <w:szCs w:val="16"/>
                <w:color w:val="auto"/>
              </w:rPr>
              <w:t>n/a</w:t>
            </w:r>
          </w:p>
        </w:tc>
        <w:tc>
          <w:tcPr>
            <w:tcW w:w="920" w:type="dxa"/>
            <w:vAlign w:val="bottom"/>
          </w:tcPr>
          <w:p>
            <w:pPr>
              <w:ind w:left="280"/>
              <w:spacing w:after="0"/>
              <w:rPr>
                <w:sz w:val="20"/>
                <w:szCs w:val="20"/>
                <w:color w:val="auto"/>
              </w:rPr>
            </w:pPr>
            <w:r>
              <w:rPr>
                <w:rFonts w:ascii="Arial" w:cs="Arial" w:eastAsia="Arial" w:hAnsi="Arial"/>
                <w:sz w:val="16"/>
                <w:szCs w:val="16"/>
                <w:b w:val="1"/>
                <w:bCs w:val="1"/>
                <w:color w:val="auto"/>
              </w:rPr>
              <w:t>3.21%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adjusted for an appropriate risk premium is used to establish the discount rate.</w:t>
      </w:r>
    </w:p>
    <w:p>
      <w:pPr>
        <w:spacing w:after="0" w:line="17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target allocation ranges for the plans that hold a substantial majority of the defined benefit assets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6"/>
                <w:szCs w:val="16"/>
                <w:b w:val="1"/>
                <w:bCs w:val="1"/>
                <w:color w:val="auto"/>
              </w:rPr>
              <w:t>U.S. Defined</w:t>
            </w:r>
          </w:p>
        </w:tc>
        <w:tc>
          <w:tcPr>
            <w:tcW w:w="16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U.S. Retiree</w:t>
            </w: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Non-U.S.</w:t>
            </w:r>
          </w:p>
        </w:tc>
      </w:tr>
      <w:tr>
        <w:trPr>
          <w:trHeight w:val="219"/>
        </w:trPr>
        <w:tc>
          <w:tcPr>
            <w:tcW w:w="6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Asset Category</w:t>
            </w:r>
          </w:p>
        </w:tc>
        <w:tc>
          <w:tcPr>
            <w:tcW w:w="20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Benefit</w:t>
            </w:r>
          </w:p>
        </w:tc>
        <w:tc>
          <w:tcPr>
            <w:tcW w:w="30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Health Care</w:t>
            </w:r>
          </w:p>
        </w:tc>
        <w:tc>
          <w:tcPr>
            <w:tcW w:w="20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Defined Benefit</w:t>
            </w:r>
          </w:p>
        </w:tc>
      </w:tr>
      <w:tr>
        <w:trPr>
          <w:trHeight w:val="213"/>
        </w:trPr>
        <w:tc>
          <w:tcPr>
            <w:tcW w:w="6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Fixed income securities and cash equivalents</w:t>
            </w:r>
          </w:p>
        </w:tc>
        <w:tc>
          <w:tcPr>
            <w:tcW w:w="130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65%</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50% - 65%</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- 100%</w:t>
            </w:r>
          </w:p>
        </w:tc>
      </w:tr>
      <w:tr>
        <w:trPr>
          <w:trHeight w:val="210"/>
        </w:trPr>
        <w:tc>
          <w:tcPr>
            <w:tcW w:w="674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1300" w:type="dxa"/>
            <w:vAlign w:val="bottom"/>
          </w:tcPr>
          <w:p>
            <w:pPr>
              <w:jc w:val="right"/>
              <w:ind w:right="379"/>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35% - 50%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ind w:left="20"/>
              <w:spacing w:after="0"/>
              <w:rPr>
                <w:sz w:val="20"/>
                <w:szCs w:val="20"/>
                <w:color w:val="auto"/>
              </w:rPr>
            </w:pPr>
            <w:r>
              <w:rPr>
                <w:rFonts w:ascii="Arial" w:cs="Arial" w:eastAsia="Arial" w:hAnsi="Arial"/>
                <w:sz w:val="16"/>
                <w:szCs w:val="16"/>
                <w:color w:val="auto"/>
              </w:rPr>
              <w:t>- 40%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rebalance the plans’ investments when they are not within the target allocation ranges.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as of December 31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center"/>
              <w:ind w:left="599"/>
              <w:spacing w:after="0"/>
              <w:rPr>
                <w:sz w:val="20"/>
                <w:szCs w:val="20"/>
                <w:color w:val="auto"/>
              </w:rPr>
            </w:pPr>
            <w:r>
              <w:rPr>
                <w:rFonts w:ascii="Arial" w:cs="Arial" w:eastAsia="Arial" w:hAnsi="Arial"/>
                <w:sz w:val="16"/>
                <w:szCs w:val="16"/>
                <w:b w:val="1"/>
                <w:bCs w:val="1"/>
                <w:color w:val="auto"/>
                <w:w w:val="91"/>
              </w:rPr>
              <w:t>U.S. Defined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gridSpan w:val="4"/>
          </w:tcPr>
          <w:p>
            <w:pPr>
              <w:ind w:left="20"/>
              <w:spacing w:after="0"/>
              <w:rPr>
                <w:sz w:val="20"/>
                <w:szCs w:val="20"/>
                <w:color w:val="auto"/>
              </w:rPr>
            </w:pPr>
            <w:r>
              <w:rPr>
                <w:rFonts w:ascii="Arial" w:cs="Arial" w:eastAsia="Arial" w:hAnsi="Arial"/>
                <w:sz w:val="16"/>
                <w:szCs w:val="16"/>
                <w:b w:val="1"/>
                <w:bCs w:val="1"/>
                <w:color w:val="auto"/>
              </w:rPr>
              <w:t>U.S. Retiree</w:t>
            </w:r>
          </w:p>
        </w:tc>
        <w:tc>
          <w:tcPr>
            <w:tcW w:w="244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Non-U.S. Defined</w:t>
            </w:r>
          </w:p>
        </w:tc>
      </w:tr>
      <w:tr>
        <w:trPr>
          <w:trHeight w:val="216"/>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center"/>
              <w:ind w:left="599"/>
              <w:spacing w:after="0"/>
              <w:rPr>
                <w:sz w:val="20"/>
                <w:szCs w:val="20"/>
                <w:color w:val="auto"/>
              </w:rPr>
            </w:pPr>
            <w:r>
              <w:rPr>
                <w:rFonts w:ascii="Arial" w:cs="Arial" w:eastAsia="Arial" w:hAnsi="Arial"/>
                <w:sz w:val="16"/>
                <w:szCs w:val="16"/>
                <w:b w:val="1"/>
                <w:bCs w:val="1"/>
                <w:color w:val="auto"/>
                <w:w w:val="92"/>
              </w:rPr>
              <w:t>Benefit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gridSpan w:val="4"/>
          </w:tcPr>
          <w:p>
            <w:pPr>
              <w:ind w:left="20"/>
              <w:spacing w:after="0"/>
              <w:rPr>
                <w:sz w:val="20"/>
                <w:szCs w:val="20"/>
                <w:color w:val="auto"/>
              </w:rPr>
            </w:pPr>
            <w:r>
              <w:rPr>
                <w:rFonts w:ascii="Arial" w:cs="Arial" w:eastAsia="Arial" w:hAnsi="Arial"/>
                <w:sz w:val="16"/>
                <w:szCs w:val="16"/>
                <w:b w:val="1"/>
                <w:bCs w:val="1"/>
                <w:color w:val="auto"/>
              </w:rPr>
              <w:t>Health Care</w:t>
            </w:r>
          </w:p>
        </w:tc>
        <w:tc>
          <w:tcPr>
            <w:tcW w:w="820" w:type="dxa"/>
            <w:vAlign w:val="bottom"/>
          </w:tcPr>
          <w:p>
            <w:pPr>
              <w:spacing w:after="0"/>
              <w:rPr>
                <w:sz w:val="18"/>
                <w:szCs w:val="18"/>
                <w:color w:val="auto"/>
              </w:rPr>
            </w:pPr>
          </w:p>
        </w:tc>
        <w:tc>
          <w:tcPr>
            <w:tcW w:w="1620" w:type="dxa"/>
            <w:vAlign w:val="bottom"/>
            <w:gridSpan w:val="4"/>
          </w:tcPr>
          <w:p>
            <w:pPr>
              <w:jc w:val="center"/>
              <w:ind w:right="960"/>
              <w:spacing w:after="0"/>
              <w:rPr>
                <w:sz w:val="20"/>
                <w:szCs w:val="20"/>
                <w:color w:val="auto"/>
              </w:rPr>
            </w:pPr>
            <w:r>
              <w:rPr>
                <w:rFonts w:ascii="Arial" w:cs="Arial" w:eastAsia="Arial" w:hAnsi="Arial"/>
                <w:sz w:val="16"/>
                <w:szCs w:val="16"/>
                <w:b w:val="1"/>
                <w:bCs w:val="1"/>
                <w:color w:val="auto"/>
                <w:w w:val="92"/>
              </w:rPr>
              <w:t>Benefit</w:t>
            </w:r>
          </w:p>
        </w:tc>
      </w:tr>
      <w:tr>
        <w:trPr>
          <w:trHeight w:val="213"/>
        </w:trPr>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Asset Category</w:t>
            </w:r>
          </w:p>
        </w:tc>
        <w:tc>
          <w:tcPr>
            <w:tcW w:w="18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2015</w:t>
            </w:r>
          </w:p>
        </w:tc>
        <w:tc>
          <w:tcPr>
            <w:tcW w:w="280" w:type="dxa"/>
            <w:vAlign w:val="bottom"/>
            <w:tcBorders>
              <w:bottom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280" w:type="dxa"/>
            <w:vAlign w:val="bottom"/>
            <w:tcBorders>
              <w:bottom w:val="single" w:sz="8" w:color="CFF0FC"/>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FF0FC"/>
            </w:tcBorders>
          </w:tcPr>
          <w:p>
            <w:pPr>
              <w:spacing w:after="0"/>
              <w:rPr>
                <w:sz w:val="18"/>
                <w:szCs w:val="18"/>
                <w:color w:val="auto"/>
              </w:rPr>
            </w:pPr>
          </w:p>
        </w:tc>
      </w:tr>
      <w:tr>
        <w:trPr>
          <w:trHeight w:val="212"/>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Fixed income securities and cash equivalents</w:t>
            </w:r>
          </w:p>
        </w:tc>
        <w:tc>
          <w:tcPr>
            <w:tcW w:w="98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66%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65%</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w:t>
            </w:r>
          </w:p>
        </w:tc>
        <w:tc>
          <w:tcPr>
            <w:tcW w:w="1600" w:type="dxa"/>
            <w:vAlign w:val="bottom"/>
            <w:gridSpan w:val="3"/>
            <w:shd w:val="clear" w:color="auto" w:fill="CFF0FC"/>
          </w:tcPr>
          <w:p>
            <w:pPr>
              <w:jc w:val="right"/>
              <w:ind w:right="239"/>
              <w:spacing w:after="0"/>
              <w:rPr>
                <w:sz w:val="20"/>
                <w:szCs w:val="20"/>
                <w:color w:val="auto"/>
              </w:rPr>
            </w:pPr>
            <w:r>
              <w:rPr>
                <w:rFonts w:ascii="Arial" w:cs="Arial" w:eastAsia="Arial" w:hAnsi="Arial"/>
                <w:sz w:val="16"/>
                <w:szCs w:val="16"/>
                <w:color w:val="auto"/>
              </w:rPr>
              <w:t>50%</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72%</w:t>
            </w:r>
          </w:p>
        </w:tc>
        <w:tc>
          <w:tcPr>
            <w:tcW w:w="1520" w:type="dxa"/>
            <w:vAlign w:val="bottom"/>
            <w:gridSpan w:val="3"/>
            <w:shd w:val="clear" w:color="auto" w:fill="CFF0FC"/>
          </w:tcPr>
          <w:p>
            <w:pPr>
              <w:jc w:val="right"/>
              <w:ind w:right="25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FF0FC"/>
          </w:tcPr>
          <w:p>
            <w:pPr>
              <w:spacing w:after="0"/>
              <w:rPr>
                <w:sz w:val="18"/>
                <w:szCs w:val="18"/>
                <w:color w:val="auto"/>
              </w:rPr>
            </w:pPr>
          </w:p>
        </w:tc>
      </w:tr>
      <w:tr>
        <w:trPr>
          <w:trHeight w:val="210"/>
        </w:trPr>
        <w:tc>
          <w:tcPr>
            <w:tcW w:w="384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980" w:type="dxa"/>
            <w:vAlign w:val="bottom"/>
          </w:tcPr>
          <w:p>
            <w:pPr>
              <w:jc w:val="right"/>
              <w:ind w:right="199"/>
              <w:spacing w:after="0"/>
              <w:rPr>
                <w:sz w:val="20"/>
                <w:szCs w:val="20"/>
                <w:color w:val="auto"/>
              </w:rPr>
            </w:pPr>
            <w:r>
              <w:rPr>
                <w:rFonts w:ascii="Arial" w:cs="Arial" w:eastAsia="Arial" w:hAnsi="Arial"/>
                <w:sz w:val="16"/>
                <w:szCs w:val="16"/>
                <w:b w:val="1"/>
                <w:bCs w:val="1"/>
                <w:color w:val="auto"/>
              </w:rPr>
              <w:t>34%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1600" w:type="dxa"/>
            <w:vAlign w:val="bottom"/>
            <w:gridSpan w:val="3"/>
          </w:tcPr>
          <w:p>
            <w:pPr>
              <w:jc w:val="right"/>
              <w:ind w:right="239"/>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28%</w:t>
            </w:r>
          </w:p>
        </w:tc>
        <w:tc>
          <w:tcPr>
            <w:tcW w:w="1520" w:type="dxa"/>
            <w:vAlign w:val="bottom"/>
            <w:gridSpan w:val="3"/>
          </w:tcPr>
          <w:p>
            <w:pPr>
              <w:jc w:val="right"/>
              <w:ind w:right="25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r>
    </w:tbl>
    <w:p>
      <w:pPr>
        <w:spacing w:after="0" w:line="16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None of the plan assets related to the defined benefit pension plans and retiree health care benefit plan are directly invested in TI common stock. As of December 31, 2016, we do not expect to return any of the defined benefit pension plans’ assets to TI in the next 12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right="640"/>
        <w:spacing w:after="0" w:line="308" w:lineRule="auto"/>
        <w:rPr>
          <w:sz w:val="20"/>
          <w:szCs w:val="20"/>
          <w:color w:val="auto"/>
        </w:rPr>
      </w:pPr>
      <w:r>
        <w:rPr>
          <w:rFonts w:ascii="Arial" w:cs="Arial" w:eastAsia="Arial" w:hAnsi="Arial"/>
          <w:sz w:val="17"/>
          <w:szCs w:val="17"/>
          <w:color w:val="auto"/>
        </w:rPr>
        <w:t>The following assumed future benefit payments to plan participants in the next 10 years are used to measure our benefit obligations. Almost all of the payments, which may vary significantly from these assumptions, will be made from plan assets and not from company assets.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ind w:left="80"/>
              <w:spacing w:after="0"/>
              <w:rPr>
                <w:sz w:val="20"/>
                <w:szCs w:val="20"/>
                <w:color w:val="auto"/>
              </w:rPr>
            </w:pPr>
            <w:r>
              <w:rPr>
                <w:rFonts w:ascii="Arial" w:cs="Arial" w:eastAsia="Arial" w:hAnsi="Arial"/>
                <w:sz w:val="16"/>
                <w:szCs w:val="16"/>
                <w:b w:val="1"/>
                <w:bCs w:val="1"/>
                <w:color w:val="auto"/>
              </w:rPr>
              <w:t>U.S. Defined</w:t>
            </w:r>
          </w:p>
        </w:tc>
        <w:tc>
          <w:tcPr>
            <w:tcW w:w="180" w:type="dxa"/>
            <w:vAlign w:val="bottom"/>
          </w:tcPr>
          <w:p>
            <w:pPr>
              <w:spacing w:after="0"/>
              <w:rPr>
                <w:sz w:val="18"/>
                <w:szCs w:val="18"/>
                <w:color w:val="auto"/>
              </w:rPr>
            </w:pPr>
          </w:p>
        </w:tc>
        <w:tc>
          <w:tcPr>
            <w:tcW w:w="1520" w:type="dxa"/>
            <w:vAlign w:val="bottom"/>
            <w:gridSpan w:val="4"/>
          </w:tcPr>
          <w:p>
            <w:pPr>
              <w:ind w:left="100"/>
              <w:spacing w:after="0"/>
              <w:rPr>
                <w:sz w:val="20"/>
                <w:szCs w:val="20"/>
                <w:color w:val="auto"/>
              </w:rPr>
            </w:pPr>
            <w:r>
              <w:rPr>
                <w:rFonts w:ascii="Arial" w:cs="Arial" w:eastAsia="Arial" w:hAnsi="Arial"/>
                <w:sz w:val="16"/>
                <w:szCs w:val="16"/>
                <w:b w:val="1"/>
                <w:bCs w:val="1"/>
                <w:color w:val="auto"/>
              </w:rPr>
              <w:t>U.S. Retiree</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Non-U.S.</w:t>
            </w:r>
          </w:p>
        </w:tc>
      </w:tr>
      <w:tr>
        <w:trPr>
          <w:trHeight w:val="219"/>
        </w:trPr>
        <w:tc>
          <w:tcPr>
            <w:tcW w:w="484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Benefit</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Health Care</w:t>
            </w:r>
          </w:p>
        </w:tc>
        <w:tc>
          <w:tcPr>
            <w:tcW w:w="280" w:type="dxa"/>
            <w:vAlign w:val="bottom"/>
            <w:tcBorders>
              <w:bottom w:val="single" w:sz="8" w:color="CFF0FC"/>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Defined Benefit</w:t>
            </w:r>
          </w:p>
        </w:tc>
        <w:tc>
          <w:tcPr>
            <w:tcW w:w="100" w:type="dxa"/>
            <w:vAlign w:val="bottom"/>
            <w:tcBorders>
              <w:bottom w:val="single" w:sz="8" w:color="CFF0FC"/>
            </w:tcBorders>
          </w:tcPr>
          <w:p>
            <w:pPr>
              <w:spacing w:after="0"/>
              <w:rPr>
                <w:sz w:val="19"/>
                <w:szCs w:val="19"/>
                <w:color w:val="auto"/>
              </w:rPr>
            </w:pPr>
          </w:p>
        </w:tc>
      </w:tr>
      <w:tr>
        <w:trPr>
          <w:trHeight w:val="213"/>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2017</w:t>
            </w: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FF0FC"/>
          </w:tcPr>
          <w:p>
            <w:pPr>
              <w:spacing w:after="0"/>
              <w:rPr>
                <w:sz w:val="18"/>
                <w:szCs w:val="18"/>
                <w:color w:val="auto"/>
              </w:rPr>
            </w:pPr>
          </w:p>
        </w:tc>
      </w:tr>
      <w:tr>
        <w:trPr>
          <w:trHeight w:val="240"/>
        </w:trPr>
        <w:tc>
          <w:tcPr>
            <w:tcW w:w="4840" w:type="dxa"/>
            <w:vAlign w:val="bottom"/>
          </w:tcPr>
          <w:p>
            <w:pPr>
              <w:spacing w:after="0"/>
              <w:rPr>
                <w:sz w:val="20"/>
                <w:szCs w:val="20"/>
                <w:color w:val="auto"/>
              </w:rPr>
            </w:pPr>
            <w:r>
              <w:rPr>
                <w:rFonts w:ascii="Arial" w:cs="Arial" w:eastAsia="Arial" w:hAnsi="Arial"/>
                <w:sz w:val="16"/>
                <w:szCs w:val="16"/>
                <w:color w:val="auto"/>
              </w:rPr>
              <w:t>2018</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1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FF0FC"/>
          </w:tcPr>
          <w:p>
            <w:pPr>
              <w:spacing w:after="0"/>
              <w:rPr>
                <w:sz w:val="19"/>
                <w:szCs w:val="19"/>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2020</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1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9"/>
                <w:szCs w:val="19"/>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6"/>
                <w:szCs w:val="16"/>
                <w:color w:val="auto"/>
              </w:rPr>
              <w:t>2022 - 2026</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450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r>
      <w:tr>
        <w:trPr>
          <w:trHeight w:val="398"/>
        </w:trPr>
        <w:tc>
          <w:tcPr>
            <w:tcW w:w="8360" w:type="dxa"/>
            <w:vAlign w:val="bottom"/>
            <w:gridSpan w:val="7"/>
          </w:tcPr>
          <w:p>
            <w:pPr>
              <w:spacing w:after="0"/>
              <w:rPr>
                <w:sz w:val="20"/>
                <w:szCs w:val="20"/>
                <w:color w:val="auto"/>
              </w:rPr>
            </w:pPr>
            <w:r>
              <w:rPr>
                <w:rFonts w:ascii="Arial" w:cs="Arial" w:eastAsia="Arial" w:hAnsi="Arial"/>
                <w:sz w:val="18"/>
                <w:szCs w:val="18"/>
                <w:color w:val="auto"/>
                <w:w w:val="90"/>
              </w:rPr>
              <w:t>Assumed health care cost trend rates for the U.S. retiree health care benefit plan as of December 31 are as follows: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4840" w:type="dxa"/>
            <w:vAlign w:val="bottom"/>
            <w:tcBorders>
              <w:bottom w:val="single" w:sz="8" w:color="CFF0FC"/>
            </w:tcBorders>
          </w:tcPr>
          <w:p>
            <w:pPr>
              <w:spacing w:after="0"/>
              <w:rPr>
                <w:sz w:val="24"/>
                <w:szCs w:val="24"/>
                <w:color w:val="auto"/>
              </w:rPr>
            </w:pPr>
          </w:p>
        </w:tc>
        <w:tc>
          <w:tcPr>
            <w:tcW w:w="164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200" w:type="dxa"/>
            <w:vAlign w:val="bottom"/>
            <w:tcBorders>
              <w:bottom w:val="single" w:sz="8" w:color="CFF0FC"/>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FF0FC"/>
            </w:tcBorders>
          </w:tcPr>
          <w:p>
            <w:pPr>
              <w:spacing w:after="0"/>
              <w:rPr>
                <w:sz w:val="24"/>
                <w:szCs w:val="24"/>
                <w:color w:val="auto"/>
              </w:rPr>
            </w:pPr>
          </w:p>
        </w:tc>
      </w:tr>
      <w:tr>
        <w:trPr>
          <w:trHeight w:val="213"/>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Assumed health care cost trend rate for next year</w:t>
            </w: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6.75%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FF0FC"/>
          </w:tcPr>
          <w:p>
            <w:pPr>
              <w:spacing w:after="0"/>
              <w:rPr>
                <w:sz w:val="18"/>
                <w:szCs w:val="18"/>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Ultimate trend rate</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ind w:left="100"/>
              <w:spacing w:after="0"/>
              <w:rPr>
                <w:sz w:val="20"/>
                <w:szCs w:val="20"/>
                <w:color w:val="auto"/>
              </w:rPr>
            </w:pPr>
            <w:r>
              <w:rPr>
                <w:rFonts w:ascii="Arial" w:cs="Arial" w:eastAsia="Arial" w:hAnsi="Arial"/>
                <w:sz w:val="16"/>
                <w:szCs w:val="16"/>
                <w:b w:val="1"/>
                <w:bCs w:val="1"/>
                <w:color w:val="auto"/>
              </w:rPr>
              <w:t>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ind w:left="360"/>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Year in which ultimate trend rate is reached</w:t>
            </w:r>
          </w:p>
        </w:tc>
        <w:tc>
          <w:tcPr>
            <w:tcW w:w="1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center"/>
              <w:ind w:right="79"/>
              <w:spacing w:after="0"/>
              <w:rPr>
                <w:sz w:val="20"/>
                <w:szCs w:val="20"/>
                <w:color w:val="auto"/>
              </w:rPr>
            </w:pPr>
            <w:r>
              <w:rPr>
                <w:rFonts w:ascii="Arial" w:cs="Arial" w:eastAsia="Arial" w:hAnsi="Arial"/>
                <w:sz w:val="16"/>
                <w:szCs w:val="16"/>
                <w:color w:val="auto"/>
                <w:w w:val="89"/>
              </w:rPr>
              <w:t>2024</w:t>
            </w:r>
          </w:p>
        </w:tc>
        <w:tc>
          <w:tcPr>
            <w:tcW w:w="100" w:type="dxa"/>
            <w:vAlign w:val="bottom"/>
            <w:shd w:val="clear" w:color="auto" w:fill="CFF0FC"/>
          </w:tcPr>
          <w:p>
            <w:pPr>
              <w:spacing w:after="0"/>
              <w:rPr>
                <w:sz w:val="19"/>
                <w:szCs w:val="19"/>
                <w:color w:val="auto"/>
              </w:rPr>
            </w:pPr>
          </w:p>
        </w:tc>
      </w:tr>
    </w:tbl>
    <w:p>
      <w:pPr>
        <w:spacing w:after="0" w:line="17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A one percentage point increase or decrease in health care cost trend rates over all future periods would have increased or decreased the accumulated postretirement benefit obligation for the U.S. retiree health care benefit plan as of December 31, 2016, by $2 million. The service cost and interest cost components of 2016 plan expense would have increased or decreased by less than $1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arrangements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a deferred compensation plan that allows U.S. employees whose base salary and management responsibility exceed a certain level to defer receipt of a portion of their cash compensation. Payments under this plan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4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As of December 31, 2016, our liability to participants of the deferred compensation plans was $218 million and is recorded in Deferred credits and other liabilities on our Consolidated Balance Sheets. This amount reflects the accumulated participant deferrals and earnings thereon as of that date. As of December 31, 2016, we held $201 million in mutual funds related to these plans that are recorded in Long-term investments on our Consolidated Balance Sheets, and serve as an economic hedge against changes in fair values of our other deferred compensation liabilities. We record changes in the fair value of the liability and the related investment in SG&amp;A as discussed in Note 8.</w:t>
      </w:r>
    </w:p>
    <w:p>
      <w:pPr>
        <w:spacing w:after="0" w:line="362"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December 31, 2016, we had a variable-rate revolving credit facility from a consortium of investment-grade banks that allows us to borrow up to $2 billion until March 2021. The interest rate on borrowings under this credit facility, if drawn, is indexed to the applicable London Interbank Offered Rate (LIBOR). As of December 31, 2016, our credit facility was undrawn and we had no commercial paper outstanding.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May 2016, we issued a principal amount of $500 million of fixed-rate, long-term debt due in 2022. We incurred $3 million of issuance and other related costs, which are amortized to Interest and debt expense over the term of the debt. The proceeds of the offering were $499 million, net of the original issuance discount, and were used toward the repayment of a portion of $1.0 billion of maturing debt retired in May 2016.</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May 2015, we issued a principal amount of $500 million of fixed-rate, long-term debt due in 2020. We incurred $3 million of issuance and other related costs, which are amortized to Interest and debt expense over the term of the debt. The proceeds of the offering were $498 million, net of the original issuance discount, and were used toward the repayment of a portion of the debt that matured in August 2015. We retired $250 million of maturing debt in April 2015 and another $750 million in August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right="20"/>
        <w:spacing w:after="0" w:line="259" w:lineRule="auto"/>
        <w:rPr>
          <w:sz w:val="20"/>
          <w:szCs w:val="20"/>
          <w:color w:val="auto"/>
        </w:rPr>
      </w:pPr>
      <w:r>
        <w:rPr>
          <w:rFonts w:ascii="Arial" w:cs="Arial" w:eastAsia="Arial" w:hAnsi="Arial"/>
          <w:sz w:val="18"/>
          <w:szCs w:val="18"/>
          <w:color w:val="auto"/>
        </w:rPr>
        <w:t>In March 2014, we issued an aggregate principal amount of $500 million of fixed-rate, long-term debt, with $250 million due in 2017 and $250 million due in 2021. We incurred $3 million of issuance and other related costs, which are amortized to Interest and debt expense over the term of the debt. The proceeds of the offering were $498 million, net of the original issuance discount, and were used toward the repayment of the $1.0 billion of debt that matured in May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Notes due 2016 at 2.375%</w:t>
            </w:r>
          </w:p>
        </w:tc>
        <w:tc>
          <w:tcPr>
            <w:tcW w:w="1180" w:type="dxa"/>
            <w:vAlign w:val="bottom"/>
            <w:shd w:val="clear" w:color="auto" w:fill="CFF0FC"/>
          </w:tcPr>
          <w:p>
            <w:pPr>
              <w:jc w:val="right"/>
              <w:ind w:right="1022"/>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6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Notes due 2017 at 0.875%</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Notes due 2017 at 6.60% (assumed with National acquisition)</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375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Notes due 2018 at 1.00%</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Notes due 2019 at 1.65%</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750</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Notes due 2020 at 1.75%</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Notes due 2021 at 2.75%</w:t>
            </w:r>
          </w:p>
        </w:tc>
        <w:tc>
          <w:tcPr>
            <w:tcW w:w="1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250</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Notes due 2022 at 1.85%</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Notes due 2023 at 2.25%</w:t>
            </w:r>
          </w:p>
        </w:tc>
        <w:tc>
          <w:tcPr>
            <w:tcW w:w="11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500</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6"/>
                <w:szCs w:val="16"/>
                <w:color w:val="auto"/>
              </w:rPr>
              <w:t>Total debt</w:t>
            </w:r>
          </w:p>
        </w:tc>
        <w:tc>
          <w:tcPr>
            <w:tcW w:w="1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3,625</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Net unamortized discounts, premiums and debt issuance costs</w:t>
            </w:r>
          </w:p>
        </w:tc>
        <w:tc>
          <w:tcPr>
            <w:tcW w:w="1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(16)</w:t>
            </w:r>
          </w:p>
        </w:tc>
        <w:tc>
          <w:tcPr>
            <w:tcW w:w="5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7580" w:type="dxa"/>
            <w:vAlign w:val="bottom"/>
          </w:tcPr>
          <w:p>
            <w:pPr>
              <w:spacing w:after="0"/>
              <w:rPr>
                <w:sz w:val="20"/>
                <w:szCs w:val="20"/>
                <w:color w:val="auto"/>
              </w:rPr>
            </w:pPr>
            <w:r>
              <w:rPr>
                <w:rFonts w:ascii="Arial" w:cs="Arial" w:eastAsia="Arial" w:hAnsi="Arial"/>
                <w:sz w:val="16"/>
                <w:szCs w:val="16"/>
                <w:color w:val="auto"/>
              </w:rPr>
              <w:t>Total debt, including net unamortized discounts, premiums and</w:t>
            </w:r>
          </w:p>
        </w:tc>
        <w:tc>
          <w:tcPr>
            <w:tcW w:w="1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3,609</w:t>
            </w:r>
          </w:p>
        </w:tc>
        <w:tc>
          <w:tcPr>
            <w:tcW w:w="2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8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1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Current portion of long-term debt</w:t>
            </w:r>
          </w:p>
        </w:tc>
        <w:tc>
          <w:tcPr>
            <w:tcW w:w="1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(631)</w:t>
            </w:r>
          </w:p>
        </w:tc>
        <w:tc>
          <w:tcPr>
            <w:tcW w:w="5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6"/>
                <w:szCs w:val="16"/>
                <w:color w:val="auto"/>
              </w:rPr>
              <w:t>Long-term debt</w:t>
            </w:r>
          </w:p>
        </w:tc>
        <w:tc>
          <w:tcPr>
            <w:tcW w:w="1180" w:type="dxa"/>
            <w:vAlign w:val="bottom"/>
            <w:tcBorders>
              <w:top w:val="single" w:sz="8" w:color="auto"/>
              <w:bottom w:val="single" w:sz="8" w:color="auto"/>
            </w:tcBorders>
          </w:tcPr>
          <w:p>
            <w:pPr>
              <w:jc w:val="right"/>
              <w:ind w:right="1022"/>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2,978</w:t>
            </w:r>
          </w:p>
        </w:tc>
        <w:tc>
          <w:tcPr>
            <w:tcW w:w="2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Interest and debt expense was $80 million in 2016, $90 million in 2015 and $94 million in 2014. This was net of the amortization of the debt discounts, premiums and debt issuance costs. Cash payments for interest on long-term debt were $88 million in 2016, $99 million in 2015 and $102 million in 2014. Capitalized interest was not material.</w:t>
      </w:r>
    </w:p>
    <w:p>
      <w:pPr>
        <w:spacing w:after="0" w:line="370"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Some of our purchase commitments, including software licenses, require minimum payments.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purchase and renewal provisions and require us to pay taxes, insurance and maintenance costs. Rental and lease expense incurred was $86 million, $98 million and $113 million in 2016, 2015 and 2014, respectively.</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2016, we had committed to make the following minimum payments under our purchase commitments and non-cancellable operating leases: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420" w:type="dxa"/>
            <w:vAlign w:val="bottom"/>
          </w:tcPr>
          <w:p>
            <w:pPr>
              <w:jc w:val="center"/>
              <w:ind w:left="221"/>
              <w:spacing w:after="0"/>
              <w:rPr>
                <w:sz w:val="20"/>
                <w:szCs w:val="20"/>
                <w:color w:val="auto"/>
              </w:rPr>
            </w:pPr>
            <w:r>
              <w:rPr>
                <w:rFonts w:ascii="Arial" w:cs="Arial" w:eastAsia="Arial" w:hAnsi="Arial"/>
                <w:sz w:val="16"/>
                <w:szCs w:val="16"/>
                <w:b w:val="1"/>
                <w:bCs w:val="1"/>
                <w:color w:val="auto"/>
                <w:w w:val="88"/>
              </w:rPr>
              <w:t>Purchase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Operating</w:t>
            </w:r>
          </w:p>
        </w:tc>
      </w:tr>
      <w:tr>
        <w:trPr>
          <w:trHeight w:val="219"/>
        </w:trPr>
        <w:tc>
          <w:tcPr>
            <w:tcW w:w="7440" w:type="dxa"/>
            <w:vAlign w:val="bottom"/>
          </w:tcPr>
          <w:p>
            <w:pPr>
              <w:spacing w:after="0"/>
              <w:rPr>
                <w:sz w:val="19"/>
                <w:szCs w:val="19"/>
                <w:color w:val="auto"/>
              </w:rPr>
            </w:pPr>
          </w:p>
        </w:tc>
        <w:tc>
          <w:tcPr>
            <w:tcW w:w="1420" w:type="dxa"/>
            <w:vAlign w:val="bottom"/>
          </w:tcPr>
          <w:p>
            <w:pPr>
              <w:jc w:val="center"/>
              <w:ind w:left="221"/>
              <w:spacing w:after="0"/>
              <w:rPr>
                <w:sz w:val="20"/>
                <w:szCs w:val="20"/>
                <w:color w:val="auto"/>
              </w:rPr>
            </w:pPr>
            <w:r>
              <w:rPr>
                <w:rFonts w:ascii="Arial" w:cs="Arial" w:eastAsia="Arial" w:hAnsi="Arial"/>
                <w:sz w:val="16"/>
                <w:szCs w:val="16"/>
                <w:b w:val="1"/>
                <w:bCs w:val="1"/>
                <w:color w:val="auto"/>
                <w:w w:val="93"/>
              </w:rPr>
              <w:t>Commitments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4"/>
              </w:rPr>
              <w:t>Leases</w:t>
            </w:r>
          </w:p>
        </w:tc>
      </w:tr>
      <w:tr>
        <w:trPr>
          <w:trHeight w:val="21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2017</w:t>
            </w:r>
          </w:p>
        </w:tc>
        <w:tc>
          <w:tcPr>
            <w:tcW w:w="1420" w:type="dxa"/>
            <w:vAlign w:val="bottom"/>
            <w:tcBorders>
              <w:top w:val="single" w:sz="8" w:color="auto"/>
            </w:tcBorders>
            <w:shd w:val="clear" w:color="auto" w:fill="CFF0FC"/>
          </w:tcPr>
          <w:p>
            <w:pPr>
              <w:jc w:val="right"/>
              <w:ind w:right="126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3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440" w:type="dxa"/>
            <w:vAlign w:val="bottom"/>
          </w:tcPr>
          <w:p>
            <w:pPr>
              <w:spacing w:after="0"/>
              <w:rPr>
                <w:sz w:val="20"/>
                <w:szCs w:val="20"/>
                <w:color w:val="auto"/>
              </w:rPr>
            </w:pPr>
            <w:r>
              <w:rPr>
                <w:rFonts w:ascii="Arial" w:cs="Arial" w:eastAsia="Arial" w:hAnsi="Arial"/>
                <w:sz w:val="16"/>
                <w:szCs w:val="16"/>
                <w:color w:val="auto"/>
              </w:rPr>
              <w:t>2018</w:t>
            </w:r>
          </w:p>
        </w:tc>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r>
      <w:tr>
        <w:trPr>
          <w:trHeight w:val="21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9"/>
                <w:szCs w:val="19"/>
                <w:color w:val="auto"/>
              </w:rPr>
            </w:pPr>
          </w:p>
        </w:tc>
      </w:tr>
      <w:tr>
        <w:trPr>
          <w:trHeight w:val="213"/>
        </w:trPr>
        <w:tc>
          <w:tcPr>
            <w:tcW w:w="7440" w:type="dxa"/>
            <w:vAlign w:val="bottom"/>
          </w:tcPr>
          <w:p>
            <w:pPr>
              <w:spacing w:after="0"/>
              <w:rPr>
                <w:sz w:val="20"/>
                <w:szCs w:val="20"/>
                <w:color w:val="auto"/>
              </w:rPr>
            </w:pPr>
            <w:r>
              <w:rPr>
                <w:rFonts w:ascii="Arial" w:cs="Arial" w:eastAsia="Arial" w:hAnsi="Arial"/>
                <w:sz w:val="16"/>
                <w:szCs w:val="16"/>
                <w:color w:val="auto"/>
              </w:rPr>
              <w:t>2020</w:t>
            </w:r>
          </w:p>
        </w:tc>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r>
      <w:tr>
        <w:trPr>
          <w:trHeight w:val="21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9"/>
                <w:szCs w:val="19"/>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6"/>
                <w:szCs w:val="16"/>
                <w:color w:val="auto"/>
              </w:rPr>
              <w:t>Thereafter</w:t>
            </w:r>
          </w:p>
        </w:tc>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60"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 See Note 9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 (OI&amp;E)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right"/>
              <w:ind w:right="124"/>
              <w:spacing w:after="0"/>
              <w:rPr>
                <w:sz w:val="20"/>
                <w:szCs w:val="20"/>
                <w:color w:val="auto"/>
              </w:rPr>
            </w:pPr>
            <w:r>
              <w:rPr>
                <w:rFonts w:ascii="Arial" w:cs="Arial" w:eastAsia="Arial" w:hAnsi="Arial"/>
                <w:sz w:val="16"/>
                <w:szCs w:val="16"/>
                <w:b w:val="1"/>
                <w:bCs w:val="1"/>
                <w:color w:val="auto"/>
              </w:rPr>
              <w:t>For Years Ended December 31,</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6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2016</w:t>
            </w: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FF0FC"/>
            </w:tcBorders>
          </w:tcPr>
          <w:p>
            <w:pPr>
              <w:spacing w:after="0"/>
              <w:rPr>
                <w:sz w:val="18"/>
                <w:szCs w:val="18"/>
                <w:color w:val="auto"/>
              </w:rPr>
            </w:pPr>
          </w:p>
        </w:tc>
      </w:tr>
      <w:tr>
        <w:trPr>
          <w:trHeight w:val="212"/>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Income from settlements related to intellectual property infringement</w:t>
            </w:r>
          </w:p>
        </w:tc>
        <w:tc>
          <w:tcPr>
            <w:tcW w:w="980" w:type="dxa"/>
            <w:vAlign w:val="bottom"/>
            <w:shd w:val="clear" w:color="auto" w:fill="CFF0FC"/>
          </w:tcPr>
          <w:p>
            <w:pPr>
              <w:jc w:val="right"/>
              <w:ind w:right="822"/>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188</w:t>
            </w:r>
          </w:p>
        </w:tc>
        <w:tc>
          <w:tcPr>
            <w:tcW w:w="1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Lease income</w:t>
            </w: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9"/>
                <w:szCs w:val="19"/>
                <w:color w:val="auto"/>
              </w:rPr>
            </w:pP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Investment gains (losses)</w:t>
            </w: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Currency exchange gains (losses)</w:t>
            </w: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Tax interest income (expense)</w:t>
            </w:r>
          </w:p>
        </w:tc>
        <w:tc>
          <w:tcPr>
            <w:tcW w:w="9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r>
      <w:tr>
        <w:trPr>
          <w:trHeight w:val="207"/>
        </w:trPr>
        <w:tc>
          <w:tcPr>
            <w:tcW w:w="6600" w:type="dxa"/>
            <w:vAlign w:val="bottom"/>
          </w:tcPr>
          <w:p>
            <w:pPr>
              <w:spacing w:after="0"/>
              <w:rPr>
                <w:sz w:val="20"/>
                <w:szCs w:val="20"/>
                <w:color w:val="auto"/>
              </w:rPr>
            </w:pPr>
            <w:r>
              <w:rPr>
                <w:rFonts w:ascii="Arial" w:cs="Arial" w:eastAsia="Arial" w:hAnsi="Arial"/>
                <w:sz w:val="16"/>
                <w:szCs w:val="16"/>
                <w:color w:val="auto"/>
              </w:rPr>
              <w:t>Total</w:t>
            </w:r>
          </w:p>
        </w:tc>
        <w:tc>
          <w:tcPr>
            <w:tcW w:w="98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54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FF0FC"/>
            </w:tcBorders>
          </w:tcPr>
          <w:p>
            <w:pPr>
              <w:spacing w:after="0"/>
              <w:rPr>
                <w:sz w:val="18"/>
                <w:szCs w:val="18"/>
                <w:color w:val="auto"/>
              </w:rPr>
            </w:pPr>
          </w:p>
        </w:tc>
      </w:tr>
      <w:tr>
        <w:trPr>
          <w:trHeight w:val="212"/>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Prepaid taxes on intercompany inventory profits, net</w:t>
            </w:r>
          </w:p>
        </w:tc>
        <w:tc>
          <w:tcPr>
            <w:tcW w:w="1220" w:type="dxa"/>
            <w:vAlign w:val="bottom"/>
            <w:shd w:val="clear" w:color="auto" w:fill="CFF0FC"/>
          </w:tcPr>
          <w:p>
            <w:pPr>
              <w:jc w:val="right"/>
              <w:ind w:right="1062"/>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566</w:t>
            </w:r>
          </w:p>
        </w:tc>
        <w:tc>
          <w:tcPr>
            <w:tcW w:w="82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FF0FC"/>
          </w:tcPr>
          <w:p>
            <w:pPr>
              <w:spacing w:after="0"/>
              <w:rPr>
                <w:sz w:val="18"/>
                <w:szCs w:val="18"/>
                <w:color w:val="auto"/>
              </w:rPr>
            </w:pPr>
          </w:p>
        </w:tc>
      </w:tr>
      <w:tr>
        <w:trPr>
          <w:trHeight w:val="213"/>
        </w:trPr>
        <w:tc>
          <w:tcPr>
            <w:tcW w:w="7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prepaid expenses and current assets</w:t>
            </w: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w:t>
            </w:r>
          </w:p>
        </w:tc>
        <w:tc>
          <w:tcPr>
            <w:tcW w:w="3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FF0FC"/>
            </w:tcBorders>
          </w:tcPr>
          <w:p>
            <w:pPr>
              <w:spacing w:after="0"/>
              <w:rPr>
                <w:sz w:val="18"/>
                <w:szCs w:val="18"/>
                <w:color w:val="auto"/>
              </w:rPr>
            </w:pPr>
          </w:p>
        </w:tc>
      </w:tr>
      <w:tr>
        <w:trPr>
          <w:trHeight w:val="210"/>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FF0FC"/>
          </w:tcPr>
          <w:p>
            <w:pPr>
              <w:jc w:val="right"/>
              <w:ind w:right="1062"/>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910</w:t>
            </w:r>
          </w:p>
        </w:tc>
        <w:tc>
          <w:tcPr>
            <w:tcW w:w="82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FF0FC"/>
          </w:tcPr>
          <w:p>
            <w:pPr>
              <w:spacing w:after="0"/>
              <w:rPr>
                <w:sz w:val="18"/>
                <w:szCs w:val="18"/>
                <w:color w:val="auto"/>
              </w:rPr>
            </w:pPr>
          </w:p>
        </w:tc>
      </w:tr>
      <w:tr>
        <w:trPr>
          <w:trHeight w:val="20"/>
        </w:trPr>
        <w:tc>
          <w:tcPr>
            <w:tcW w:w="75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 at Cost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Depreciable</w:t>
            </w: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646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Lives (Years)</w:t>
            </w:r>
          </w:p>
        </w:tc>
        <w:tc>
          <w:tcPr>
            <w:tcW w:w="1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8"/>
                <w:szCs w:val="18"/>
                <w:color w:val="auto"/>
              </w:rPr>
            </w:pPr>
          </w:p>
        </w:tc>
      </w:tr>
      <w:tr>
        <w:trPr>
          <w:trHeight w:val="212"/>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Land</w:t>
            </w: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9"/>
              </w:rPr>
              <w:t>n/a</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127</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FF0FC"/>
          </w:tcPr>
          <w:p>
            <w:pPr>
              <w:spacing w:after="0"/>
              <w:rPr>
                <w:sz w:val="18"/>
                <w:szCs w:val="18"/>
                <w:color w:val="auto"/>
              </w:rPr>
            </w:pPr>
          </w:p>
        </w:tc>
      </w:tr>
      <w:tr>
        <w:trPr>
          <w:trHeight w:val="213"/>
        </w:trPr>
        <w:tc>
          <w:tcPr>
            <w:tcW w:w="6460" w:type="dxa"/>
            <w:vAlign w:val="bottom"/>
          </w:tcPr>
          <w:p>
            <w:pPr>
              <w:spacing w:after="0"/>
              <w:rPr>
                <w:sz w:val="20"/>
                <w:szCs w:val="20"/>
                <w:color w:val="auto"/>
              </w:rPr>
            </w:pPr>
            <w:r>
              <w:rPr>
                <w:rFonts w:ascii="Arial" w:cs="Arial" w:eastAsia="Arial" w:hAnsi="Arial"/>
                <w:sz w:val="16"/>
                <w:szCs w:val="16"/>
                <w:color w:val="auto"/>
              </w:rPr>
              <w:t>Buildings and improvements</w:t>
            </w: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5 - 40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2,753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2,789</w:t>
            </w:r>
          </w:p>
        </w:tc>
        <w:tc>
          <w:tcPr>
            <w:tcW w:w="120" w:type="dxa"/>
            <w:vAlign w:val="bottom"/>
          </w:tcPr>
          <w:p>
            <w:pPr>
              <w:spacing w:after="0"/>
              <w:rPr>
                <w:sz w:val="18"/>
                <w:szCs w:val="18"/>
                <w:color w:val="auto"/>
              </w:rPr>
            </w:pPr>
          </w:p>
        </w:tc>
      </w:tr>
      <w:tr>
        <w:trPr>
          <w:trHeight w:val="219"/>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Machinery and equipment</w:t>
            </w:r>
          </w:p>
        </w:tc>
        <w:tc>
          <w:tcPr>
            <w:tcW w:w="1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2 - 10</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2,043</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2,549</w:t>
            </w:r>
          </w:p>
        </w:tc>
        <w:tc>
          <w:tcPr>
            <w:tcW w:w="120" w:type="dxa"/>
            <w:vAlign w:val="bottom"/>
            <w:shd w:val="clear" w:color="auto" w:fill="CFF0FC"/>
          </w:tcPr>
          <w:p>
            <w:pPr>
              <w:spacing w:after="0"/>
              <w:rPr>
                <w:sz w:val="19"/>
                <w:szCs w:val="19"/>
                <w:color w:val="auto"/>
              </w:rPr>
            </w:pPr>
          </w:p>
        </w:tc>
      </w:tr>
      <w:tr>
        <w:trPr>
          <w:trHeight w:val="207"/>
        </w:trPr>
        <w:tc>
          <w:tcPr>
            <w:tcW w:w="6460" w:type="dxa"/>
            <w:vAlign w:val="bottom"/>
          </w:tcPr>
          <w:p>
            <w:pPr>
              <w:spacing w:after="0"/>
              <w:rPr>
                <w:sz w:val="20"/>
                <w:szCs w:val="20"/>
                <w:color w:val="auto"/>
              </w:rPr>
            </w:pPr>
            <w:r>
              <w:rPr>
                <w:rFonts w:ascii="Arial" w:cs="Arial" w:eastAsia="Arial" w:hAnsi="Arial"/>
                <w:sz w:val="16"/>
                <w:szCs w:val="16"/>
                <w:color w:val="auto"/>
              </w:rPr>
              <w:t>Total</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4,923</w:t>
            </w:r>
          </w:p>
        </w:tc>
        <w:tc>
          <w:tcPr>
            <w:tcW w:w="300" w:type="dxa"/>
            <w:vAlign w:val="bottom"/>
          </w:tcPr>
          <w:p>
            <w:pPr>
              <w:spacing w:after="0"/>
              <w:rPr>
                <w:sz w:val="17"/>
                <w:szCs w:val="17"/>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5,465</w:t>
            </w:r>
          </w:p>
        </w:tc>
        <w:tc>
          <w:tcPr>
            <w:tcW w:w="120" w:type="dxa"/>
            <w:vAlign w:val="bottom"/>
          </w:tcPr>
          <w:p>
            <w:pPr>
              <w:spacing w:after="0"/>
              <w:rPr>
                <w:sz w:val="17"/>
                <w:szCs w:val="17"/>
                <w:color w:val="auto"/>
              </w:rPr>
            </w:pPr>
          </w:p>
        </w:tc>
      </w:tr>
      <w:tr>
        <w:trPr>
          <w:trHeight w:val="20"/>
        </w:trPr>
        <w:tc>
          <w:tcPr>
            <w:tcW w:w="6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Accumulated Other Comprehensive Income (Loss), Net of Taxes (AOCI)</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Postretirement benefit plans:</w:t>
            </w:r>
          </w:p>
        </w:tc>
        <w:tc>
          <w:tcPr>
            <w:tcW w:w="1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Arial" w:cs="Arial" w:eastAsia="Arial" w:hAnsi="Arial"/>
                <w:sz w:val="16"/>
                <w:szCs w:val="16"/>
                <w:color w:val="auto"/>
              </w:rPr>
              <w:t>Net actuarial loss</w:t>
            </w:r>
          </w:p>
        </w:tc>
        <w:tc>
          <w:tcPr>
            <w:tcW w:w="1220" w:type="dxa"/>
            <w:vAlign w:val="bottom"/>
          </w:tcPr>
          <w:p>
            <w:pPr>
              <w:jc w:val="right"/>
              <w:ind w:right="1062"/>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(542)</w:t>
            </w:r>
          </w:p>
        </w:tc>
        <w:tc>
          <w:tcPr>
            <w:tcW w:w="640" w:type="dxa"/>
            <w:vAlign w:val="bottom"/>
            <w:gridSpan w:val="2"/>
          </w:tcPr>
          <w:p>
            <w:pPr>
              <w:jc w:val="right"/>
              <w:ind w:right="344"/>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9"/>
        </w:trPr>
        <w:tc>
          <w:tcPr>
            <w:tcW w:w="75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Prior service credit</w:t>
            </w: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6"/>
                <w:szCs w:val="16"/>
                <w:color w:val="auto"/>
              </w:rPr>
              <w:t>Cash flow hedge derivative</w:t>
            </w:r>
          </w:p>
        </w:tc>
        <w:tc>
          <w:tcPr>
            <w:tcW w:w="1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75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jc w:val="right"/>
              <w:ind w:right="1062"/>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(526)</w:t>
            </w:r>
          </w:p>
        </w:tc>
        <w:tc>
          <w:tcPr>
            <w:tcW w:w="1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in 2016, 2015 and 2014. The table below details where these transactions are recorded in our Consolidated Statements of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w w:val="94"/>
              </w:rPr>
              <w:t>For Years Ended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6"/>
                <w:szCs w:val="16"/>
                <w:b w:val="1"/>
                <w:bCs w:val="1"/>
                <w:color w:val="auto"/>
                <w:w w:val="95"/>
              </w:rPr>
              <w:t>Impact to</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w w:val="94"/>
              </w:rPr>
              <w:t>December 31,</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6"/>
                <w:szCs w:val="16"/>
                <w:b w:val="1"/>
                <w:bCs w:val="1"/>
                <w:color w:val="auto"/>
                <w:w w:val="91"/>
              </w:rPr>
              <w:t>Related Statement</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Details about AOCI Components</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bottom w:val="single" w:sz="8" w:color="CFF0FC"/>
            </w:tcBorders>
          </w:tcPr>
          <w:p>
            <w:pPr>
              <w:spacing w:after="0"/>
              <w:rPr>
                <w:sz w:val="18"/>
                <w:szCs w:val="18"/>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Income Line</w:t>
            </w:r>
          </w:p>
        </w:tc>
        <w:tc>
          <w:tcPr>
            <w:tcW w:w="0" w:type="dxa"/>
            <w:vAlign w:val="bottom"/>
          </w:tcPr>
          <w:p>
            <w:pPr>
              <w:spacing w:after="0"/>
              <w:rPr>
                <w:sz w:val="1"/>
                <w:szCs w:val="1"/>
                <w:color w:val="auto"/>
              </w:rPr>
            </w:pPr>
          </w:p>
        </w:tc>
      </w:tr>
      <w:tr>
        <w:trPr>
          <w:trHeight w:val="212"/>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Net actuarial gains (losses) of defined benefit plans: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 losses (a)</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Increase to Pension expense (b)</w:t>
            </w:r>
          </w:p>
        </w:tc>
        <w:tc>
          <w:tcPr>
            <w:tcW w:w="0" w:type="dxa"/>
            <w:vAlign w:val="bottom"/>
          </w:tcPr>
          <w:p>
            <w:pPr>
              <w:spacing w:after="0"/>
              <w:rPr>
                <w:sz w:val="1"/>
                <w:szCs w:val="1"/>
                <w:color w:val="auto"/>
              </w:rPr>
            </w:pPr>
          </w:p>
        </w:tc>
      </w:tr>
      <w:tr>
        <w:trPr>
          <w:trHeight w:val="219"/>
        </w:trPr>
        <w:tc>
          <w:tcPr>
            <w:tcW w:w="49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 effect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w:t>
            </w:r>
          </w:p>
        </w:tc>
        <w:tc>
          <w:tcPr>
            <w:tcW w:w="3100" w:type="dxa"/>
            <w:vAlign w:val="bottom"/>
            <w:shd w:val="clear" w:color="auto" w:fill="CFF0FC"/>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1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vMerge w:val="restart"/>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line="20" w:lineRule="exact"/>
              <w:rPr>
                <w:sz w:val="1"/>
                <w:szCs w:val="1"/>
                <w:color w:val="auto"/>
              </w:rPr>
            </w:pPr>
          </w:p>
        </w:tc>
      </w:tr>
      <w:tr>
        <w:trPr>
          <w:trHeight w:val="247"/>
        </w:trPr>
        <w:tc>
          <w:tcPr>
            <w:tcW w:w="49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10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9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6"/>
                <w:szCs w:val="16"/>
                <w:color w:val="auto"/>
              </w:rPr>
              <w:t>Prior service (cost) credit of defined benefit plans: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Amortization of prior service cost (credit) and Curtailment</w:t>
            </w:r>
          </w:p>
        </w:tc>
        <w:tc>
          <w:tcPr>
            <w:tcW w:w="300" w:type="dxa"/>
            <w:vAlign w:val="bottom"/>
            <w:gridSpan w:val="2"/>
            <w:vMerge w:val="restart"/>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(a)</w:t>
            </w:r>
          </w:p>
        </w:tc>
        <w:tc>
          <w:tcPr>
            <w:tcW w:w="300" w:type="dxa"/>
            <w:vAlign w:val="bottom"/>
            <w:gridSpan w:val="2"/>
            <w:vMerge w:val="continue"/>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100" w:type="dxa"/>
            <w:vAlign w:val="bottom"/>
            <w:shd w:val="clear" w:color="auto" w:fill="CFF0FC"/>
          </w:tcPr>
          <w:p>
            <w:pPr>
              <w:spacing w:after="0"/>
              <w:rPr>
                <w:sz w:val="20"/>
                <w:szCs w:val="20"/>
                <w:color w:val="auto"/>
              </w:rPr>
            </w:pPr>
            <w:r>
              <w:rPr>
                <w:rFonts w:ascii="Arial" w:cs="Arial" w:eastAsia="Arial" w:hAnsi="Arial"/>
                <w:sz w:val="16"/>
                <w:szCs w:val="16"/>
                <w:color w:val="auto"/>
              </w:rPr>
              <w:t>Decrease to Pension expense (b)</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Tax effect</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31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100" w:type="dxa"/>
            <w:vAlign w:val="bottom"/>
            <w:shd w:val="clear" w:color="auto" w:fill="CFF0FC"/>
          </w:tcPr>
          <w:p>
            <w:pPr>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Derivative instruments: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Amortization of treasury-rate locks</w:t>
            </w:r>
          </w:p>
        </w:tc>
        <w:tc>
          <w:tcPr>
            <w:tcW w:w="30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Increase to Interest and debt expense</w:t>
            </w:r>
          </w:p>
        </w:tc>
        <w:tc>
          <w:tcPr>
            <w:tcW w:w="0" w:type="dxa"/>
            <w:vAlign w:val="bottom"/>
          </w:tcPr>
          <w:p>
            <w:pPr>
              <w:spacing w:after="0"/>
              <w:rPr>
                <w:sz w:val="1"/>
                <w:szCs w:val="1"/>
                <w:color w:val="auto"/>
              </w:rPr>
            </w:pPr>
          </w:p>
        </w:tc>
      </w:tr>
      <w:tr>
        <w:trPr>
          <w:trHeight w:val="219"/>
        </w:trPr>
        <w:tc>
          <w:tcPr>
            <w:tcW w:w="49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 effect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3100" w:type="dxa"/>
            <w:vAlign w:val="bottom"/>
            <w:shd w:val="clear" w:color="auto" w:fill="CFF0FC"/>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1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vMerge w:val="restart"/>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line="20" w:lineRule="exact"/>
              <w:rPr>
                <w:sz w:val="1"/>
                <w:szCs w:val="1"/>
                <w:color w:val="auto"/>
              </w:rPr>
            </w:pPr>
          </w:p>
        </w:tc>
      </w:tr>
      <w:tr>
        <w:trPr>
          <w:trHeight w:val="207"/>
        </w:trPr>
        <w:tc>
          <w:tcPr>
            <w:tcW w:w="49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Detailed in Note 10.</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Pension expense is included in COR, R&amp;D, SG&amp;A and Restructuring charges/other.</w:t>
      </w:r>
    </w:p>
    <w:p>
      <w:pPr>
        <w:spacing w:after="0" w:line="400"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Quarterly financial data (unaudited)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our early adoption of ASU 2016-09, we have recast Net income and EPS for the first three quarters of 2016 to conform to the new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additional information, including the effects of the change on previously reported quarterly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2016 Quarters</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6"/>
                <w:szCs w:val="16"/>
                <w:b w:val="1"/>
                <w:bCs w:val="1"/>
                <w:color w:val="auto"/>
              </w:rPr>
              <w:t>2015 Quarters</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30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4th</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3rd</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2nd</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1st</w:t>
            </w: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4th</w:t>
            </w: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3rd</w:t>
            </w: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2nd</w:t>
            </w: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1st</w:t>
            </w:r>
          </w:p>
        </w:tc>
        <w:tc>
          <w:tcPr>
            <w:tcW w:w="60" w:type="dxa"/>
            <w:vAlign w:val="bottom"/>
            <w:tcBorders>
              <w:bottom w:val="single" w:sz="8" w:color="CFF0FC"/>
            </w:tcBorders>
          </w:tcPr>
          <w:p>
            <w:pPr>
              <w:spacing w:after="0"/>
              <w:rPr>
                <w:sz w:val="18"/>
                <w:szCs w:val="18"/>
                <w:color w:val="auto"/>
              </w:rPr>
            </w:pPr>
          </w:p>
        </w:tc>
      </w:tr>
      <w:tr>
        <w:trPr>
          <w:trHeight w:val="212"/>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3,414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3,675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3,273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3,008</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3,189</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3,429</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3,232</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3,150</w:t>
            </w:r>
          </w:p>
        </w:tc>
        <w:tc>
          <w:tcPr>
            <w:tcW w:w="60" w:type="dxa"/>
            <w:vAlign w:val="bottom"/>
            <w:shd w:val="clear" w:color="auto" w:fill="CFF0FC"/>
          </w:tcPr>
          <w:p>
            <w:pPr>
              <w:spacing w:after="0"/>
              <w:rPr>
                <w:sz w:val="18"/>
                <w:szCs w:val="18"/>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2,280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1,824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1,816</w:t>
            </w:r>
          </w:p>
        </w:tc>
        <w:tc>
          <w:tcPr>
            <w:tcW w:w="60" w:type="dxa"/>
            <w:vAlign w:val="bottom"/>
          </w:tcPr>
          <w:p>
            <w:pPr>
              <w:spacing w:after="0"/>
              <w:rPr>
                <w:sz w:val="18"/>
                <w:szCs w:val="18"/>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Included in Operating profit:</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3"/>
        </w:trPr>
        <w:tc>
          <w:tcPr>
            <w:tcW w:w="3020" w:type="dxa"/>
            <w:vAlign w:val="bottom"/>
          </w:tcPr>
          <w:p>
            <w:pPr>
              <w:ind w:left="140"/>
              <w:spacing w:after="0"/>
              <w:rPr>
                <w:sz w:val="20"/>
                <w:szCs w:val="20"/>
                <w:color w:val="auto"/>
              </w:rPr>
            </w:pPr>
            <w:r>
              <w:rPr>
                <w:rFonts w:ascii="Arial" w:cs="Arial" w:eastAsia="Arial" w:hAnsi="Arial"/>
                <w:sz w:val="16"/>
                <w:szCs w:val="16"/>
                <w:color w:val="auto"/>
              </w:rPr>
              <w:t>Acquisition charges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w:t>
            </w:r>
          </w:p>
        </w:tc>
        <w:tc>
          <w:tcPr>
            <w:tcW w:w="60" w:type="dxa"/>
            <w:vAlign w:val="bottom"/>
          </w:tcPr>
          <w:p>
            <w:pPr>
              <w:spacing w:after="0"/>
              <w:rPr>
                <w:sz w:val="18"/>
                <w:szCs w:val="18"/>
                <w:color w:val="auto"/>
              </w:rPr>
            </w:pPr>
          </w:p>
        </w:tc>
      </w:tr>
      <w:tr>
        <w:trPr>
          <w:trHeight w:val="219"/>
        </w:trPr>
        <w:tc>
          <w:tcPr>
            <w:tcW w:w="30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Restructuring charges/other</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Operating profit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958</w:t>
            </w:r>
          </w:p>
        </w:tc>
        <w:tc>
          <w:tcPr>
            <w:tcW w:w="60" w:type="dxa"/>
            <w:vAlign w:val="bottom"/>
          </w:tcPr>
          <w:p>
            <w:pPr>
              <w:spacing w:after="0"/>
              <w:rPr>
                <w:sz w:val="18"/>
                <w:szCs w:val="18"/>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1,018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819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711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w:t>
            </w:r>
          </w:p>
        </w:tc>
        <w:tc>
          <w:tcPr>
            <w:tcW w:w="60" w:type="dxa"/>
            <w:vAlign w:val="bottom"/>
            <w:shd w:val="clear" w:color="auto" w:fill="CFF0FC"/>
          </w:tcPr>
          <w:p>
            <w:pPr>
              <w:spacing w:after="0"/>
              <w:rPr>
                <w:sz w:val="19"/>
                <w:szCs w:val="19"/>
                <w:color w:val="auto"/>
              </w:rPr>
            </w:pPr>
          </w:p>
        </w:tc>
      </w:tr>
      <w:tr>
        <w:trPr>
          <w:trHeight w:val="216"/>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Basic EPS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0.81</w:t>
            </w:r>
          </w:p>
        </w:tc>
        <w:tc>
          <w:tcPr>
            <w:tcW w:w="3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0.70</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0.81</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0.77</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0.66</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0.62</w:t>
            </w:r>
          </w:p>
        </w:tc>
        <w:tc>
          <w:tcPr>
            <w:tcW w:w="60" w:type="dxa"/>
            <w:vAlign w:val="bottom"/>
            <w:shd w:val="clear" w:color="auto" w:fill="CFF0FC"/>
          </w:tcPr>
          <w:p>
            <w:pPr>
              <w:spacing w:after="0"/>
              <w:rPr>
                <w:sz w:val="18"/>
                <w:szCs w:val="18"/>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6"/>
                <w:szCs w:val="16"/>
                <w:color w:val="auto"/>
              </w:rPr>
              <w:t>Diluted EPS</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120" w:type="dxa"/>
            <w:vAlign w:val="bottom"/>
          </w:tcPr>
          <w:p>
            <w:pPr>
              <w:spacing w:after="0"/>
              <w:rPr>
                <w:sz w:val="18"/>
                <w:szCs w:val="18"/>
                <w:color w:val="auto"/>
              </w:rPr>
            </w:pPr>
          </w:p>
        </w:tc>
        <w:tc>
          <w:tcPr>
            <w:tcW w:w="26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0.98</w:t>
            </w:r>
          </w:p>
        </w:tc>
        <w:tc>
          <w:tcPr>
            <w:tcW w:w="18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0.79</w:t>
            </w:r>
          </w:p>
        </w:tc>
        <w:tc>
          <w:tcPr>
            <w:tcW w:w="3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0.69</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0.76</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0.61</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2016 and 2015, and the related consolidated statements of income, comprehensive income, stockholders’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2016 and 2015, and the consolidated results of their operations and their cash flows for each of the three years in the period ended December 31, 2016, in conformity with U.S. generally accepted accounting principles.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2 to the consolidated financial statements, the Company changed its method of accounting for stock compensation in 2016.</w:t>
      </w:r>
    </w:p>
    <w:p>
      <w:pPr>
        <w:spacing w:after="0" w:line="26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2016, based on criteria established in Internal Control-Integrated Framework issued by the Committee of Sponsoring Organizations of the Treadway Commission (2013 framework) and our report dated February 23, 2017,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119380</wp:posOffset>
            </wp:positionV>
            <wp:extent cx="1629410" cy="428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294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8" w:name="page59"/>
    <w:bookmarkEnd w:id="58"/>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TI’s management, including its chief executive officer and principal financial officer, of the effectiveness of the design and operation of TI’s disclosure controls and procedures (as defined in Rules 13a-15(e) and 15d-15(e) under the Securities Exchange Act of 1934). Based upon that evaluation, the chief executive officer and principal financial officer concluded that those disclosure controls and procedures were effective.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by management on internal control over financial reporting</w:t>
      </w:r>
    </w:p>
    <w:p>
      <w:pPr>
        <w:spacing w:after="0" w:line="117" w:lineRule="exact"/>
        <w:rPr>
          <w:sz w:val="20"/>
          <w:szCs w:val="20"/>
          <w:color w:val="auto"/>
        </w:rPr>
      </w:pPr>
    </w:p>
    <w:p>
      <w:pPr>
        <w:jc w:val="both"/>
        <w:ind w:right="280"/>
        <w:spacing w:after="0" w:line="276" w:lineRule="auto"/>
        <w:rPr>
          <w:sz w:val="20"/>
          <w:szCs w:val="20"/>
          <w:color w:val="auto"/>
        </w:rPr>
      </w:pPr>
      <w:r>
        <w:rPr>
          <w:rFonts w:ascii="Arial" w:cs="Arial" w:eastAsia="Arial" w:hAnsi="Arial"/>
          <w:sz w:val="17"/>
          <w:szCs w:val="17"/>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2016 that has materially affected, or is reasonably likely to materially affect, our internal control over financial reporting.</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 management assessed the effectiveness of internal control over financial reporting as of December 31, 2016. In making this assessment, we used the criteria set forth by the Committee of Sponsoring Organizations of the Treadway Commission (2013 framework) (the COSO criteria) in Internal Control − Integrated Framework. Based on our assessment, we believe that, as of December 31, 2016, our internal control over financial reporting is effective based on the COSO criteria.</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Report of independent registered public accounting firm on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Texas Instruments Incorporated’s internal control over financial reporting as of December 31, 2016, based on criteria established in Internal Control − Integrated Framework issued by the Committee of Sponsoring Organizations of the Treadway Commission (2013 framework) (the COSO criteria). Texas Instruments Incorporated’s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our opinion, Texas Instruments Incorporated maintained, in all material respects, effective internal control over financial reporting as of December 31, 2016, based on the COSO criteria.</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Texas Instruments Incorporated and subsidiaries as of December 31, 2016 and 2015, and the related consolidated statements of income, comprehensive income, stockholders’ equity, and cash flows for each of the three years in the period ended December 31, 2016, and our report dated February 23, 2017,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127635</wp:posOffset>
            </wp:positionV>
            <wp:extent cx="1629410" cy="428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294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61" w:name="page62"/>
    <w:bookmarkEnd w:id="61"/>
    <w:p>
      <w:pPr>
        <w:ind w:left="53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0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2017 annual meeting of stockholders, is incorporated herein by reference to such proxy statement.</w:t>
      </w:r>
    </w:p>
    <w:p>
      <w:pPr>
        <w:spacing w:after="0" w:line="8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information with respect to directors’ business experience, which is contained under the caption “Board diversity and nominee qualifications” in our proxy statement for the 2017 annual meeting of stockholders, is incorporated herein by reference to such proxy statement.</w:t>
      </w:r>
    </w:p>
    <w:p>
      <w:pPr>
        <w:spacing w:after="0" w:line="10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2017 annual meeting of stockholders is incorporated herein by reference to such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Code of Ethics</w:t>
      </w:r>
    </w:p>
    <w:p>
      <w:pPr>
        <w:spacing w:after="0" w:line="10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have adopted the Code of Ethics for TI Chief Executive Officer and Senior Finance Officers. A copy of the Code can be found on our website at www.ti.com/corporategovernance. We intend to satisfy the disclosure requirements of the SEC regarding amendments to, or waivers from, the Code by posting such information on the same website.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2017 annual meeting of stockholders is incorporated herein by reference to such proxy statement.</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2017 annual meeting of stockholders is incorporated herein by reference to such proxy statement, provided that the Compensation Committee report shall not be deemed filed with this Form 10-K.</w:t>
      </w:r>
    </w:p>
    <w:p>
      <w:pPr>
        <w:spacing w:after="0" w:line="1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2017 annual meeting of stockholders is incorporated herein by reference to such proxy statement.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2" w:name="page63"/>
    <w:bookmarkEnd w:id="62"/>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2016.</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80" w:type="dxa"/>
            <w:vAlign w:val="bottom"/>
            <w:gridSpan w:val="2"/>
            <w:vMerge w:val="restart"/>
          </w:tcPr>
          <w:p>
            <w:pPr>
              <w:jc w:val="center"/>
              <w:ind w:right="1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gridSpan w:val="2"/>
          </w:tcPr>
          <w:p>
            <w:pPr>
              <w:jc w:val="center"/>
              <w:ind w:right="1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380" w:type="dxa"/>
            <w:vAlign w:val="bottom"/>
            <w:gridSpan w:val="4"/>
            <w:vMerge w:val="continue"/>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00" w:type="dxa"/>
            <w:vAlign w:val="bottom"/>
          </w:tcPr>
          <w:p>
            <w:pPr>
              <w:spacing w:after="0"/>
              <w:rPr>
                <w:sz w:val="12"/>
                <w:szCs w:val="12"/>
                <w:color w:val="auto"/>
              </w:rPr>
            </w:pPr>
          </w:p>
        </w:tc>
        <w:tc>
          <w:tcPr>
            <w:tcW w:w="1280" w:type="dxa"/>
            <w:vAlign w:val="bottom"/>
            <w:gridSpan w:val="3"/>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1"/>
              </w:rPr>
              <w:t>Options,</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gridSpan w:val="2"/>
          </w:tcPr>
          <w:p>
            <w:pPr>
              <w:jc w:val="center"/>
              <w:ind w:right="1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49"/>
        </w:trPr>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4120" w:type="dxa"/>
            <w:vAlign w:val="bottom"/>
            <w:vMerge w:val="restart"/>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1"/>
              </w:rPr>
              <w:t>Rights</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gridSpan w:val="2"/>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12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90"/>
              <w:spacing w:after="0" w:line="158" w:lineRule="exact"/>
              <w:rPr>
                <w:sz w:val="20"/>
                <w:szCs w:val="20"/>
                <w:color w:val="auto"/>
              </w:rPr>
            </w:pPr>
            <w:r>
              <w:rPr>
                <w:rFonts w:ascii="Arial" w:cs="Arial" w:eastAsia="Arial" w:hAnsi="Arial"/>
                <w:sz w:val="14"/>
                <w:szCs w:val="14"/>
                <w:b w:val="1"/>
                <w:bCs w:val="1"/>
                <w:color w:val="auto"/>
              </w:rPr>
              <w:t>(b)</w:t>
            </w:r>
          </w:p>
        </w:tc>
        <w:tc>
          <w:tcPr>
            <w:tcW w:w="14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top w:val="single" w:sz="8" w:color="CFF0FC"/>
            </w:tcBorders>
            <w:gridSpan w:val="2"/>
            <w:shd w:val="clear" w:color="auto" w:fill="CFF0FC"/>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p>
        </w:tc>
        <w:tc>
          <w:tcPr>
            <w:tcW w:w="96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62,380,188</w:t>
            </w:r>
          </w:p>
        </w:tc>
        <w:tc>
          <w:tcPr>
            <w:tcW w:w="320" w:type="dxa"/>
            <w:vAlign w:val="bottom"/>
            <w:tcBorders>
              <w:top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ind w:left="280"/>
              <w:spacing w:after="0" w:line="203" w:lineRule="exact"/>
              <w:rPr>
                <w:sz w:val="20"/>
                <w:szCs w:val="20"/>
                <w:color w:val="auto"/>
              </w:rPr>
            </w:pPr>
            <w:r>
              <w:rPr>
                <w:rFonts w:ascii="Arial" w:cs="Arial" w:eastAsia="Arial" w:hAnsi="Arial"/>
                <w:sz w:val="18"/>
                <w:szCs w:val="18"/>
                <w:color w:val="auto"/>
                <w:w w:val="84"/>
              </w:rPr>
              <w:t>42.01</w:t>
            </w:r>
          </w:p>
        </w:tc>
        <w:tc>
          <w:tcPr>
            <w:tcW w:w="500" w:type="dxa"/>
            <w:vAlign w:val="bottom"/>
            <w:tcBorders>
              <w:top w:val="single" w:sz="8" w:color="CFF0FC"/>
            </w:tcBorders>
            <w:shd w:val="clear" w:color="auto" w:fill="CFF0FC"/>
          </w:tcPr>
          <w:p>
            <w:pPr>
              <w:jc w:val="right"/>
              <w:ind w:right="150"/>
              <w:spacing w:after="0" w:line="203" w:lineRule="exact"/>
              <w:rPr>
                <w:sz w:val="20"/>
                <w:szCs w:val="20"/>
                <w:color w:val="auto"/>
              </w:rPr>
            </w:pPr>
            <w:r>
              <w:rPr>
                <w:rFonts w:ascii="Arial" w:cs="Arial" w:eastAsia="Arial" w:hAnsi="Arial"/>
                <w:sz w:val="18"/>
                <w:szCs w:val="18"/>
                <w:color w:val="auto"/>
              </w:rPr>
              <w:t>(2)</w:t>
            </w:r>
          </w:p>
        </w:tc>
        <w:tc>
          <w:tcPr>
            <w:tcW w:w="112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97,283,403</w:t>
            </w:r>
          </w:p>
        </w:tc>
        <w:tc>
          <w:tcPr>
            <w:tcW w:w="340" w:type="dxa"/>
            <w:vAlign w:val="bottom"/>
            <w:tcBorders>
              <w:top w:val="single" w:sz="8" w:color="CFF0FC"/>
            </w:tcBorders>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2,645,024 (4)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41.89 (2)</w:t>
            </w: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65,025,212 (5)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280"/>
              <w:spacing w:after="0"/>
              <w:rPr>
                <w:sz w:val="20"/>
                <w:szCs w:val="20"/>
                <w:color w:val="auto"/>
              </w:rPr>
            </w:pPr>
            <w:r>
              <w:rPr>
                <w:rFonts w:ascii="Arial" w:cs="Arial" w:eastAsia="Arial" w:hAnsi="Arial"/>
                <w:sz w:val="18"/>
                <w:szCs w:val="18"/>
                <w:color w:val="auto"/>
                <w:w w:val="84"/>
              </w:rPr>
              <w:t>42.00</w:t>
            </w:r>
          </w:p>
        </w:tc>
        <w:tc>
          <w:tcPr>
            <w:tcW w:w="5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97,283,403</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20" w:right="60" w:hanging="512"/>
        <w:spacing w:after="0" w:line="286"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 shares of TI common stock to be issued under the Texas Instruments 2003 Director Compensation Plan (the “2003 Director Plan”), the Texas Instruments 2009 Long-Term Incentive Plan (the “2009 LTIP”) and predecessor stockholder-approved plans, the Texas Instruments 2009 Director Compensation Plan (the “2009 Director Plan”) and the TI Employees 2014 Stock Purchase Plan (the “2014 ESPP”).</w:t>
      </w:r>
    </w:p>
    <w:p>
      <w:pPr>
        <w:spacing w:after="0" w:line="57" w:lineRule="exact"/>
        <w:rPr>
          <w:rFonts w:ascii="Arial" w:cs="Arial" w:eastAsia="Arial" w:hAnsi="Arial"/>
          <w:sz w:val="17"/>
          <w:szCs w:val="17"/>
          <w:color w:val="auto"/>
        </w:rPr>
      </w:pPr>
    </w:p>
    <w:p>
      <w:pPr>
        <w:ind w:left="520" w:right="80" w:hanging="512"/>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62" w:lineRule="exact"/>
        <w:rPr>
          <w:rFonts w:ascii="Arial" w:cs="Arial" w:eastAsia="Arial" w:hAnsi="Arial"/>
          <w:sz w:val="18"/>
          <w:szCs w:val="18"/>
          <w:color w:val="auto"/>
        </w:rPr>
      </w:pPr>
    </w:p>
    <w:p>
      <w:pPr>
        <w:ind w:left="520" w:right="180" w:hanging="512"/>
        <w:spacing w:after="0" w:line="259"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Shares of TI common stock available for future issuance under the 2009 LTIP, the 2009 Director Plan and the 2014 ESPP. 59,581,585 shares remain available for future issuance under the 2009 LTIP and 1,314,646 shares remain available for future issuance under the 2009 Director Plan. Under the 2009 LTIP and the 2009 Director Plan, shares may be granted in the form of restricted stock units, options or other stock-based awards such as restricted stock.</w:t>
      </w:r>
    </w:p>
    <w:p>
      <w:pPr>
        <w:spacing w:after="0" w:line="78" w:lineRule="exact"/>
        <w:rPr>
          <w:rFonts w:ascii="Arial" w:cs="Arial" w:eastAsia="Arial" w:hAnsi="Arial"/>
          <w:sz w:val="18"/>
          <w:szCs w:val="18"/>
          <w:color w:val="auto"/>
        </w:rPr>
      </w:pPr>
    </w:p>
    <w:p>
      <w:pPr>
        <w:ind w:left="520" w:hanging="512"/>
        <w:spacing w:after="0" w:line="289" w:lineRule="auto"/>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shares to be issued under the Texas Instruments 2003 Long-Term Incentive Plan (the “2003 LTIP”). The 2003 LTIP was replaced by the 2009 LTIP, which was approved by stockholders. No further grants may be made under the 2003 LTIP. Only non-management employees were eligible to receive awards under the 2003 LTIP. The 2003 LTIP authorized the grant of shares in the form of restricted stock units, options or other stock-based awards such as restricted stock. The plan is administered by a committee of independent directors (the Committee). The Committee had the sole discretion to grant to eligible participants one or more equity awards and to determine the number or amount of any award. Except in the case of awards made through assumption of, or in substitution for, outstanding awards previously granted by an acquired company, and except as a result of an adjustment event such as a stock split, the exercise price under any stock option, the grant price of any stock appreciation right, and the purchase price of any security that could be purchased under any other stock-based award under the 2003 LTIP could not be less than 100 percent of the fair market value of the stock or other security on the effective date of the grant of the option, right or award.</w:t>
      </w:r>
    </w:p>
    <w:p>
      <w:pPr>
        <w:spacing w:after="0" w:line="58" w:lineRule="exact"/>
        <w:rPr>
          <w:rFonts w:ascii="Arial" w:cs="Arial" w:eastAsia="Arial" w:hAnsi="Arial"/>
          <w:sz w:val="16"/>
          <w:szCs w:val="16"/>
          <w:color w:val="auto"/>
        </w:rPr>
      </w:pPr>
    </w:p>
    <w:p>
      <w:pPr>
        <w:jc w:val="both"/>
        <w:ind w:left="520" w:right="20"/>
        <w:spacing w:after="0" w:line="264" w:lineRule="auto"/>
        <w:rPr>
          <w:rFonts w:ascii="Arial" w:cs="Arial" w:eastAsia="Arial" w:hAnsi="Arial"/>
          <w:sz w:val="16"/>
          <w:szCs w:val="16"/>
          <w:color w:val="auto"/>
        </w:rPr>
      </w:pPr>
      <w:r>
        <w:rPr>
          <w:rFonts w:ascii="Arial" w:cs="Arial" w:eastAsia="Arial" w:hAnsi="Arial"/>
          <w:sz w:val="18"/>
          <w:szCs w:val="18"/>
          <w:color w:val="auto"/>
        </w:rPr>
        <w:t>Also includes shares to be issued under the Texas Instruments Directors Deferred Compensation Plan and the Texas Instruments Restricted Stock Unit Plan for Directors. These plans were replaced by the stockholder-approved 2003 Director Plan (which was replaced by the 2009 Director Plan), and no further grants may be made under them.</w:t>
      </w:r>
    </w:p>
    <w:p>
      <w:pPr>
        <w:spacing w:after="0" w:line="73" w:lineRule="exact"/>
        <w:rPr>
          <w:rFonts w:ascii="Arial" w:cs="Arial" w:eastAsia="Arial" w:hAnsi="Arial"/>
          <w:sz w:val="16"/>
          <w:szCs w:val="16"/>
          <w:color w:val="auto"/>
        </w:rPr>
      </w:pPr>
    </w:p>
    <w:p>
      <w:pPr>
        <w:ind w:left="520" w:right="16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52,265,788 shares for issuance upon exercise of outstanding grants of options, 12,332,379 shares for issuance upon vesting of outstanding grants of restricted stock units, 283,400 shares for issuance under the 2014 ESPP and 143,645 shares for issuance in settlement of directors’ deferred compensation accounts.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117"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color w:val="auto"/>
        </w:rPr>
        <w:t>The information that is contained under the captions “Security ownership of certain beneficial owners” and “Security ownership of directors and management” in our proxy statement for the 2017 annual meeting of stockholders is incorporated herein by reference to such proxy statement.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21" w:right="259" w:bottom="1440" w:gutter="0" w:footer="0" w:header="0"/>
        </w:sectPr>
      </w:pPr>
    </w:p>
    <w:bookmarkStart w:id="63" w:name="page64"/>
    <w:bookmarkEnd w:id="63"/>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under the caption “Related person transactions” in our proxy statement for the 2017 annual meeting of stockholders is incorporated herein by reference to such proxy statement.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contained under the caption “Director independence” in our proxy statement for the 2017 annual meeting of stockholders is incorporated herein by reference to such proxy statement.</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in our proxy statement for the 2017 annual meeting of stockholders is incorporated herein by reference to such proxy statement.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ind w:left="57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listed in the index included in Item 8, “Financial Statements and Supplementary Data.”</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Designation of</w:t>
            </w:r>
          </w:p>
        </w:tc>
        <w:tc>
          <w:tcPr>
            <w:tcW w:w="320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3300" w:type="dxa"/>
            <w:vAlign w:val="bottom"/>
            <w:tcBorders>
              <w:top w:val="single" w:sz="8" w:color="auto"/>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Incorporated by Reference</w:t>
            </w:r>
          </w:p>
        </w:tc>
        <w:tc>
          <w:tcPr>
            <w:tcW w:w="1380" w:type="dxa"/>
            <w:vAlign w:val="bottom"/>
            <w:tcBorders>
              <w:top w:val="single" w:sz="8" w:color="auto"/>
              <w:bottom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Filed or Furnished</w:t>
            </w:r>
          </w:p>
        </w:tc>
        <w:tc>
          <w:tcPr>
            <w:tcW w:w="20" w:type="dxa"/>
            <w:vAlign w:val="bottom"/>
          </w:tcPr>
          <w:p>
            <w:pPr>
              <w:spacing w:after="0"/>
              <w:rPr>
                <w:sz w:val="14"/>
                <w:szCs w:val="14"/>
                <w:color w:val="auto"/>
              </w:rPr>
            </w:pPr>
          </w:p>
        </w:tc>
      </w:tr>
      <w:tr>
        <w:trPr>
          <w:trHeight w:val="142"/>
        </w:trPr>
        <w:tc>
          <w:tcPr>
            <w:tcW w:w="118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Exhibit</w:t>
            </w:r>
          </w:p>
        </w:tc>
        <w:tc>
          <w:tcPr>
            <w:tcW w:w="3200" w:type="dxa"/>
            <w:vAlign w:val="bottom"/>
            <w:tcBorders>
              <w:bottom w:val="single" w:sz="8" w:color="auto"/>
              <w:right w:val="single" w:sz="8" w:color="auto"/>
            </w:tcBorders>
          </w:tcPr>
          <w:p>
            <w:pPr>
              <w:ind w:left="900"/>
              <w:spacing w:after="0" w:line="142" w:lineRule="exact"/>
              <w:rPr>
                <w:sz w:val="20"/>
                <w:szCs w:val="20"/>
                <w:color w:val="auto"/>
              </w:rPr>
            </w:pPr>
            <w:r>
              <w:rPr>
                <w:rFonts w:ascii="Arial" w:cs="Arial" w:eastAsia="Arial" w:hAnsi="Arial"/>
                <w:sz w:val="14"/>
                <w:szCs w:val="14"/>
                <w:b w:val="1"/>
                <w:bCs w:val="1"/>
                <w:color w:val="auto"/>
              </w:rPr>
              <w:t>Description of Exhibit</w:t>
            </w:r>
          </w:p>
        </w:tc>
        <w:tc>
          <w:tcPr>
            <w:tcW w:w="1000" w:type="dxa"/>
            <w:vAlign w:val="bottom"/>
            <w:tcBorders>
              <w:bottom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Form</w:t>
            </w:r>
          </w:p>
        </w:tc>
        <w:tc>
          <w:tcPr>
            <w:tcW w:w="14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File Number</w:t>
            </w:r>
          </w:p>
        </w:tc>
        <w:tc>
          <w:tcPr>
            <w:tcW w:w="1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Date of Filing</w:t>
            </w:r>
          </w:p>
        </w:tc>
        <w:tc>
          <w:tcPr>
            <w:tcW w:w="1380" w:type="dxa"/>
            <w:vAlign w:val="bottom"/>
            <w:tcBorders>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Exhibit Number</w:t>
            </w:r>
          </w:p>
        </w:tc>
        <w:tc>
          <w:tcPr>
            <w:tcW w:w="1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2"/>
                <w:szCs w:val="12"/>
                <w:color w:val="auto"/>
              </w:rPr>
            </w:pPr>
          </w:p>
        </w:tc>
      </w:tr>
      <w:tr>
        <w:trPr>
          <w:trHeight w:val="195"/>
        </w:trPr>
        <w:tc>
          <w:tcPr>
            <w:tcW w:w="1180" w:type="dxa"/>
            <w:vAlign w:val="bottom"/>
            <w:tcBorders>
              <w:left w:val="single" w:sz="8" w:color="auto"/>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b w:val="1"/>
                <w:bCs w:val="1"/>
                <w:color w:val="auto"/>
                <w:w w:val="93"/>
              </w:rPr>
              <w:t>3(a)</w:t>
            </w:r>
          </w:p>
        </w:tc>
        <w:tc>
          <w:tcPr>
            <w:tcW w:w="3200" w:type="dxa"/>
            <w:vAlign w:val="bottom"/>
            <w:tcBorders>
              <w:right w:val="single" w:sz="8" w:color="auto"/>
            </w:tcBorders>
            <w:shd w:val="clear" w:color="auto" w:fill="CFF0FC"/>
          </w:tcPr>
          <w:p>
            <w:pPr>
              <w:ind w:left="140"/>
              <w:spacing w:after="0" w:line="195" w:lineRule="exact"/>
              <w:rPr>
                <w:sz w:val="20"/>
                <w:szCs w:val="20"/>
                <w:color w:val="auto"/>
              </w:rPr>
            </w:pPr>
            <w:r>
              <w:rPr>
                <w:rFonts w:ascii="Arial" w:cs="Arial" w:eastAsia="Arial" w:hAnsi="Arial"/>
                <w:sz w:val="18"/>
                <w:szCs w:val="18"/>
                <w:color w:val="auto"/>
                <w:w w:val="97"/>
              </w:rPr>
              <w:t>Restated Certificate of Incorporation of</w:t>
            </w:r>
          </w:p>
        </w:tc>
        <w:tc>
          <w:tcPr>
            <w:tcW w:w="1000" w:type="dxa"/>
            <w:vAlign w:val="bottom"/>
            <w:shd w:val="clear" w:color="auto" w:fill="CFF0FC"/>
          </w:tcPr>
          <w:p>
            <w:pPr>
              <w:ind w:left="380"/>
              <w:spacing w:after="0" w:line="195" w:lineRule="exact"/>
              <w:rPr>
                <w:sz w:val="20"/>
                <w:szCs w:val="20"/>
                <w:color w:val="auto"/>
              </w:rPr>
            </w:pPr>
            <w:r>
              <w:rPr>
                <w:rFonts w:ascii="Arial" w:cs="Arial" w:eastAsia="Arial" w:hAnsi="Arial"/>
                <w:sz w:val="18"/>
                <w:szCs w:val="18"/>
                <w:color w:val="auto"/>
              </w:rPr>
              <w:t>10-K</w:t>
            </w:r>
          </w:p>
        </w:tc>
        <w:tc>
          <w:tcPr>
            <w:tcW w:w="1440" w:type="dxa"/>
            <w:vAlign w:val="bottom"/>
            <w:shd w:val="clear" w:color="auto" w:fill="CFF0FC"/>
          </w:tcPr>
          <w:p>
            <w:pPr>
              <w:jc w:val="right"/>
              <w:ind w:right="192"/>
              <w:spacing w:after="0" w:line="195" w:lineRule="exact"/>
              <w:rPr>
                <w:sz w:val="20"/>
                <w:szCs w:val="20"/>
                <w:color w:val="auto"/>
              </w:rPr>
            </w:pPr>
            <w:r>
              <w:rPr>
                <w:rFonts w:ascii="Arial" w:cs="Arial" w:eastAsia="Arial" w:hAnsi="Arial"/>
                <w:sz w:val="18"/>
                <w:szCs w:val="18"/>
                <w:color w:val="auto"/>
              </w:rPr>
              <w:t>001-3761</w:t>
            </w:r>
          </w:p>
        </w:tc>
        <w:tc>
          <w:tcPr>
            <w:tcW w:w="186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89"/>
              </w:rPr>
              <w:t>February 24, 2015</w:t>
            </w:r>
          </w:p>
        </w:tc>
        <w:tc>
          <w:tcPr>
            <w:tcW w:w="1380" w:type="dxa"/>
            <w:vAlign w:val="bottom"/>
            <w:tcBorders>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93"/>
              </w:rPr>
              <w:t>3(a)</w:t>
            </w:r>
          </w:p>
        </w:tc>
        <w:tc>
          <w:tcPr>
            <w:tcW w:w="1360" w:type="dxa"/>
            <w:vAlign w:val="bottom"/>
            <w:tcBorders>
              <w:right w:val="single" w:sz="8" w:color="auto"/>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180" w:type="dxa"/>
            <w:vAlign w:val="bottom"/>
            <w:tcBorders>
              <w:left w:val="single" w:sz="8" w:color="auto"/>
              <w:right w:val="single" w:sz="8" w:color="auto"/>
            </w:tcBorders>
            <w:shd w:val="clear" w:color="auto" w:fill="CFF0FC"/>
          </w:tcPr>
          <w:p>
            <w:pPr>
              <w:spacing w:after="0"/>
              <w:rPr>
                <w:sz w:val="18"/>
                <w:szCs w:val="18"/>
                <w:color w:val="auto"/>
              </w:rPr>
            </w:pPr>
          </w:p>
        </w:tc>
        <w:tc>
          <w:tcPr>
            <w:tcW w:w="3200" w:type="dxa"/>
            <w:vAlign w:val="bottom"/>
            <w:tcBorders>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6"/>
              </w:rPr>
              <w:t>the Registrant, dated April 18, 1985, as</w:t>
            </w: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380" w:type="dxa"/>
            <w:vAlign w:val="bottom"/>
            <w:tcBorders>
              <w:right w:val="single" w:sz="8" w:color="auto"/>
            </w:tcBorders>
            <w:shd w:val="clear" w:color="auto" w:fill="CFF0FC"/>
          </w:tcPr>
          <w:p>
            <w:pPr>
              <w:spacing w:after="0"/>
              <w:rPr>
                <w:sz w:val="18"/>
                <w:szCs w:val="18"/>
                <w:color w:val="auto"/>
              </w:rPr>
            </w:pPr>
          </w:p>
        </w:tc>
        <w:tc>
          <w:tcPr>
            <w:tcW w:w="1360" w:type="dxa"/>
            <w:vAlign w:val="bottom"/>
            <w:tcBorders>
              <w:right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amended</w:t>
            </w:r>
          </w:p>
        </w:tc>
        <w:tc>
          <w:tcPr>
            <w:tcW w:w="10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3(b)</w:t>
            </w: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By-Laws of the Registrant</w:t>
            </w: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8-K</w:t>
            </w:r>
          </w:p>
        </w:tc>
        <w:tc>
          <w:tcPr>
            <w:tcW w:w="14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001-3761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December 12, 2016</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36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4(a)</w:t>
            </w: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Indenture</w:t>
            </w:r>
          </w:p>
        </w:tc>
        <w:tc>
          <w:tcPr>
            <w:tcW w:w="1000" w:type="dxa"/>
            <w:vAlign w:val="bottom"/>
            <w:tcBorders>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rPr>
              <w:t>8-K</w:t>
            </w:r>
          </w:p>
        </w:tc>
        <w:tc>
          <w:tcPr>
            <w:tcW w:w="144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rPr>
              <w:t>001-3761</w:t>
            </w:r>
          </w:p>
        </w:tc>
        <w:tc>
          <w:tcPr>
            <w:tcW w:w="18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May 23, 2011</w:t>
            </w:r>
          </w:p>
        </w:tc>
        <w:tc>
          <w:tcPr>
            <w:tcW w:w="13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4.2</w:t>
            </w:r>
          </w:p>
        </w:tc>
        <w:tc>
          <w:tcPr>
            <w:tcW w:w="1360" w:type="dxa"/>
            <w:vAlign w:val="bottom"/>
            <w:tcBorders>
              <w:bottom w:val="single" w:sz="8" w:color="auto"/>
              <w:right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4(b)</w:t>
            </w: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Officer’s Certificate</w:t>
            </w: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8-K</w:t>
            </w:r>
          </w:p>
        </w:tc>
        <w:tc>
          <w:tcPr>
            <w:tcW w:w="14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001-3761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May 23, 2011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4.3</w:t>
            </w:r>
          </w:p>
        </w:tc>
        <w:tc>
          <w:tcPr>
            <w:tcW w:w="136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4(c)</w:t>
            </w: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Officer’s Certificate</w:t>
            </w:r>
          </w:p>
        </w:tc>
        <w:tc>
          <w:tcPr>
            <w:tcW w:w="1000" w:type="dxa"/>
            <w:vAlign w:val="bottom"/>
            <w:tcBorders>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rPr>
              <w:t>8-K</w:t>
            </w:r>
          </w:p>
        </w:tc>
        <w:tc>
          <w:tcPr>
            <w:tcW w:w="144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rPr>
              <w:t>001-3761</w:t>
            </w:r>
          </w:p>
        </w:tc>
        <w:tc>
          <w:tcPr>
            <w:tcW w:w="18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May 8, 2013</w:t>
            </w:r>
          </w:p>
        </w:tc>
        <w:tc>
          <w:tcPr>
            <w:tcW w:w="13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4.2</w:t>
            </w:r>
          </w:p>
        </w:tc>
        <w:tc>
          <w:tcPr>
            <w:tcW w:w="1360" w:type="dxa"/>
            <w:vAlign w:val="bottom"/>
            <w:tcBorders>
              <w:bottom w:val="single" w:sz="8" w:color="auto"/>
              <w:right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4(d)</w:t>
            </w: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Officer’s Certificate</w:t>
            </w: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8-K</w:t>
            </w:r>
          </w:p>
        </w:tc>
        <w:tc>
          <w:tcPr>
            <w:tcW w:w="14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001-3761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March 12, 2014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4.2</w:t>
            </w:r>
          </w:p>
        </w:tc>
        <w:tc>
          <w:tcPr>
            <w:tcW w:w="136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3"/>
              </w:rPr>
              <w:t>4(e)</w:t>
            </w: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Officer’s Certificate</w:t>
            </w:r>
          </w:p>
        </w:tc>
        <w:tc>
          <w:tcPr>
            <w:tcW w:w="1000" w:type="dxa"/>
            <w:vAlign w:val="bottom"/>
            <w:tcBorders>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rPr>
              <w:t>8-K</w:t>
            </w:r>
          </w:p>
        </w:tc>
        <w:tc>
          <w:tcPr>
            <w:tcW w:w="144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rPr>
              <w:t>001-3761</w:t>
            </w:r>
          </w:p>
        </w:tc>
        <w:tc>
          <w:tcPr>
            <w:tcW w:w="18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May 6, 2015</w:t>
            </w:r>
          </w:p>
        </w:tc>
        <w:tc>
          <w:tcPr>
            <w:tcW w:w="13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4.1</w:t>
            </w:r>
          </w:p>
        </w:tc>
        <w:tc>
          <w:tcPr>
            <w:tcW w:w="1360" w:type="dxa"/>
            <w:vAlign w:val="bottom"/>
            <w:tcBorders>
              <w:bottom w:val="single" w:sz="8" w:color="auto"/>
              <w:right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2"/>
              </w:rPr>
              <w:t>4(f)</w:t>
            </w:r>
          </w:p>
        </w:tc>
        <w:tc>
          <w:tcPr>
            <w:tcW w:w="10240" w:type="dxa"/>
            <w:vAlign w:val="bottom"/>
            <w:tcBorders>
              <w:right w:val="single" w:sz="8" w:color="auto"/>
            </w:tcBorders>
            <w:gridSpan w:val="6"/>
          </w:tcPr>
          <w:p>
            <w:pPr>
              <w:ind w:left="140"/>
              <w:spacing w:after="0" w:line="195" w:lineRule="exact"/>
              <w:rPr>
                <w:sz w:val="20"/>
                <w:szCs w:val="20"/>
                <w:color w:val="auto"/>
              </w:rPr>
            </w:pPr>
            <w:r>
              <w:rPr>
                <w:rFonts w:ascii="Arial" w:cs="Arial" w:eastAsia="Arial" w:hAnsi="Arial"/>
                <w:sz w:val="18"/>
                <w:szCs w:val="18"/>
                <w:color w:val="auto"/>
                <w:w w:val="96"/>
              </w:rPr>
              <w:t>The Registrant has omitted certain instruments defining the rights of holders of long-term debt of the Registrant and its subsidiaries</w:t>
            </w:r>
          </w:p>
        </w:tc>
        <w:tc>
          <w:tcPr>
            <w:tcW w:w="20" w:type="dxa"/>
            <w:vAlign w:val="bottom"/>
          </w:tcPr>
          <w:p>
            <w:pPr>
              <w:spacing w:after="0"/>
              <w:rPr>
                <w:sz w:val="16"/>
                <w:szCs w:val="16"/>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024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3"/>
              </w:rPr>
              <w:t>pursuant to Regulation S-K, Item 601(b)(4)(iii)(A). The Registrant undertakes to furnish a copy of such instruments to the Securities and</w:t>
            </w:r>
          </w:p>
        </w:tc>
        <w:tc>
          <w:tcPr>
            <w:tcW w:w="20" w:type="dxa"/>
            <w:vAlign w:val="bottom"/>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Exchange Commission upon request.</w:t>
            </w: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80" w:type="dxa"/>
            <w:vAlign w:val="bottom"/>
            <w:tcBorders>
              <w:left w:val="single" w:sz="8" w:color="auto"/>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b w:val="1"/>
                <w:bCs w:val="1"/>
                <w:color w:val="auto"/>
                <w:w w:val="90"/>
              </w:rPr>
              <w:t>10(a)</w:t>
            </w:r>
          </w:p>
        </w:tc>
        <w:tc>
          <w:tcPr>
            <w:tcW w:w="3200" w:type="dxa"/>
            <w:vAlign w:val="bottom"/>
            <w:tcBorders>
              <w:right w:val="single" w:sz="8" w:color="auto"/>
            </w:tcBorders>
            <w:shd w:val="clear" w:color="auto" w:fill="CFF0FC"/>
          </w:tcPr>
          <w:p>
            <w:pPr>
              <w:ind w:left="140"/>
              <w:spacing w:after="0" w:line="195" w:lineRule="exact"/>
              <w:rPr>
                <w:sz w:val="20"/>
                <w:szCs w:val="20"/>
                <w:color w:val="auto"/>
              </w:rPr>
            </w:pPr>
            <w:r>
              <w:rPr>
                <w:rFonts w:ascii="Arial" w:cs="Arial" w:eastAsia="Arial" w:hAnsi="Arial"/>
                <w:sz w:val="18"/>
                <w:szCs w:val="18"/>
                <w:color w:val="auto"/>
              </w:rPr>
              <w:t>TI Deferred Compensation Plan, as</w:t>
            </w:r>
          </w:p>
        </w:tc>
        <w:tc>
          <w:tcPr>
            <w:tcW w:w="1000" w:type="dxa"/>
            <w:vAlign w:val="bottom"/>
            <w:shd w:val="clear" w:color="auto" w:fill="CFF0FC"/>
          </w:tcPr>
          <w:p>
            <w:pPr>
              <w:ind w:left="400"/>
              <w:spacing w:after="0" w:line="195" w:lineRule="exact"/>
              <w:rPr>
                <w:sz w:val="20"/>
                <w:szCs w:val="20"/>
                <w:color w:val="auto"/>
              </w:rPr>
            </w:pPr>
            <w:r>
              <w:rPr>
                <w:rFonts w:ascii="Arial" w:cs="Arial" w:eastAsia="Arial" w:hAnsi="Arial"/>
                <w:sz w:val="18"/>
                <w:szCs w:val="18"/>
                <w:color w:val="auto"/>
              </w:rPr>
              <w:t>10-K</w:t>
            </w:r>
          </w:p>
        </w:tc>
        <w:tc>
          <w:tcPr>
            <w:tcW w:w="1440" w:type="dxa"/>
            <w:vAlign w:val="bottom"/>
            <w:shd w:val="clear" w:color="auto" w:fill="CFF0FC"/>
          </w:tcPr>
          <w:p>
            <w:pPr>
              <w:jc w:val="right"/>
              <w:ind w:right="172"/>
              <w:spacing w:after="0" w:line="195" w:lineRule="exact"/>
              <w:rPr>
                <w:sz w:val="20"/>
                <w:szCs w:val="20"/>
                <w:color w:val="auto"/>
              </w:rPr>
            </w:pPr>
            <w:r>
              <w:rPr>
                <w:rFonts w:ascii="Arial" w:cs="Arial" w:eastAsia="Arial" w:hAnsi="Arial"/>
                <w:sz w:val="18"/>
                <w:szCs w:val="18"/>
                <w:color w:val="auto"/>
              </w:rPr>
              <w:t>001-3761</w:t>
            </w:r>
          </w:p>
        </w:tc>
        <w:tc>
          <w:tcPr>
            <w:tcW w:w="186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89"/>
              </w:rPr>
              <w:t>February 24, 2016</w:t>
            </w:r>
          </w:p>
        </w:tc>
        <w:tc>
          <w:tcPr>
            <w:tcW w:w="1380" w:type="dxa"/>
            <w:vAlign w:val="bottom"/>
            <w:tcBorders>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90"/>
              </w:rPr>
              <w:t>10(a)</w:t>
            </w:r>
          </w:p>
        </w:tc>
        <w:tc>
          <w:tcPr>
            <w:tcW w:w="1360" w:type="dxa"/>
            <w:vAlign w:val="bottom"/>
            <w:tcBorders>
              <w:right w:val="single" w:sz="8" w:color="auto"/>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11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amended*</w:t>
            </w:r>
          </w:p>
        </w:tc>
        <w:tc>
          <w:tcPr>
            <w:tcW w:w="10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2"/>
              </w:rPr>
              <w:t>10(b)</w:t>
            </w:r>
          </w:p>
        </w:tc>
        <w:tc>
          <w:tcPr>
            <w:tcW w:w="320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TI Employees Non-Qualified Pension</w:t>
            </w:r>
          </w:p>
        </w:tc>
        <w:tc>
          <w:tcPr>
            <w:tcW w:w="1000" w:type="dxa"/>
            <w:vAlign w:val="bottom"/>
          </w:tcPr>
          <w:p>
            <w:pPr>
              <w:ind w:left="400"/>
              <w:spacing w:after="0" w:line="195" w:lineRule="exact"/>
              <w:rPr>
                <w:sz w:val="20"/>
                <w:szCs w:val="20"/>
                <w:color w:val="auto"/>
              </w:rPr>
            </w:pPr>
            <w:r>
              <w:rPr>
                <w:rFonts w:ascii="Arial" w:cs="Arial" w:eastAsia="Arial" w:hAnsi="Arial"/>
                <w:sz w:val="18"/>
                <w:szCs w:val="18"/>
                <w:color w:val="auto"/>
              </w:rPr>
              <w:t>10-K</w:t>
            </w:r>
          </w:p>
        </w:tc>
        <w:tc>
          <w:tcPr>
            <w:tcW w:w="1440" w:type="dxa"/>
            <w:vAlign w:val="bottom"/>
          </w:tcPr>
          <w:p>
            <w:pPr>
              <w:jc w:val="right"/>
              <w:ind w:right="172"/>
              <w:spacing w:after="0" w:line="195" w:lineRule="exact"/>
              <w:rPr>
                <w:sz w:val="20"/>
                <w:szCs w:val="20"/>
                <w:color w:val="auto"/>
              </w:rPr>
            </w:pPr>
            <w:r>
              <w:rPr>
                <w:rFonts w:ascii="Arial" w:cs="Arial" w:eastAsia="Arial" w:hAnsi="Arial"/>
                <w:sz w:val="18"/>
                <w:szCs w:val="18"/>
                <w:color w:val="auto"/>
              </w:rPr>
              <w:t>001-3761</w:t>
            </w:r>
          </w:p>
        </w:tc>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w w:val="89"/>
              </w:rPr>
              <w:t>February 24, 2016</w:t>
            </w:r>
          </w:p>
        </w:tc>
        <w:tc>
          <w:tcPr>
            <w:tcW w:w="1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10(b)</w:t>
            </w:r>
          </w:p>
        </w:tc>
        <w:tc>
          <w:tcPr>
            <w:tcW w:w="13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Plan, effective January 1, 2009, as</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amended*</w:t>
            </w: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80" w:type="dxa"/>
            <w:vAlign w:val="bottom"/>
            <w:tcBorders>
              <w:left w:val="single" w:sz="8" w:color="auto"/>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b w:val="1"/>
                <w:bCs w:val="1"/>
                <w:color w:val="auto"/>
                <w:w w:val="90"/>
              </w:rPr>
              <w:t>10(c)</w:t>
            </w:r>
          </w:p>
        </w:tc>
        <w:tc>
          <w:tcPr>
            <w:tcW w:w="3200" w:type="dxa"/>
            <w:vAlign w:val="bottom"/>
            <w:tcBorders>
              <w:right w:val="single" w:sz="8" w:color="auto"/>
            </w:tcBorders>
            <w:shd w:val="clear" w:color="auto" w:fill="CFF0FC"/>
          </w:tcPr>
          <w:p>
            <w:pPr>
              <w:ind w:left="140"/>
              <w:spacing w:after="0" w:line="195" w:lineRule="exact"/>
              <w:rPr>
                <w:sz w:val="20"/>
                <w:szCs w:val="20"/>
                <w:color w:val="auto"/>
              </w:rPr>
            </w:pPr>
            <w:r>
              <w:rPr>
                <w:rFonts w:ascii="Arial" w:cs="Arial" w:eastAsia="Arial" w:hAnsi="Arial"/>
                <w:sz w:val="18"/>
                <w:szCs w:val="18"/>
                <w:color w:val="auto"/>
              </w:rPr>
              <w:t>TI Employees Non-Qualified Pension</w:t>
            </w:r>
          </w:p>
        </w:tc>
        <w:tc>
          <w:tcPr>
            <w:tcW w:w="1000" w:type="dxa"/>
            <w:vAlign w:val="bottom"/>
            <w:shd w:val="clear" w:color="auto" w:fill="CFF0FC"/>
          </w:tcPr>
          <w:p>
            <w:pPr>
              <w:ind w:left="400"/>
              <w:spacing w:after="0" w:line="195" w:lineRule="exact"/>
              <w:rPr>
                <w:sz w:val="20"/>
                <w:szCs w:val="20"/>
                <w:color w:val="auto"/>
              </w:rPr>
            </w:pPr>
            <w:r>
              <w:rPr>
                <w:rFonts w:ascii="Arial" w:cs="Arial" w:eastAsia="Arial" w:hAnsi="Arial"/>
                <w:sz w:val="18"/>
                <w:szCs w:val="18"/>
                <w:color w:val="auto"/>
              </w:rPr>
              <w:t>10-K</w:t>
            </w:r>
          </w:p>
        </w:tc>
        <w:tc>
          <w:tcPr>
            <w:tcW w:w="1440" w:type="dxa"/>
            <w:vAlign w:val="bottom"/>
            <w:shd w:val="clear" w:color="auto" w:fill="CFF0FC"/>
          </w:tcPr>
          <w:p>
            <w:pPr>
              <w:jc w:val="right"/>
              <w:ind w:right="172"/>
              <w:spacing w:after="0" w:line="195" w:lineRule="exact"/>
              <w:rPr>
                <w:sz w:val="20"/>
                <w:szCs w:val="20"/>
                <w:color w:val="auto"/>
              </w:rPr>
            </w:pPr>
            <w:r>
              <w:rPr>
                <w:rFonts w:ascii="Arial" w:cs="Arial" w:eastAsia="Arial" w:hAnsi="Arial"/>
                <w:sz w:val="18"/>
                <w:szCs w:val="18"/>
                <w:color w:val="auto"/>
              </w:rPr>
              <w:t>001-3761</w:t>
            </w:r>
          </w:p>
        </w:tc>
        <w:tc>
          <w:tcPr>
            <w:tcW w:w="186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89"/>
              </w:rPr>
              <w:t>February 24, 2016</w:t>
            </w:r>
          </w:p>
        </w:tc>
        <w:tc>
          <w:tcPr>
            <w:tcW w:w="1380" w:type="dxa"/>
            <w:vAlign w:val="bottom"/>
            <w:tcBorders>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92"/>
              </w:rPr>
              <w:t>10(c)</w:t>
            </w:r>
          </w:p>
        </w:tc>
        <w:tc>
          <w:tcPr>
            <w:tcW w:w="1360" w:type="dxa"/>
            <w:vAlign w:val="bottom"/>
            <w:tcBorders>
              <w:right w:val="single" w:sz="8" w:color="auto"/>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11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Plan II*</w:t>
            </w:r>
          </w:p>
        </w:tc>
        <w:tc>
          <w:tcPr>
            <w:tcW w:w="10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2"/>
              </w:rPr>
              <w:t>10(d)</w:t>
            </w:r>
          </w:p>
        </w:tc>
        <w:tc>
          <w:tcPr>
            <w:tcW w:w="320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4"/>
              </w:rPr>
              <w:t>Texas Instruments Long-Term Incentive</w:t>
            </w:r>
          </w:p>
        </w:tc>
        <w:tc>
          <w:tcPr>
            <w:tcW w:w="1000" w:type="dxa"/>
            <w:vAlign w:val="bottom"/>
          </w:tcPr>
          <w:p>
            <w:pPr>
              <w:ind w:left="400"/>
              <w:spacing w:after="0" w:line="195" w:lineRule="exact"/>
              <w:rPr>
                <w:sz w:val="20"/>
                <w:szCs w:val="20"/>
                <w:color w:val="auto"/>
              </w:rPr>
            </w:pPr>
            <w:r>
              <w:rPr>
                <w:rFonts w:ascii="Arial" w:cs="Arial" w:eastAsia="Arial" w:hAnsi="Arial"/>
                <w:sz w:val="18"/>
                <w:szCs w:val="18"/>
                <w:color w:val="auto"/>
              </w:rPr>
              <w:t>10-K</w:t>
            </w:r>
          </w:p>
        </w:tc>
        <w:tc>
          <w:tcPr>
            <w:tcW w:w="1440" w:type="dxa"/>
            <w:vAlign w:val="bottom"/>
          </w:tcPr>
          <w:p>
            <w:pPr>
              <w:jc w:val="right"/>
              <w:ind w:right="172"/>
              <w:spacing w:after="0" w:line="195" w:lineRule="exact"/>
              <w:rPr>
                <w:sz w:val="20"/>
                <w:szCs w:val="20"/>
                <w:color w:val="auto"/>
              </w:rPr>
            </w:pPr>
            <w:r>
              <w:rPr>
                <w:rFonts w:ascii="Arial" w:cs="Arial" w:eastAsia="Arial" w:hAnsi="Arial"/>
                <w:sz w:val="18"/>
                <w:szCs w:val="18"/>
                <w:color w:val="auto"/>
              </w:rPr>
              <w:t>001-3761</w:t>
            </w:r>
          </w:p>
        </w:tc>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w w:val="89"/>
              </w:rPr>
              <w:t>February 24, 2012</w:t>
            </w:r>
          </w:p>
        </w:tc>
        <w:tc>
          <w:tcPr>
            <w:tcW w:w="1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10(c)</w:t>
            </w:r>
          </w:p>
        </w:tc>
        <w:tc>
          <w:tcPr>
            <w:tcW w:w="13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Plan, adopted April 15, 1993*</w:t>
            </w: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80" w:type="dxa"/>
            <w:vAlign w:val="bottom"/>
            <w:tcBorders>
              <w:left w:val="single" w:sz="8" w:color="auto"/>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b w:val="1"/>
                <w:bCs w:val="1"/>
                <w:color w:val="auto"/>
                <w:w w:val="90"/>
              </w:rPr>
              <w:t>10(e)</w:t>
            </w:r>
          </w:p>
        </w:tc>
        <w:tc>
          <w:tcPr>
            <w:tcW w:w="3200" w:type="dxa"/>
            <w:vAlign w:val="bottom"/>
            <w:tcBorders>
              <w:right w:val="single" w:sz="8" w:color="auto"/>
            </w:tcBorders>
            <w:shd w:val="clear" w:color="auto" w:fill="CFF0FC"/>
          </w:tcPr>
          <w:p>
            <w:pPr>
              <w:ind w:left="140"/>
              <w:spacing w:after="0" w:line="195" w:lineRule="exact"/>
              <w:rPr>
                <w:sz w:val="20"/>
                <w:szCs w:val="20"/>
                <w:color w:val="auto"/>
              </w:rPr>
            </w:pPr>
            <w:r>
              <w:rPr>
                <w:rFonts w:ascii="Arial" w:cs="Arial" w:eastAsia="Arial" w:hAnsi="Arial"/>
                <w:sz w:val="18"/>
                <w:szCs w:val="18"/>
                <w:color w:val="auto"/>
              </w:rPr>
              <w:t>Texas Instruments 2000 Long-Term</w:t>
            </w:r>
          </w:p>
        </w:tc>
        <w:tc>
          <w:tcPr>
            <w:tcW w:w="1000" w:type="dxa"/>
            <w:vAlign w:val="bottom"/>
            <w:shd w:val="clear" w:color="auto" w:fill="CFF0FC"/>
          </w:tcPr>
          <w:p>
            <w:pPr>
              <w:ind w:left="400"/>
              <w:spacing w:after="0" w:line="195" w:lineRule="exact"/>
              <w:rPr>
                <w:sz w:val="20"/>
                <w:szCs w:val="20"/>
                <w:color w:val="auto"/>
              </w:rPr>
            </w:pPr>
            <w:r>
              <w:rPr>
                <w:rFonts w:ascii="Arial" w:cs="Arial" w:eastAsia="Arial" w:hAnsi="Arial"/>
                <w:sz w:val="18"/>
                <w:szCs w:val="18"/>
                <w:color w:val="auto"/>
              </w:rPr>
              <w:t>10-K</w:t>
            </w:r>
          </w:p>
        </w:tc>
        <w:tc>
          <w:tcPr>
            <w:tcW w:w="1440" w:type="dxa"/>
            <w:vAlign w:val="bottom"/>
            <w:shd w:val="clear" w:color="auto" w:fill="CFF0FC"/>
          </w:tcPr>
          <w:p>
            <w:pPr>
              <w:jc w:val="right"/>
              <w:ind w:right="172"/>
              <w:spacing w:after="0" w:line="195" w:lineRule="exact"/>
              <w:rPr>
                <w:sz w:val="20"/>
                <w:szCs w:val="20"/>
                <w:color w:val="auto"/>
              </w:rPr>
            </w:pPr>
            <w:r>
              <w:rPr>
                <w:rFonts w:ascii="Arial" w:cs="Arial" w:eastAsia="Arial" w:hAnsi="Arial"/>
                <w:sz w:val="18"/>
                <w:szCs w:val="18"/>
                <w:color w:val="auto"/>
              </w:rPr>
              <w:t>001-3761</w:t>
            </w:r>
          </w:p>
        </w:tc>
        <w:tc>
          <w:tcPr>
            <w:tcW w:w="186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89"/>
              </w:rPr>
              <w:t>February 24, 2015</w:t>
            </w:r>
          </w:p>
        </w:tc>
        <w:tc>
          <w:tcPr>
            <w:tcW w:w="1380" w:type="dxa"/>
            <w:vAlign w:val="bottom"/>
            <w:tcBorders>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90"/>
              </w:rPr>
              <w:t>10(e)</w:t>
            </w:r>
          </w:p>
        </w:tc>
        <w:tc>
          <w:tcPr>
            <w:tcW w:w="1360" w:type="dxa"/>
            <w:vAlign w:val="bottom"/>
            <w:tcBorders>
              <w:right w:val="single" w:sz="8" w:color="auto"/>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180" w:type="dxa"/>
            <w:vAlign w:val="bottom"/>
            <w:tcBorders>
              <w:left w:val="single" w:sz="8" w:color="auto"/>
              <w:right w:val="single" w:sz="8" w:color="auto"/>
            </w:tcBorders>
            <w:shd w:val="clear" w:color="auto" w:fill="CFF0FC"/>
          </w:tcPr>
          <w:p>
            <w:pPr>
              <w:spacing w:after="0"/>
              <w:rPr>
                <w:sz w:val="18"/>
                <w:szCs w:val="18"/>
                <w:color w:val="auto"/>
              </w:rPr>
            </w:pPr>
          </w:p>
        </w:tc>
        <w:tc>
          <w:tcPr>
            <w:tcW w:w="3200" w:type="dxa"/>
            <w:vAlign w:val="bottom"/>
            <w:tcBorders>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5"/>
              </w:rPr>
              <w:t>Incentive Plan as amended October 16,</w:t>
            </w: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380" w:type="dxa"/>
            <w:vAlign w:val="bottom"/>
            <w:tcBorders>
              <w:right w:val="single" w:sz="8" w:color="auto"/>
            </w:tcBorders>
            <w:shd w:val="clear" w:color="auto" w:fill="CFF0FC"/>
          </w:tcPr>
          <w:p>
            <w:pPr>
              <w:spacing w:after="0"/>
              <w:rPr>
                <w:sz w:val="18"/>
                <w:szCs w:val="18"/>
                <w:color w:val="auto"/>
              </w:rPr>
            </w:pPr>
          </w:p>
        </w:tc>
        <w:tc>
          <w:tcPr>
            <w:tcW w:w="1360" w:type="dxa"/>
            <w:vAlign w:val="bottom"/>
            <w:tcBorders>
              <w:right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2008*</w:t>
            </w:r>
          </w:p>
        </w:tc>
        <w:tc>
          <w:tcPr>
            <w:tcW w:w="10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4"/>
              </w:rPr>
              <w:t>10(f)</w:t>
            </w:r>
          </w:p>
        </w:tc>
        <w:tc>
          <w:tcPr>
            <w:tcW w:w="320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Texas Instruments 2003 Long-Term</w:t>
            </w:r>
          </w:p>
        </w:tc>
        <w:tc>
          <w:tcPr>
            <w:tcW w:w="1000" w:type="dxa"/>
            <w:vAlign w:val="bottom"/>
          </w:tcPr>
          <w:p>
            <w:pPr>
              <w:ind w:left="400"/>
              <w:spacing w:after="0" w:line="195" w:lineRule="exact"/>
              <w:rPr>
                <w:sz w:val="20"/>
                <w:szCs w:val="20"/>
                <w:color w:val="auto"/>
              </w:rPr>
            </w:pPr>
            <w:r>
              <w:rPr>
                <w:rFonts w:ascii="Arial" w:cs="Arial" w:eastAsia="Arial" w:hAnsi="Arial"/>
                <w:sz w:val="18"/>
                <w:szCs w:val="18"/>
                <w:color w:val="auto"/>
              </w:rPr>
              <w:t>10-K</w:t>
            </w:r>
          </w:p>
        </w:tc>
        <w:tc>
          <w:tcPr>
            <w:tcW w:w="1440" w:type="dxa"/>
            <w:vAlign w:val="bottom"/>
          </w:tcPr>
          <w:p>
            <w:pPr>
              <w:jc w:val="right"/>
              <w:ind w:right="172"/>
              <w:spacing w:after="0" w:line="195" w:lineRule="exact"/>
              <w:rPr>
                <w:sz w:val="20"/>
                <w:szCs w:val="20"/>
                <w:color w:val="auto"/>
              </w:rPr>
            </w:pPr>
            <w:r>
              <w:rPr>
                <w:rFonts w:ascii="Arial" w:cs="Arial" w:eastAsia="Arial" w:hAnsi="Arial"/>
                <w:sz w:val="18"/>
                <w:szCs w:val="18"/>
                <w:color w:val="auto"/>
              </w:rPr>
              <w:t>001-3761</w:t>
            </w:r>
          </w:p>
        </w:tc>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w w:val="89"/>
              </w:rPr>
              <w:t>February 24, 2015</w:t>
            </w:r>
          </w:p>
        </w:tc>
        <w:tc>
          <w:tcPr>
            <w:tcW w:w="1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10(f)</w:t>
            </w:r>
          </w:p>
        </w:tc>
        <w:tc>
          <w:tcPr>
            <w:tcW w:w="13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Incentive Plan as amended October 16,</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2008</w:t>
            </w: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80" w:type="dxa"/>
            <w:vAlign w:val="bottom"/>
            <w:tcBorders>
              <w:left w:val="single" w:sz="8" w:color="auto"/>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b w:val="1"/>
                <w:bCs w:val="1"/>
                <w:color w:val="auto"/>
                <w:w w:val="88"/>
              </w:rPr>
              <w:t>10(g)</w:t>
            </w:r>
          </w:p>
        </w:tc>
        <w:tc>
          <w:tcPr>
            <w:tcW w:w="3200" w:type="dxa"/>
            <w:vAlign w:val="bottom"/>
            <w:tcBorders>
              <w:right w:val="single" w:sz="8" w:color="auto"/>
            </w:tcBorders>
            <w:shd w:val="clear" w:color="auto" w:fill="CFF0FC"/>
          </w:tcPr>
          <w:p>
            <w:pPr>
              <w:ind w:left="140"/>
              <w:spacing w:after="0" w:line="195" w:lineRule="exact"/>
              <w:rPr>
                <w:sz w:val="20"/>
                <w:szCs w:val="20"/>
                <w:color w:val="auto"/>
              </w:rPr>
            </w:pPr>
            <w:r>
              <w:rPr>
                <w:rFonts w:ascii="Arial" w:cs="Arial" w:eastAsia="Arial" w:hAnsi="Arial"/>
                <w:sz w:val="18"/>
                <w:szCs w:val="18"/>
                <w:color w:val="auto"/>
              </w:rPr>
              <w:t>Texas Instruments Executive Officer</w:t>
            </w:r>
          </w:p>
        </w:tc>
        <w:tc>
          <w:tcPr>
            <w:tcW w:w="1000" w:type="dxa"/>
            <w:vAlign w:val="bottom"/>
            <w:shd w:val="clear" w:color="auto" w:fill="CFF0FC"/>
          </w:tcPr>
          <w:p>
            <w:pPr>
              <w:ind w:left="400"/>
              <w:spacing w:after="0" w:line="195" w:lineRule="exact"/>
              <w:rPr>
                <w:sz w:val="20"/>
                <w:szCs w:val="20"/>
                <w:color w:val="auto"/>
              </w:rPr>
            </w:pPr>
            <w:r>
              <w:rPr>
                <w:rFonts w:ascii="Arial" w:cs="Arial" w:eastAsia="Arial" w:hAnsi="Arial"/>
                <w:sz w:val="18"/>
                <w:szCs w:val="18"/>
                <w:color w:val="auto"/>
              </w:rPr>
              <w:t>10-K</w:t>
            </w:r>
          </w:p>
        </w:tc>
        <w:tc>
          <w:tcPr>
            <w:tcW w:w="1440" w:type="dxa"/>
            <w:vAlign w:val="bottom"/>
            <w:shd w:val="clear" w:color="auto" w:fill="CFF0FC"/>
          </w:tcPr>
          <w:p>
            <w:pPr>
              <w:jc w:val="right"/>
              <w:ind w:right="172"/>
              <w:spacing w:after="0" w:line="195" w:lineRule="exact"/>
              <w:rPr>
                <w:sz w:val="20"/>
                <w:szCs w:val="20"/>
                <w:color w:val="auto"/>
              </w:rPr>
            </w:pPr>
            <w:r>
              <w:rPr>
                <w:rFonts w:ascii="Arial" w:cs="Arial" w:eastAsia="Arial" w:hAnsi="Arial"/>
                <w:sz w:val="18"/>
                <w:szCs w:val="18"/>
                <w:color w:val="auto"/>
              </w:rPr>
              <w:t>001-3761</w:t>
            </w:r>
          </w:p>
        </w:tc>
        <w:tc>
          <w:tcPr>
            <w:tcW w:w="186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89"/>
              </w:rPr>
              <w:t>February 24, 2015</w:t>
            </w:r>
          </w:p>
        </w:tc>
        <w:tc>
          <w:tcPr>
            <w:tcW w:w="1380" w:type="dxa"/>
            <w:vAlign w:val="bottom"/>
            <w:tcBorders>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90"/>
              </w:rPr>
              <w:t>10(g)</w:t>
            </w:r>
          </w:p>
        </w:tc>
        <w:tc>
          <w:tcPr>
            <w:tcW w:w="1360" w:type="dxa"/>
            <w:vAlign w:val="bottom"/>
            <w:tcBorders>
              <w:right w:val="single" w:sz="8" w:color="auto"/>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180" w:type="dxa"/>
            <w:vAlign w:val="bottom"/>
            <w:tcBorders>
              <w:left w:val="single" w:sz="8" w:color="auto"/>
              <w:right w:val="single" w:sz="8" w:color="auto"/>
            </w:tcBorders>
            <w:shd w:val="clear" w:color="auto" w:fill="CFF0FC"/>
          </w:tcPr>
          <w:p>
            <w:pPr>
              <w:spacing w:after="0"/>
              <w:rPr>
                <w:sz w:val="18"/>
                <w:szCs w:val="18"/>
                <w:color w:val="auto"/>
              </w:rPr>
            </w:pPr>
          </w:p>
        </w:tc>
        <w:tc>
          <w:tcPr>
            <w:tcW w:w="3200" w:type="dxa"/>
            <w:vAlign w:val="bottom"/>
            <w:tcBorders>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Performance Plan as amended September</w:t>
            </w: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380" w:type="dxa"/>
            <w:vAlign w:val="bottom"/>
            <w:tcBorders>
              <w:right w:val="single" w:sz="8" w:color="auto"/>
            </w:tcBorders>
            <w:shd w:val="clear" w:color="auto" w:fill="CFF0FC"/>
          </w:tcPr>
          <w:p>
            <w:pPr>
              <w:spacing w:after="0"/>
              <w:rPr>
                <w:sz w:val="18"/>
                <w:szCs w:val="18"/>
                <w:color w:val="auto"/>
              </w:rPr>
            </w:pPr>
          </w:p>
        </w:tc>
        <w:tc>
          <w:tcPr>
            <w:tcW w:w="1360" w:type="dxa"/>
            <w:vAlign w:val="bottom"/>
            <w:tcBorders>
              <w:right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17, 2009*</w:t>
            </w:r>
          </w:p>
        </w:tc>
        <w:tc>
          <w:tcPr>
            <w:tcW w:w="10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2"/>
              </w:rPr>
              <w:t>10(h)</w:t>
            </w:r>
          </w:p>
        </w:tc>
        <w:tc>
          <w:tcPr>
            <w:tcW w:w="320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4"/>
              </w:rPr>
              <w:t>Texas Instruments Restricted Stock Unit</w:t>
            </w:r>
          </w:p>
        </w:tc>
        <w:tc>
          <w:tcPr>
            <w:tcW w:w="1000" w:type="dxa"/>
            <w:vAlign w:val="bottom"/>
          </w:tcPr>
          <w:p>
            <w:pPr>
              <w:ind w:left="400"/>
              <w:spacing w:after="0" w:line="195" w:lineRule="exact"/>
              <w:rPr>
                <w:sz w:val="20"/>
                <w:szCs w:val="20"/>
                <w:color w:val="auto"/>
              </w:rPr>
            </w:pPr>
            <w:r>
              <w:rPr>
                <w:rFonts w:ascii="Arial" w:cs="Arial" w:eastAsia="Arial" w:hAnsi="Arial"/>
                <w:sz w:val="18"/>
                <w:szCs w:val="18"/>
                <w:color w:val="auto"/>
              </w:rPr>
              <w:t>10-K</w:t>
            </w:r>
          </w:p>
        </w:tc>
        <w:tc>
          <w:tcPr>
            <w:tcW w:w="1440" w:type="dxa"/>
            <w:vAlign w:val="bottom"/>
          </w:tcPr>
          <w:p>
            <w:pPr>
              <w:jc w:val="right"/>
              <w:ind w:right="172"/>
              <w:spacing w:after="0" w:line="195" w:lineRule="exact"/>
              <w:rPr>
                <w:sz w:val="20"/>
                <w:szCs w:val="20"/>
                <w:color w:val="auto"/>
              </w:rPr>
            </w:pPr>
            <w:r>
              <w:rPr>
                <w:rFonts w:ascii="Arial" w:cs="Arial" w:eastAsia="Arial" w:hAnsi="Arial"/>
                <w:sz w:val="18"/>
                <w:szCs w:val="18"/>
                <w:color w:val="auto"/>
              </w:rPr>
              <w:t>001-3761</w:t>
            </w:r>
          </w:p>
        </w:tc>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w w:val="89"/>
              </w:rPr>
              <w:t>February 24, 2012</w:t>
            </w:r>
          </w:p>
        </w:tc>
        <w:tc>
          <w:tcPr>
            <w:tcW w:w="1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10(h)</w:t>
            </w:r>
          </w:p>
        </w:tc>
        <w:tc>
          <w:tcPr>
            <w:tcW w:w="13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Plan for Directors, as amended, dated</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April 16, 1998</w:t>
            </w: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80" w:type="dxa"/>
            <w:vAlign w:val="bottom"/>
            <w:tcBorders>
              <w:left w:val="single" w:sz="8" w:color="auto"/>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b w:val="1"/>
                <w:bCs w:val="1"/>
                <w:color w:val="auto"/>
                <w:w w:val="91"/>
              </w:rPr>
              <w:t>10(i)</w:t>
            </w:r>
          </w:p>
        </w:tc>
        <w:tc>
          <w:tcPr>
            <w:tcW w:w="3200" w:type="dxa"/>
            <w:vAlign w:val="bottom"/>
            <w:tcBorders>
              <w:right w:val="single" w:sz="8" w:color="auto"/>
            </w:tcBorders>
            <w:shd w:val="clear" w:color="auto" w:fill="CFF0FC"/>
          </w:tcPr>
          <w:p>
            <w:pPr>
              <w:ind w:left="140"/>
              <w:spacing w:after="0" w:line="195" w:lineRule="exact"/>
              <w:rPr>
                <w:sz w:val="20"/>
                <w:szCs w:val="20"/>
                <w:color w:val="auto"/>
              </w:rPr>
            </w:pPr>
            <w:r>
              <w:rPr>
                <w:rFonts w:ascii="Arial" w:cs="Arial" w:eastAsia="Arial" w:hAnsi="Arial"/>
                <w:sz w:val="18"/>
                <w:szCs w:val="18"/>
                <w:color w:val="auto"/>
              </w:rPr>
              <w:t>Texas Instruments Directors Deferred</w:t>
            </w:r>
          </w:p>
        </w:tc>
        <w:tc>
          <w:tcPr>
            <w:tcW w:w="1000" w:type="dxa"/>
            <w:vAlign w:val="bottom"/>
            <w:shd w:val="clear" w:color="auto" w:fill="CFF0FC"/>
          </w:tcPr>
          <w:p>
            <w:pPr>
              <w:ind w:left="400"/>
              <w:spacing w:after="0" w:line="195" w:lineRule="exact"/>
              <w:rPr>
                <w:sz w:val="20"/>
                <w:szCs w:val="20"/>
                <w:color w:val="auto"/>
              </w:rPr>
            </w:pPr>
            <w:r>
              <w:rPr>
                <w:rFonts w:ascii="Arial" w:cs="Arial" w:eastAsia="Arial" w:hAnsi="Arial"/>
                <w:sz w:val="18"/>
                <w:szCs w:val="18"/>
                <w:color w:val="auto"/>
              </w:rPr>
              <w:t>10-K</w:t>
            </w:r>
          </w:p>
        </w:tc>
        <w:tc>
          <w:tcPr>
            <w:tcW w:w="1440" w:type="dxa"/>
            <w:vAlign w:val="bottom"/>
            <w:shd w:val="clear" w:color="auto" w:fill="CFF0FC"/>
          </w:tcPr>
          <w:p>
            <w:pPr>
              <w:jc w:val="right"/>
              <w:ind w:right="172"/>
              <w:spacing w:after="0" w:line="195" w:lineRule="exact"/>
              <w:rPr>
                <w:sz w:val="20"/>
                <w:szCs w:val="20"/>
                <w:color w:val="auto"/>
              </w:rPr>
            </w:pPr>
            <w:r>
              <w:rPr>
                <w:rFonts w:ascii="Arial" w:cs="Arial" w:eastAsia="Arial" w:hAnsi="Arial"/>
                <w:sz w:val="18"/>
                <w:szCs w:val="18"/>
                <w:color w:val="auto"/>
              </w:rPr>
              <w:t>001-3761</w:t>
            </w:r>
          </w:p>
        </w:tc>
        <w:tc>
          <w:tcPr>
            <w:tcW w:w="186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89"/>
              </w:rPr>
              <w:t>February 24, 2012</w:t>
            </w:r>
          </w:p>
        </w:tc>
        <w:tc>
          <w:tcPr>
            <w:tcW w:w="1380" w:type="dxa"/>
            <w:vAlign w:val="bottom"/>
            <w:tcBorders>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94"/>
              </w:rPr>
              <w:t>10(i)</w:t>
            </w:r>
          </w:p>
        </w:tc>
        <w:tc>
          <w:tcPr>
            <w:tcW w:w="1360" w:type="dxa"/>
            <w:vAlign w:val="bottom"/>
            <w:tcBorders>
              <w:right w:val="single" w:sz="8" w:color="auto"/>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180" w:type="dxa"/>
            <w:vAlign w:val="bottom"/>
            <w:tcBorders>
              <w:left w:val="single" w:sz="8" w:color="auto"/>
              <w:right w:val="single" w:sz="8" w:color="auto"/>
            </w:tcBorders>
            <w:shd w:val="clear" w:color="auto" w:fill="CFF0FC"/>
          </w:tcPr>
          <w:p>
            <w:pPr>
              <w:spacing w:after="0"/>
              <w:rPr>
                <w:sz w:val="18"/>
                <w:szCs w:val="18"/>
                <w:color w:val="auto"/>
              </w:rPr>
            </w:pPr>
          </w:p>
        </w:tc>
        <w:tc>
          <w:tcPr>
            <w:tcW w:w="3200" w:type="dxa"/>
            <w:vAlign w:val="bottom"/>
            <w:tcBorders>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4"/>
              </w:rPr>
              <w:t>Compensation Plan, as amended, dated</w:t>
            </w: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380" w:type="dxa"/>
            <w:vAlign w:val="bottom"/>
            <w:tcBorders>
              <w:right w:val="single" w:sz="8" w:color="auto"/>
            </w:tcBorders>
            <w:shd w:val="clear" w:color="auto" w:fill="CFF0FC"/>
          </w:tcPr>
          <w:p>
            <w:pPr>
              <w:spacing w:after="0"/>
              <w:rPr>
                <w:sz w:val="18"/>
                <w:szCs w:val="18"/>
                <w:color w:val="auto"/>
              </w:rPr>
            </w:pPr>
          </w:p>
        </w:tc>
        <w:tc>
          <w:tcPr>
            <w:tcW w:w="1360" w:type="dxa"/>
            <w:vAlign w:val="bottom"/>
            <w:tcBorders>
              <w:right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April 16, 1998</w:t>
            </w:r>
          </w:p>
        </w:tc>
        <w:tc>
          <w:tcPr>
            <w:tcW w:w="10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7"/>
              </w:rPr>
              <w:t>10(j)</w:t>
            </w:r>
          </w:p>
        </w:tc>
        <w:tc>
          <w:tcPr>
            <w:tcW w:w="320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Texas Instruments 2003 Director</w:t>
            </w:r>
          </w:p>
        </w:tc>
        <w:tc>
          <w:tcPr>
            <w:tcW w:w="1000" w:type="dxa"/>
            <w:vAlign w:val="bottom"/>
          </w:tcPr>
          <w:p>
            <w:pPr>
              <w:ind w:left="400"/>
              <w:spacing w:after="0" w:line="195" w:lineRule="exact"/>
              <w:rPr>
                <w:sz w:val="20"/>
                <w:szCs w:val="20"/>
                <w:color w:val="auto"/>
              </w:rPr>
            </w:pPr>
            <w:r>
              <w:rPr>
                <w:rFonts w:ascii="Arial" w:cs="Arial" w:eastAsia="Arial" w:hAnsi="Arial"/>
                <w:sz w:val="18"/>
                <w:szCs w:val="18"/>
                <w:color w:val="auto"/>
              </w:rPr>
              <w:t>10-K</w:t>
            </w:r>
          </w:p>
        </w:tc>
        <w:tc>
          <w:tcPr>
            <w:tcW w:w="1440" w:type="dxa"/>
            <w:vAlign w:val="bottom"/>
          </w:tcPr>
          <w:p>
            <w:pPr>
              <w:jc w:val="right"/>
              <w:ind w:right="172"/>
              <w:spacing w:after="0" w:line="195" w:lineRule="exact"/>
              <w:rPr>
                <w:sz w:val="20"/>
                <w:szCs w:val="20"/>
                <w:color w:val="auto"/>
              </w:rPr>
            </w:pPr>
            <w:r>
              <w:rPr>
                <w:rFonts w:ascii="Arial" w:cs="Arial" w:eastAsia="Arial" w:hAnsi="Arial"/>
                <w:sz w:val="18"/>
                <w:szCs w:val="18"/>
                <w:color w:val="auto"/>
              </w:rPr>
              <w:t>001-3761</w:t>
            </w:r>
          </w:p>
        </w:tc>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w w:val="89"/>
              </w:rPr>
              <w:t>February 24, 2015</w:t>
            </w:r>
          </w:p>
        </w:tc>
        <w:tc>
          <w:tcPr>
            <w:tcW w:w="1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10(j)</w:t>
            </w:r>
          </w:p>
        </w:tc>
        <w:tc>
          <w:tcPr>
            <w:tcW w:w="13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Compensation Plan as amended January</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19, 2012</w:t>
            </w: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80" w:type="dxa"/>
            <w:vAlign w:val="bottom"/>
            <w:tcBorders>
              <w:left w:val="single" w:sz="8" w:color="auto"/>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b w:val="1"/>
                <w:bCs w:val="1"/>
                <w:color w:val="auto"/>
                <w:w w:val="95"/>
              </w:rPr>
              <w:t>10(k)</w:t>
            </w:r>
          </w:p>
        </w:tc>
        <w:tc>
          <w:tcPr>
            <w:tcW w:w="3200" w:type="dxa"/>
            <w:vAlign w:val="bottom"/>
            <w:tcBorders>
              <w:right w:val="single" w:sz="8" w:color="auto"/>
            </w:tcBorders>
            <w:shd w:val="clear" w:color="auto" w:fill="CFF0FC"/>
          </w:tcPr>
          <w:p>
            <w:pPr>
              <w:ind w:left="140"/>
              <w:spacing w:after="0" w:line="195" w:lineRule="exact"/>
              <w:rPr>
                <w:sz w:val="20"/>
                <w:szCs w:val="20"/>
                <w:color w:val="auto"/>
              </w:rPr>
            </w:pPr>
            <w:r>
              <w:rPr>
                <w:rFonts w:ascii="Arial" w:cs="Arial" w:eastAsia="Arial" w:hAnsi="Arial"/>
                <w:sz w:val="18"/>
                <w:szCs w:val="18"/>
                <w:color w:val="auto"/>
              </w:rPr>
              <w:t>Form of Non-Qualified Stock Option</w:t>
            </w:r>
          </w:p>
        </w:tc>
        <w:tc>
          <w:tcPr>
            <w:tcW w:w="10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380" w:type="dxa"/>
            <w:vAlign w:val="bottom"/>
            <w:tcBorders>
              <w:right w:val="single" w:sz="8" w:color="auto"/>
            </w:tcBorders>
            <w:shd w:val="clear" w:color="auto" w:fill="CFF0FC"/>
          </w:tcPr>
          <w:p>
            <w:pPr>
              <w:spacing w:after="0"/>
              <w:rPr>
                <w:sz w:val="16"/>
                <w:szCs w:val="16"/>
                <w:color w:val="auto"/>
              </w:rPr>
            </w:pPr>
          </w:p>
        </w:tc>
        <w:tc>
          <w:tcPr>
            <w:tcW w:w="1360" w:type="dxa"/>
            <w:vAlign w:val="bottom"/>
            <w:tcBorders>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6"/>
                <w:szCs w:val="16"/>
                <w:color w:val="auto"/>
              </w:rPr>
            </w:pPr>
          </w:p>
        </w:tc>
      </w:tr>
      <w:tr>
        <w:trPr>
          <w:trHeight w:val="216"/>
        </w:trPr>
        <w:tc>
          <w:tcPr>
            <w:tcW w:w="1180" w:type="dxa"/>
            <w:vAlign w:val="bottom"/>
            <w:tcBorders>
              <w:left w:val="single" w:sz="8" w:color="auto"/>
              <w:right w:val="single" w:sz="8" w:color="auto"/>
            </w:tcBorders>
            <w:shd w:val="clear" w:color="auto" w:fill="CFF0FC"/>
          </w:tcPr>
          <w:p>
            <w:pPr>
              <w:spacing w:after="0"/>
              <w:rPr>
                <w:sz w:val="18"/>
                <w:szCs w:val="18"/>
                <w:color w:val="auto"/>
              </w:rPr>
            </w:pPr>
          </w:p>
        </w:tc>
        <w:tc>
          <w:tcPr>
            <w:tcW w:w="3200" w:type="dxa"/>
            <w:vAlign w:val="bottom"/>
            <w:tcBorders>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5"/>
              </w:rPr>
              <w:t>Agreement for Executive Officers under</w:t>
            </w: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380" w:type="dxa"/>
            <w:vAlign w:val="bottom"/>
            <w:tcBorders>
              <w:right w:val="single" w:sz="8" w:color="auto"/>
            </w:tcBorders>
            <w:shd w:val="clear" w:color="auto" w:fill="CFF0FC"/>
          </w:tcPr>
          <w:p>
            <w:pPr>
              <w:spacing w:after="0"/>
              <w:rPr>
                <w:sz w:val="18"/>
                <w:szCs w:val="18"/>
                <w:color w:val="auto"/>
              </w:rPr>
            </w:pPr>
          </w:p>
        </w:tc>
        <w:tc>
          <w:tcPr>
            <w:tcW w:w="1360" w:type="dxa"/>
            <w:vAlign w:val="bottom"/>
            <w:tcBorders>
              <w:right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80" w:type="dxa"/>
            <w:vAlign w:val="bottom"/>
            <w:tcBorders>
              <w:left w:val="single" w:sz="8" w:color="auto"/>
              <w:right w:val="single" w:sz="8" w:color="auto"/>
            </w:tcBorders>
            <w:shd w:val="clear" w:color="auto" w:fill="CFF0FC"/>
          </w:tcPr>
          <w:p>
            <w:pPr>
              <w:spacing w:after="0"/>
              <w:rPr>
                <w:sz w:val="18"/>
                <w:szCs w:val="18"/>
                <w:color w:val="auto"/>
              </w:rPr>
            </w:pPr>
          </w:p>
        </w:tc>
        <w:tc>
          <w:tcPr>
            <w:tcW w:w="3200" w:type="dxa"/>
            <w:vAlign w:val="bottom"/>
            <w:tcBorders>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5"/>
              </w:rPr>
              <w:t>the Texas Instruments 2009 Long-Term</w:t>
            </w: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380" w:type="dxa"/>
            <w:vAlign w:val="bottom"/>
            <w:tcBorders>
              <w:right w:val="single" w:sz="8" w:color="auto"/>
            </w:tcBorders>
            <w:shd w:val="clear" w:color="auto" w:fill="CFF0FC"/>
          </w:tcPr>
          <w:p>
            <w:pPr>
              <w:spacing w:after="0"/>
              <w:rPr>
                <w:sz w:val="18"/>
                <w:szCs w:val="18"/>
                <w:color w:val="auto"/>
              </w:rPr>
            </w:pPr>
          </w:p>
        </w:tc>
        <w:tc>
          <w:tcPr>
            <w:tcW w:w="1360" w:type="dxa"/>
            <w:vAlign w:val="bottom"/>
            <w:tcBorders>
              <w:right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Incentive Plan*</w:t>
            </w:r>
          </w:p>
        </w:tc>
        <w:tc>
          <w:tcPr>
            <w:tcW w:w="10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10(l)</w:t>
            </w:r>
          </w:p>
        </w:tc>
        <w:tc>
          <w:tcPr>
            <w:tcW w:w="320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Form of Restricted Stock Unit Award</w:t>
            </w:r>
          </w:p>
        </w:tc>
        <w:tc>
          <w:tcPr>
            <w:tcW w:w="10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6"/>
                <w:szCs w:val="16"/>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Agreement for Executive Officers under</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the Texas Instruments 2009 Long-Term</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Incentive Plan*</w:t>
            </w:r>
          </w:p>
        </w:tc>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1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jc w:val="right"/>
              <w:ind w:right="932"/>
              <w:spacing w:after="0"/>
              <w:rPr>
                <w:sz w:val="20"/>
                <w:szCs w:val="20"/>
                <w:color w:val="auto"/>
              </w:rPr>
            </w:pPr>
            <w:r>
              <w:rPr>
                <w:rFonts w:ascii="Arial" w:cs="Arial" w:eastAsia="Arial" w:hAnsi="Arial"/>
                <w:sz w:val="18"/>
                <w:szCs w:val="18"/>
                <w:color w:val="auto"/>
              </w:rPr>
              <w:t>65</w:t>
            </w:r>
          </w:p>
        </w:tc>
        <w:tc>
          <w:tcPr>
            <w:tcW w:w="1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5" w:name="page66"/>
    <w:bookmarkEnd w:id="65"/>
    <w:tbl>
      <w:tblPr>
        <w:tblLayout w:type="fixed"/>
        <w:tblInd w:w="10" w:type="dxa"/>
        <w:tblCellMar>
          <w:top w:w="0" w:type="dxa"/>
          <w:left w:w="0" w:type="dxa"/>
          <w:bottom w:w="0" w:type="dxa"/>
          <w:right w:w="0" w:type="dxa"/>
        </w:tblCellMar>
      </w:tblPr>
      <w:tr>
        <w:trPr>
          <w:trHeight w:val="215"/>
        </w:trPr>
        <w:tc>
          <w:tcPr>
            <w:tcW w:w="1180" w:type="dxa"/>
            <w:vAlign w:val="bottom"/>
            <w:tcBorders>
              <w:top w:val="single" w:sz="8" w:color="auto"/>
              <w:left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5"/>
              </w:rPr>
              <w:t>10(m)</w:t>
            </w:r>
          </w:p>
        </w:tc>
        <w:tc>
          <w:tcPr>
            <w:tcW w:w="3200" w:type="dxa"/>
            <w:vAlign w:val="bottom"/>
            <w:tcBorders>
              <w:top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Texas Instruments 2009 Long-Term</w:t>
            </w:r>
          </w:p>
        </w:tc>
        <w:tc>
          <w:tcPr>
            <w:tcW w:w="12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DEF 14A</w:t>
            </w:r>
          </w:p>
        </w:tc>
        <w:tc>
          <w:tcPr>
            <w:tcW w:w="130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001-3761</w:t>
            </w:r>
          </w:p>
        </w:tc>
        <w:tc>
          <w:tcPr>
            <w:tcW w:w="172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March 9, 2016</w:t>
            </w:r>
          </w:p>
        </w:tc>
        <w:tc>
          <w:tcPr>
            <w:tcW w:w="1440" w:type="dxa"/>
            <w:vAlign w:val="bottom"/>
            <w:tcBorders>
              <w:top w:val="single" w:sz="8" w:color="auto"/>
              <w:right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rPr>
              <w:t>Appendix B</w:t>
            </w:r>
          </w:p>
        </w:tc>
        <w:tc>
          <w:tcPr>
            <w:tcW w:w="1360" w:type="dxa"/>
            <w:vAlign w:val="bottom"/>
            <w:tcBorders>
              <w:top w:val="single" w:sz="8" w:color="auto"/>
              <w:right w:val="single" w:sz="8" w:color="auto"/>
            </w:tcBorders>
            <w:shd w:val="clear" w:color="auto" w:fill="CFF0FC"/>
          </w:tcPr>
          <w:p>
            <w:pPr>
              <w:spacing w:after="0"/>
              <w:rPr>
                <w:sz w:val="18"/>
                <w:szCs w:val="18"/>
                <w:color w:val="auto"/>
              </w:rPr>
            </w:pPr>
          </w:p>
        </w:tc>
      </w:tr>
      <w:tr>
        <w:trPr>
          <w:trHeight w:val="216"/>
        </w:trPr>
        <w:tc>
          <w:tcPr>
            <w:tcW w:w="1180" w:type="dxa"/>
            <w:vAlign w:val="bottom"/>
            <w:tcBorders>
              <w:left w:val="single" w:sz="8" w:color="auto"/>
              <w:right w:val="single" w:sz="8" w:color="auto"/>
            </w:tcBorders>
            <w:shd w:val="clear" w:color="auto" w:fill="CFF0FC"/>
          </w:tcPr>
          <w:p>
            <w:pPr>
              <w:spacing w:after="0"/>
              <w:rPr>
                <w:sz w:val="18"/>
                <w:szCs w:val="18"/>
                <w:color w:val="auto"/>
              </w:rPr>
            </w:pPr>
          </w:p>
        </w:tc>
        <w:tc>
          <w:tcPr>
            <w:tcW w:w="3200" w:type="dxa"/>
            <w:vAlign w:val="bottom"/>
            <w:tcBorders>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0"/>
              </w:rPr>
              <w:t>Incentive Plan as amended April 21, 2016</w:t>
            </w:r>
          </w:p>
        </w:tc>
        <w:tc>
          <w:tcPr>
            <w:tcW w:w="1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1360" w:type="dxa"/>
            <w:vAlign w:val="bottom"/>
            <w:tcBorders>
              <w:right w:val="single" w:sz="8" w:color="auto"/>
            </w:tcBorders>
            <w:shd w:val="clear" w:color="auto" w:fill="CFF0FC"/>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2"/>
              </w:rPr>
              <w:t>10(n)</w:t>
            </w:r>
          </w:p>
        </w:tc>
        <w:tc>
          <w:tcPr>
            <w:tcW w:w="320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Texas Instruments 2009 Director</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X</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Compensation Plan as amended January</w:t>
            </w: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19, 2012</w:t>
            </w:r>
          </w:p>
        </w:tc>
        <w:tc>
          <w:tcPr>
            <w:tcW w:w="1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210"/>
        </w:trPr>
        <w:tc>
          <w:tcPr>
            <w:tcW w:w="118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89"/>
              </w:rPr>
              <w:t>12</w:t>
            </w: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Ratio of Earnings to Fixed Charges</w:t>
            </w:r>
          </w:p>
        </w:tc>
        <w:tc>
          <w:tcPr>
            <w:tcW w:w="1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right w:val="single" w:sz="8" w:color="auto"/>
            </w:tcBorders>
            <w:shd w:val="clear" w:color="auto" w:fill="CFF0FC"/>
          </w:tcPr>
          <w:p>
            <w:pPr>
              <w:spacing w:after="0"/>
              <w:rPr>
                <w:sz w:val="18"/>
                <w:szCs w:val="18"/>
                <w:color w:val="auto"/>
              </w:rPr>
            </w:pPr>
          </w:p>
        </w:tc>
        <w:tc>
          <w:tcPr>
            <w:tcW w:w="1360" w:type="dxa"/>
            <w:vAlign w:val="bottom"/>
            <w:tcBorders>
              <w:bottom w:val="single" w:sz="8" w:color="auto"/>
              <w:right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X</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21</w:t>
            </w: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List of Subsidiaries of the Registrant</w:t>
            </w:r>
          </w:p>
        </w:tc>
        <w:tc>
          <w:tcPr>
            <w:tcW w:w="1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X</w:t>
            </w:r>
          </w:p>
        </w:tc>
      </w:tr>
      <w:tr>
        <w:trPr>
          <w:trHeight w:val="195"/>
        </w:trPr>
        <w:tc>
          <w:tcPr>
            <w:tcW w:w="1180" w:type="dxa"/>
            <w:vAlign w:val="bottom"/>
            <w:tcBorders>
              <w:left w:val="single" w:sz="8" w:color="auto"/>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b w:val="1"/>
                <w:bCs w:val="1"/>
                <w:color w:val="auto"/>
                <w:w w:val="89"/>
              </w:rPr>
              <w:t>23</w:t>
            </w:r>
          </w:p>
        </w:tc>
        <w:tc>
          <w:tcPr>
            <w:tcW w:w="3200" w:type="dxa"/>
            <w:vAlign w:val="bottom"/>
            <w:tcBorders>
              <w:right w:val="single" w:sz="8" w:color="auto"/>
            </w:tcBorders>
            <w:shd w:val="clear" w:color="auto" w:fill="CFF0FC"/>
          </w:tcPr>
          <w:p>
            <w:pPr>
              <w:ind w:left="140"/>
              <w:spacing w:after="0" w:line="195" w:lineRule="exact"/>
              <w:rPr>
                <w:sz w:val="20"/>
                <w:szCs w:val="20"/>
                <w:color w:val="auto"/>
              </w:rPr>
            </w:pPr>
            <w:r>
              <w:rPr>
                <w:rFonts w:ascii="Arial" w:cs="Arial" w:eastAsia="Arial" w:hAnsi="Arial"/>
                <w:sz w:val="18"/>
                <w:szCs w:val="18"/>
                <w:color w:val="auto"/>
              </w:rPr>
              <w:t>Consent of Independent Registered</w:t>
            </w:r>
          </w:p>
        </w:tc>
        <w:tc>
          <w:tcPr>
            <w:tcW w:w="1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440" w:type="dxa"/>
            <w:vAlign w:val="bottom"/>
            <w:tcBorders>
              <w:right w:val="single" w:sz="8" w:color="auto"/>
            </w:tcBorders>
            <w:shd w:val="clear" w:color="auto" w:fill="CFF0FC"/>
          </w:tcPr>
          <w:p>
            <w:pPr>
              <w:spacing w:after="0"/>
              <w:rPr>
                <w:sz w:val="16"/>
                <w:szCs w:val="16"/>
                <w:color w:val="auto"/>
              </w:rPr>
            </w:pPr>
          </w:p>
        </w:tc>
        <w:tc>
          <w:tcPr>
            <w:tcW w:w="1360" w:type="dxa"/>
            <w:vAlign w:val="bottom"/>
            <w:tcBorders>
              <w:right w:val="single" w:sz="8" w:color="auto"/>
            </w:tcBorders>
            <w:shd w:val="clear" w:color="auto" w:fill="CFF0FC"/>
          </w:tcPr>
          <w:p>
            <w:pPr>
              <w:ind w:left="600"/>
              <w:spacing w:after="0" w:line="195" w:lineRule="exact"/>
              <w:rPr>
                <w:sz w:val="20"/>
                <w:szCs w:val="20"/>
                <w:color w:val="auto"/>
              </w:rPr>
            </w:pPr>
            <w:r>
              <w:rPr>
                <w:rFonts w:ascii="Arial" w:cs="Arial" w:eastAsia="Arial" w:hAnsi="Arial"/>
                <w:sz w:val="18"/>
                <w:szCs w:val="18"/>
                <w:color w:val="auto"/>
              </w:rPr>
              <w:t>X</w:t>
            </w:r>
          </w:p>
        </w:tc>
      </w:tr>
      <w:tr>
        <w:trPr>
          <w:trHeight w:val="230"/>
        </w:trPr>
        <w:tc>
          <w:tcPr>
            <w:tcW w:w="11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Public Accounting Firm</w:t>
            </w:r>
          </w:p>
        </w:tc>
        <w:tc>
          <w:tcPr>
            <w:tcW w:w="1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0"/>
              </w:rPr>
              <w:t>31(a)</w:t>
            </w:r>
          </w:p>
        </w:tc>
        <w:tc>
          <w:tcPr>
            <w:tcW w:w="320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5"/>
              </w:rPr>
              <w:t>Rule 13a-14(a)/15(d)-14(a) Certification</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X</w:t>
            </w: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of Chief Executive Officer</w:t>
            </w:r>
          </w:p>
        </w:tc>
        <w:tc>
          <w:tcPr>
            <w:tcW w:w="1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195"/>
        </w:trPr>
        <w:tc>
          <w:tcPr>
            <w:tcW w:w="1180" w:type="dxa"/>
            <w:vAlign w:val="bottom"/>
            <w:tcBorders>
              <w:left w:val="single" w:sz="8" w:color="auto"/>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b w:val="1"/>
                <w:bCs w:val="1"/>
                <w:color w:val="auto"/>
                <w:w w:val="92"/>
              </w:rPr>
              <w:t>31(b)</w:t>
            </w:r>
          </w:p>
        </w:tc>
        <w:tc>
          <w:tcPr>
            <w:tcW w:w="3200" w:type="dxa"/>
            <w:vAlign w:val="bottom"/>
            <w:tcBorders>
              <w:right w:val="single" w:sz="8" w:color="auto"/>
            </w:tcBorders>
            <w:shd w:val="clear" w:color="auto" w:fill="CFF0FC"/>
          </w:tcPr>
          <w:p>
            <w:pPr>
              <w:ind w:left="140"/>
              <w:spacing w:after="0" w:line="195" w:lineRule="exact"/>
              <w:rPr>
                <w:sz w:val="20"/>
                <w:szCs w:val="20"/>
                <w:color w:val="auto"/>
              </w:rPr>
            </w:pPr>
            <w:r>
              <w:rPr>
                <w:rFonts w:ascii="Arial" w:cs="Arial" w:eastAsia="Arial" w:hAnsi="Arial"/>
                <w:sz w:val="18"/>
                <w:szCs w:val="18"/>
                <w:color w:val="auto"/>
                <w:w w:val="95"/>
              </w:rPr>
              <w:t>Rule 13a-14(a)/15(d)-14(a) Certification</w:t>
            </w:r>
          </w:p>
        </w:tc>
        <w:tc>
          <w:tcPr>
            <w:tcW w:w="1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440" w:type="dxa"/>
            <w:vAlign w:val="bottom"/>
            <w:tcBorders>
              <w:right w:val="single" w:sz="8" w:color="auto"/>
            </w:tcBorders>
            <w:shd w:val="clear" w:color="auto" w:fill="CFF0FC"/>
          </w:tcPr>
          <w:p>
            <w:pPr>
              <w:spacing w:after="0"/>
              <w:rPr>
                <w:sz w:val="16"/>
                <w:szCs w:val="16"/>
                <w:color w:val="auto"/>
              </w:rPr>
            </w:pPr>
          </w:p>
        </w:tc>
        <w:tc>
          <w:tcPr>
            <w:tcW w:w="1360" w:type="dxa"/>
            <w:vAlign w:val="bottom"/>
            <w:tcBorders>
              <w:right w:val="single" w:sz="8" w:color="auto"/>
            </w:tcBorders>
            <w:shd w:val="clear" w:color="auto" w:fill="CFF0FC"/>
          </w:tcPr>
          <w:p>
            <w:pPr>
              <w:ind w:left="600"/>
              <w:spacing w:after="0" w:line="195" w:lineRule="exact"/>
              <w:rPr>
                <w:sz w:val="20"/>
                <w:szCs w:val="20"/>
                <w:color w:val="auto"/>
              </w:rPr>
            </w:pPr>
            <w:r>
              <w:rPr>
                <w:rFonts w:ascii="Arial" w:cs="Arial" w:eastAsia="Arial" w:hAnsi="Arial"/>
                <w:sz w:val="18"/>
                <w:szCs w:val="18"/>
                <w:color w:val="auto"/>
              </w:rPr>
              <w:t>X</w:t>
            </w:r>
          </w:p>
        </w:tc>
      </w:tr>
      <w:tr>
        <w:trPr>
          <w:trHeight w:val="230"/>
        </w:trPr>
        <w:tc>
          <w:tcPr>
            <w:tcW w:w="11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of Chief Financial Officer</w:t>
            </w:r>
          </w:p>
        </w:tc>
        <w:tc>
          <w:tcPr>
            <w:tcW w:w="1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0"/>
              </w:rPr>
              <w:t>32(a)</w:t>
            </w:r>
          </w:p>
        </w:tc>
        <w:tc>
          <w:tcPr>
            <w:tcW w:w="320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Section 1350 Certification of Chief</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X</w:t>
            </w: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Executive Officer</w:t>
            </w:r>
          </w:p>
        </w:tc>
        <w:tc>
          <w:tcPr>
            <w:tcW w:w="1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195"/>
        </w:trPr>
        <w:tc>
          <w:tcPr>
            <w:tcW w:w="1180" w:type="dxa"/>
            <w:vAlign w:val="bottom"/>
            <w:tcBorders>
              <w:left w:val="single" w:sz="8" w:color="auto"/>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b w:val="1"/>
                <w:bCs w:val="1"/>
                <w:color w:val="auto"/>
                <w:w w:val="92"/>
              </w:rPr>
              <w:t>32(b)</w:t>
            </w:r>
          </w:p>
        </w:tc>
        <w:tc>
          <w:tcPr>
            <w:tcW w:w="3200" w:type="dxa"/>
            <w:vAlign w:val="bottom"/>
            <w:tcBorders>
              <w:right w:val="single" w:sz="8" w:color="auto"/>
            </w:tcBorders>
            <w:shd w:val="clear" w:color="auto" w:fill="CFF0FC"/>
          </w:tcPr>
          <w:p>
            <w:pPr>
              <w:ind w:left="140"/>
              <w:spacing w:after="0" w:line="195" w:lineRule="exact"/>
              <w:rPr>
                <w:sz w:val="20"/>
                <w:szCs w:val="20"/>
                <w:color w:val="auto"/>
              </w:rPr>
            </w:pPr>
            <w:r>
              <w:rPr>
                <w:rFonts w:ascii="Arial" w:cs="Arial" w:eastAsia="Arial" w:hAnsi="Arial"/>
                <w:sz w:val="18"/>
                <w:szCs w:val="18"/>
                <w:color w:val="auto"/>
              </w:rPr>
              <w:t>Section 1350 Certification of Chief</w:t>
            </w:r>
          </w:p>
        </w:tc>
        <w:tc>
          <w:tcPr>
            <w:tcW w:w="1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440" w:type="dxa"/>
            <w:vAlign w:val="bottom"/>
            <w:tcBorders>
              <w:right w:val="single" w:sz="8" w:color="auto"/>
            </w:tcBorders>
            <w:shd w:val="clear" w:color="auto" w:fill="CFF0FC"/>
          </w:tcPr>
          <w:p>
            <w:pPr>
              <w:spacing w:after="0"/>
              <w:rPr>
                <w:sz w:val="16"/>
                <w:szCs w:val="16"/>
                <w:color w:val="auto"/>
              </w:rPr>
            </w:pPr>
          </w:p>
        </w:tc>
        <w:tc>
          <w:tcPr>
            <w:tcW w:w="1360" w:type="dxa"/>
            <w:vAlign w:val="bottom"/>
            <w:tcBorders>
              <w:right w:val="single" w:sz="8" w:color="auto"/>
            </w:tcBorders>
            <w:shd w:val="clear" w:color="auto" w:fill="CFF0FC"/>
          </w:tcPr>
          <w:p>
            <w:pPr>
              <w:ind w:left="600"/>
              <w:spacing w:after="0" w:line="195" w:lineRule="exact"/>
              <w:rPr>
                <w:sz w:val="20"/>
                <w:szCs w:val="20"/>
                <w:color w:val="auto"/>
              </w:rPr>
            </w:pPr>
            <w:r>
              <w:rPr>
                <w:rFonts w:ascii="Arial" w:cs="Arial" w:eastAsia="Arial" w:hAnsi="Arial"/>
                <w:sz w:val="18"/>
                <w:szCs w:val="18"/>
                <w:color w:val="auto"/>
              </w:rPr>
              <w:t>X</w:t>
            </w:r>
          </w:p>
        </w:tc>
      </w:tr>
      <w:tr>
        <w:trPr>
          <w:trHeight w:val="230"/>
        </w:trPr>
        <w:tc>
          <w:tcPr>
            <w:tcW w:w="11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Financial Officer</w:t>
            </w:r>
          </w:p>
        </w:tc>
        <w:tc>
          <w:tcPr>
            <w:tcW w:w="1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101.ins</w:t>
            </w: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Instance Document</w:t>
            </w:r>
          </w:p>
        </w:tc>
        <w:tc>
          <w:tcPr>
            <w:tcW w:w="1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X</w:t>
            </w:r>
          </w:p>
        </w:tc>
      </w:tr>
      <w:tr>
        <w:trPr>
          <w:trHeight w:val="210"/>
        </w:trPr>
        <w:tc>
          <w:tcPr>
            <w:tcW w:w="118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87"/>
              </w:rPr>
              <w:t>101.sch</w:t>
            </w: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XBRL Taxonomy Schema</w:t>
            </w:r>
          </w:p>
        </w:tc>
        <w:tc>
          <w:tcPr>
            <w:tcW w:w="1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right w:val="single" w:sz="8" w:color="auto"/>
            </w:tcBorders>
            <w:shd w:val="clear" w:color="auto" w:fill="CFF0FC"/>
          </w:tcPr>
          <w:p>
            <w:pPr>
              <w:spacing w:after="0"/>
              <w:rPr>
                <w:sz w:val="18"/>
                <w:szCs w:val="18"/>
                <w:color w:val="auto"/>
              </w:rPr>
            </w:pPr>
          </w:p>
        </w:tc>
        <w:tc>
          <w:tcPr>
            <w:tcW w:w="1360" w:type="dxa"/>
            <w:vAlign w:val="bottom"/>
            <w:tcBorders>
              <w:bottom w:val="single" w:sz="8" w:color="auto"/>
              <w:right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X</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101.cal</w:t>
            </w: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8"/>
              </w:rPr>
              <w:t>XBRL Taxonomy Calculation Linkbase</w:t>
            </w:r>
          </w:p>
        </w:tc>
        <w:tc>
          <w:tcPr>
            <w:tcW w:w="1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X</w:t>
            </w:r>
          </w:p>
        </w:tc>
      </w:tr>
      <w:tr>
        <w:trPr>
          <w:trHeight w:val="210"/>
        </w:trPr>
        <w:tc>
          <w:tcPr>
            <w:tcW w:w="118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0"/>
              </w:rPr>
              <w:t>101.Def</w:t>
            </w: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6"/>
              </w:rPr>
              <w:t>XBRL Taxonomy Definitions Document</w:t>
            </w:r>
          </w:p>
        </w:tc>
        <w:tc>
          <w:tcPr>
            <w:tcW w:w="1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right w:val="single" w:sz="8" w:color="auto"/>
            </w:tcBorders>
            <w:shd w:val="clear" w:color="auto" w:fill="CFF0FC"/>
          </w:tcPr>
          <w:p>
            <w:pPr>
              <w:spacing w:after="0"/>
              <w:rPr>
                <w:sz w:val="18"/>
                <w:szCs w:val="18"/>
                <w:color w:val="auto"/>
              </w:rPr>
            </w:pPr>
          </w:p>
        </w:tc>
        <w:tc>
          <w:tcPr>
            <w:tcW w:w="1360" w:type="dxa"/>
            <w:vAlign w:val="bottom"/>
            <w:tcBorders>
              <w:bottom w:val="single" w:sz="8" w:color="auto"/>
              <w:right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X</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101.lab</w:t>
            </w: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XBRL Taxonomy Labels Linkbase</w:t>
            </w:r>
          </w:p>
        </w:tc>
        <w:tc>
          <w:tcPr>
            <w:tcW w:w="1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X</w:t>
            </w:r>
          </w:p>
        </w:tc>
      </w:tr>
      <w:tr>
        <w:trPr>
          <w:trHeight w:val="210"/>
        </w:trPr>
        <w:tc>
          <w:tcPr>
            <w:tcW w:w="118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1"/>
              </w:rPr>
              <w:t>101.pre</w:t>
            </w:r>
          </w:p>
        </w:tc>
        <w:tc>
          <w:tcPr>
            <w:tcW w:w="32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4"/>
              </w:rPr>
              <w:t>XBRL Taxonomy Presentation Linkbase</w:t>
            </w:r>
          </w:p>
        </w:tc>
        <w:tc>
          <w:tcPr>
            <w:tcW w:w="1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right w:val="single" w:sz="8" w:color="auto"/>
            </w:tcBorders>
            <w:shd w:val="clear" w:color="auto" w:fill="CFF0FC"/>
          </w:tcPr>
          <w:p>
            <w:pPr>
              <w:spacing w:after="0"/>
              <w:rPr>
                <w:sz w:val="18"/>
                <w:szCs w:val="18"/>
                <w:color w:val="auto"/>
              </w:rPr>
            </w:pPr>
          </w:p>
        </w:tc>
        <w:tc>
          <w:tcPr>
            <w:tcW w:w="1360" w:type="dxa"/>
            <w:vAlign w:val="bottom"/>
            <w:tcBorders>
              <w:bottom w:val="single" w:sz="8" w:color="auto"/>
              <w:right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X</w:t>
            </w:r>
          </w:p>
        </w:tc>
      </w:tr>
    </w:tbl>
    <w:p>
      <w:pPr>
        <w:spacing w:after="0" w:line="107" w:lineRule="exact"/>
        <w:rPr>
          <w:sz w:val="20"/>
          <w:szCs w:val="20"/>
          <w:color w:val="auto"/>
        </w:rPr>
      </w:pPr>
    </w:p>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Management compensation plans and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TI, our customers or our suppliers operate;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6" w:name="page67"/>
    <w:bookmarkEnd w:id="66"/>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Breaches or disruptions of TI’s information technology systems or those of our customers or suppliers;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or the ability to obtain needed third-party foundry and assembly/test subcontract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40" w:lineRule="exact"/>
        <w:rPr>
          <w:rFonts w:ascii="Arial" w:cs="Arial" w:eastAsia="Arial" w:hAnsi="Arial"/>
          <w:sz w:val="16"/>
          <w:szCs w:val="16"/>
          <w:color w:val="auto"/>
        </w:rPr>
      </w:pPr>
    </w:p>
    <w:p>
      <w:pPr>
        <w:ind w:left="1040" w:right="120" w:hanging="519"/>
        <w:spacing w:after="0" w:line="264"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TI is or may become subject, or actions of enforcement authorities, that restrict TI’s ability to manufacture or ship our products or operate our business, or subject TI to fines, penalties, or other legal liability;</w:t>
      </w:r>
    </w:p>
    <w:p>
      <w:pPr>
        <w:spacing w:after="0" w:line="73"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 or the loss of a significant number of distributors;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40" w:lineRule="exact"/>
        <w:rPr>
          <w:rFonts w:ascii="Arial" w:cs="Arial" w:eastAsia="Arial" w:hAnsi="Arial"/>
          <w:sz w:val="16"/>
          <w:szCs w:val="16"/>
          <w:color w:val="auto"/>
        </w:rPr>
      </w:pPr>
    </w:p>
    <w:p>
      <w:pPr>
        <w:ind w:left="1040" w:right="28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our ability to utilize our manufacturing facilities at sufficient levels to cover its fixed operating costs, in an intensely competitive and cyclical industry;</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maintain freedom of operation; or TI’s exposure to infringement claims;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our daily operations, invest in the business, make strategic acquisitions, or make principal and interest payments on our debt;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TI’s ability to recruit and retain skilled engineering, management and technical personnel;</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or our ability to realize our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67" w:name="page68"/>
    <w:bookmarkEnd w:id="67"/>
    <w:p>
      <w:pPr>
        <w:jc w:val="center"/>
        <w:ind w:right="-3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ind w:left="658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3"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341" w:right="599" w:bottom="1440" w:gutter="0" w:footer="0" w:header="0"/>
        </w:sectPr>
      </w:pPr>
    </w:p>
    <w:bookmarkStart w:id="68" w:name="page69"/>
    <w:bookmarkEnd w:id="68"/>
    <w:p>
      <w:pPr>
        <w:ind w:right="20"/>
        <w:spacing w:after="0" w:line="254" w:lineRule="auto"/>
        <w:rPr>
          <w:sz w:val="20"/>
          <w:szCs w:val="20"/>
          <w:color w:val="auto"/>
        </w:rPr>
      </w:pPr>
      <w:r>
        <w:rPr>
          <w:rFonts w:ascii="Arial" w:cs="Arial" w:eastAsia="Arial" w:hAnsi="Arial"/>
          <w:sz w:val="18"/>
          <w:szCs w:val="18"/>
          <w:color w:val="auto"/>
        </w:rPr>
        <w:t>Each person whose signature appears below constitutes and appoints each of Richard K. Templeton, Kevin P. March, and Cynthia Hoff Trochu,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2016,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23rd day of February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20" w:type="dxa"/>
            <w:vAlign w:val="bottom"/>
          </w:tcPr>
          <w:p>
            <w:pPr>
              <w:spacing w:after="0"/>
              <w:rPr>
                <w:sz w:val="20"/>
                <w:szCs w:val="20"/>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426"/>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Ralph W. Babb, Jr.</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1"/>
              </w:rPr>
              <w:t>Ralph W. Babb, Jr.</w:t>
            </w:r>
          </w:p>
        </w:tc>
        <w:tc>
          <w:tcPr>
            <w:tcW w:w="5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Mark A. Blinn</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9"/>
              </w:rPr>
              <w:t>Mark A. Blinn</w:t>
            </w:r>
          </w:p>
        </w:tc>
        <w:tc>
          <w:tcPr>
            <w:tcW w:w="5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Daniel A. Carp</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5"/>
              </w:rPr>
              <w:t>Daniel A. Carp</w:t>
            </w:r>
          </w:p>
        </w:tc>
        <w:tc>
          <w:tcPr>
            <w:tcW w:w="5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Janet F. Clark</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3"/>
              </w:rPr>
              <w:t>Janet F. Clark</w:t>
            </w:r>
          </w:p>
        </w:tc>
        <w:tc>
          <w:tcPr>
            <w:tcW w:w="5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Carrie S. Cox</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3"/>
              </w:rPr>
              <w:t>Carrie S. Cox</w:t>
            </w:r>
          </w:p>
        </w:tc>
        <w:tc>
          <w:tcPr>
            <w:tcW w:w="5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 Jean M. Hobby</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20"/>
                <w:szCs w:val="20"/>
                <w:color w:val="auto"/>
                <w:w w:val="91"/>
              </w:rPr>
              <w:t>Director</w:t>
            </w:r>
          </w:p>
        </w:tc>
        <w:tc>
          <w:tcPr>
            <w:tcW w:w="0" w:type="dxa"/>
            <w:vAlign w:val="bottom"/>
          </w:tcPr>
          <w:p>
            <w:pPr>
              <w:spacing w:after="0"/>
              <w:rPr>
                <w:sz w:val="1"/>
                <w:szCs w:val="1"/>
                <w:color w:val="auto"/>
              </w:rPr>
            </w:pPr>
          </w:p>
        </w:tc>
      </w:tr>
      <w:tr>
        <w:trPr>
          <w:trHeight w:val="250"/>
        </w:trPr>
        <w:tc>
          <w:tcPr>
            <w:tcW w:w="5620" w:type="dxa"/>
            <w:vAlign w:val="bottom"/>
          </w:tcPr>
          <w:p>
            <w:pPr>
              <w:jc w:val="center"/>
              <w:spacing w:after="0"/>
              <w:rPr>
                <w:sz w:val="20"/>
                <w:szCs w:val="20"/>
                <w:color w:val="auto"/>
              </w:rPr>
            </w:pPr>
            <w:r>
              <w:rPr>
                <w:rFonts w:ascii="Arial" w:cs="Arial" w:eastAsia="Arial" w:hAnsi="Arial"/>
                <w:sz w:val="20"/>
                <w:szCs w:val="20"/>
                <w:b w:val="1"/>
                <w:bCs w:val="1"/>
                <w:color w:val="auto"/>
                <w:w w:val="92"/>
              </w:rPr>
              <w:t>Jean M. Hobby</w:t>
            </w:r>
          </w:p>
        </w:tc>
        <w:tc>
          <w:tcPr>
            <w:tcW w:w="520" w:type="dxa"/>
            <w:vAlign w:val="bottom"/>
          </w:tcPr>
          <w:p>
            <w:pPr>
              <w:spacing w:after="0"/>
              <w:rPr>
                <w:sz w:val="21"/>
                <w:szCs w:val="21"/>
                <w:color w:val="auto"/>
              </w:rPr>
            </w:pPr>
          </w:p>
        </w:tc>
        <w:tc>
          <w:tcPr>
            <w:tcW w:w="5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Ronald Kirk</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6"/>
              </w:rPr>
              <w:t>Ronald Kirk</w:t>
            </w:r>
          </w:p>
        </w:tc>
        <w:tc>
          <w:tcPr>
            <w:tcW w:w="5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Pamela H. Patsley</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9"/>
              </w:rPr>
              <w:t>Pamela H. Patsley</w:t>
            </w:r>
          </w:p>
        </w:tc>
        <w:tc>
          <w:tcPr>
            <w:tcW w:w="5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Robert E. Sanchez</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9"/>
              </w:rPr>
              <w:t>Robert E. Sanchez</w:t>
            </w:r>
          </w:p>
        </w:tc>
        <w:tc>
          <w:tcPr>
            <w:tcW w:w="5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Wayne R. Sanders</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0"/>
              </w:rPr>
              <w:t>Wayne R. Sanders</w:t>
            </w:r>
          </w:p>
        </w:tc>
        <w:tc>
          <w:tcPr>
            <w:tcW w:w="5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K. Templeton</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1"/>
              </w:rPr>
              <w:t>Chairman of the Board; Director; President;</w:t>
            </w:r>
          </w:p>
        </w:tc>
        <w:tc>
          <w:tcPr>
            <w:tcW w:w="0" w:type="dxa"/>
            <w:vAlign w:val="bottom"/>
          </w:tcPr>
          <w:p>
            <w:pPr>
              <w:spacing w:after="0"/>
              <w:rPr>
                <w:sz w:val="1"/>
                <w:szCs w:val="1"/>
                <w:color w:val="auto"/>
              </w:rPr>
            </w:pPr>
          </w:p>
        </w:tc>
      </w:tr>
      <w:tr>
        <w:trPr>
          <w:trHeight w:val="195"/>
        </w:trPr>
        <w:tc>
          <w:tcPr>
            <w:tcW w:w="56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Richard K. Templeton</w:t>
            </w:r>
          </w:p>
        </w:tc>
        <w:tc>
          <w:tcPr>
            <w:tcW w:w="52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43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Christine Todd Whitman</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3"/>
              </w:rPr>
              <w:t>Christine Todd Whitman</w:t>
            </w:r>
          </w:p>
        </w:tc>
        <w:tc>
          <w:tcPr>
            <w:tcW w:w="5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Kevin P. March</w:t>
            </w:r>
          </w:p>
        </w:tc>
        <w:tc>
          <w:tcPr>
            <w:tcW w:w="520" w:type="dxa"/>
            <w:vAlign w:val="bottom"/>
          </w:tcPr>
          <w:p>
            <w:pPr>
              <w:spacing w:after="0"/>
              <w:rPr>
                <w:sz w:val="24"/>
                <w:szCs w:val="24"/>
                <w:color w:val="auto"/>
              </w:rPr>
            </w:pP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2"/>
              </w:rPr>
              <w:t>Senior Vice President; Principal Financial Officer;</w:t>
            </w:r>
          </w:p>
        </w:tc>
        <w:tc>
          <w:tcPr>
            <w:tcW w:w="0" w:type="dxa"/>
            <w:vAlign w:val="bottom"/>
          </w:tcPr>
          <w:p>
            <w:pPr>
              <w:spacing w:after="0"/>
              <w:rPr>
                <w:sz w:val="1"/>
                <w:szCs w:val="1"/>
                <w:color w:val="auto"/>
              </w:rPr>
            </w:pPr>
          </w:p>
        </w:tc>
      </w:tr>
      <w:tr>
        <w:trPr>
          <w:trHeight w:val="195"/>
        </w:trPr>
        <w:tc>
          <w:tcPr>
            <w:tcW w:w="56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4"/>
              </w:rPr>
              <w:t>Kevin P. March</w:t>
            </w:r>
          </w:p>
        </w:tc>
        <w:tc>
          <w:tcPr>
            <w:tcW w:w="52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c>
          <w:tcPr>
            <w:tcW w:w="0" w:type="dxa"/>
            <w:vAlign w:val="bottom"/>
          </w:tcPr>
          <w:p>
            <w:pPr>
              <w:spacing w:after="0"/>
              <w:rPr>
                <w:sz w:val="1"/>
                <w:szCs w:val="1"/>
                <w:color w:val="auto"/>
              </w:rPr>
            </w:pPr>
          </w:p>
        </w:tc>
      </w:tr>
      <w:tr>
        <w:trPr>
          <w:trHeight w:val="891"/>
        </w:trPr>
        <w:tc>
          <w:tcPr>
            <w:tcW w:w="5620" w:type="dxa"/>
            <w:vAlign w:val="bottom"/>
          </w:tcPr>
          <w:p>
            <w:pPr>
              <w:spacing w:after="0"/>
              <w:rPr>
                <w:sz w:val="24"/>
                <w:szCs w:val="24"/>
                <w:color w:val="auto"/>
              </w:rPr>
            </w:pPr>
          </w:p>
        </w:tc>
        <w:tc>
          <w:tcPr>
            <w:tcW w:w="520" w:type="dxa"/>
            <w:vAlign w:val="bottom"/>
          </w:tcPr>
          <w:p>
            <w:pPr>
              <w:jc w:val="right"/>
              <w:ind w:right="250"/>
              <w:spacing w:after="0"/>
              <w:rPr>
                <w:sz w:val="20"/>
                <w:szCs w:val="20"/>
                <w:color w:val="auto"/>
              </w:rPr>
            </w:pPr>
            <w:r>
              <w:rPr>
                <w:rFonts w:ascii="Arial" w:cs="Arial" w:eastAsia="Arial" w:hAnsi="Arial"/>
                <w:sz w:val="18"/>
                <w:szCs w:val="18"/>
                <w:color w:val="auto"/>
                <w:w w:val="79"/>
              </w:rPr>
              <w:t>69</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u w:val="single" w:color="auto"/>
          <w:color w:val="auto"/>
        </w:rPr>
        <w:t>Exhibit 10(k)</w:t>
      </w:r>
    </w:p>
    <w:p>
      <w:pPr>
        <w:jc w:val="center"/>
        <w:spacing w:after="0" w:line="230" w:lineRule="auto"/>
        <w:rPr>
          <w:sz w:val="20"/>
          <w:szCs w:val="20"/>
          <w:color w:val="auto"/>
        </w:rPr>
      </w:pPr>
      <w:r>
        <w:rPr>
          <w:rFonts w:ascii="Arial" w:cs="Arial" w:eastAsia="Arial" w:hAnsi="Arial"/>
          <w:sz w:val="22"/>
          <w:szCs w:val="22"/>
          <w:b w:val="1"/>
          <w:bCs w:val="1"/>
          <w:color w:val="auto"/>
        </w:rPr>
        <w:t>Texas Instruments Incorporated</w:t>
      </w:r>
    </w:p>
    <w:p>
      <w:pPr>
        <w:jc w:val="center"/>
        <w:spacing w:after="0" w:line="231" w:lineRule="auto"/>
        <w:rPr>
          <w:sz w:val="20"/>
          <w:szCs w:val="20"/>
          <w:color w:val="auto"/>
        </w:rPr>
      </w:pPr>
      <w:r>
        <w:rPr>
          <w:rFonts w:ascii="Arial" w:cs="Arial" w:eastAsia="Arial" w:hAnsi="Arial"/>
          <w:sz w:val="22"/>
          <w:szCs w:val="22"/>
          <w:b w:val="1"/>
          <w:bCs w:val="1"/>
          <w:color w:val="auto"/>
        </w:rPr>
        <w:t>Nonqualified Stock Option Agreement</w:t>
      </w:r>
    </w:p>
    <w:p>
      <w:pPr>
        <w:jc w:val="center"/>
        <w:spacing w:after="0"/>
        <w:rPr>
          <w:sz w:val="20"/>
          <w:szCs w:val="20"/>
          <w:color w:val="auto"/>
        </w:rPr>
      </w:pPr>
      <w:r>
        <w:rPr>
          <w:rFonts w:ascii="Arial" w:cs="Arial" w:eastAsia="Arial" w:hAnsi="Arial"/>
          <w:sz w:val="22"/>
          <w:szCs w:val="22"/>
          <w:b w:val="1"/>
          <w:bCs w:val="1"/>
          <w:color w:val="auto"/>
        </w:rPr>
        <w:t>(Executive Officers)</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Form No. 2</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2009 LTIP</w:t>
      </w:r>
    </w:p>
    <w:p>
      <w:pPr>
        <w:spacing w:after="0" w:line="200" w:lineRule="exact"/>
        <w:rPr>
          <w:sz w:val="20"/>
          <w:szCs w:val="20"/>
          <w:color w:val="auto"/>
        </w:rPr>
      </w:pPr>
    </w:p>
    <w:p>
      <w:pPr>
        <w:spacing w:after="0" w:line="222"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Your option is subject to the following terms and conditions, your acceptance of which is required before you can exercise the option. As used below, “TI,” “the Company” and “the Option Date” have the meanings specified in Section 9.</w:t>
      </w:r>
    </w:p>
    <w:p>
      <w:pPr>
        <w:spacing w:after="0" w:line="202" w:lineRule="exact"/>
        <w:rPr>
          <w:sz w:val="20"/>
          <w:szCs w:val="20"/>
          <w:color w:val="auto"/>
        </w:rPr>
      </w:pPr>
    </w:p>
    <w:p>
      <w:pPr>
        <w:ind w:left="660" w:right="20" w:hanging="652"/>
        <w:spacing w:after="0" w:line="238"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Exercisability</w:t>
      </w:r>
      <w:r>
        <w:rPr>
          <w:rFonts w:ascii="Arial" w:cs="Arial" w:eastAsia="Arial" w:hAnsi="Arial"/>
          <w:sz w:val="22"/>
          <w:szCs w:val="22"/>
          <w:color w:val="auto"/>
        </w:rPr>
        <w:t>. On or after the first anniversary of the Option Date, during the balance of the option term, your option may be exercised and shares purchased at any time or times under the following conditions:</w:t>
      </w:r>
    </w:p>
    <w:p>
      <w:pPr>
        <w:spacing w:after="0" w:line="201" w:lineRule="exact"/>
        <w:rPr>
          <w:sz w:val="20"/>
          <w:szCs w:val="20"/>
          <w:color w:val="auto"/>
        </w:rPr>
      </w:pPr>
    </w:p>
    <w:p>
      <w:pPr>
        <w:ind w:left="1300" w:right="20" w:hanging="644"/>
        <w:spacing w:after="0" w:line="238" w:lineRule="auto"/>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Installment Table</w:t>
      </w:r>
      <w:r>
        <w:rPr>
          <w:rFonts w:ascii="Arial" w:cs="Arial" w:eastAsia="Arial" w:hAnsi="Arial"/>
          <w:sz w:val="22"/>
          <w:szCs w:val="22"/>
          <w:color w:val="auto"/>
        </w:rPr>
        <w:t>. Except as provided in Sections 1(b) and 1(c), the option will be exercisable through the tenth anniversary of the Option Date based on the following table.</w:t>
      </w:r>
    </w:p>
    <w:p>
      <w:pPr>
        <w:spacing w:after="0" w:line="197" w:lineRule="exact"/>
        <w:rPr>
          <w:sz w:val="20"/>
          <w:szCs w:val="20"/>
          <w:color w:val="auto"/>
        </w:rPr>
      </w:pPr>
    </w:p>
    <w:tbl>
      <w:tblPr>
        <w:tblLayout w:type="fixed"/>
        <w:tblInd w:w="1340" w:type="dxa"/>
        <w:tblCellMar>
          <w:top w:w="0" w:type="dxa"/>
          <w:left w:w="0" w:type="dxa"/>
          <w:bottom w:w="0" w:type="dxa"/>
          <w:right w:w="0" w:type="dxa"/>
        </w:tblCellMar>
      </w:tblPr>
      <w:tr>
        <w:trPr>
          <w:trHeight w:val="253"/>
        </w:trPr>
        <w:tc>
          <w:tcPr>
            <w:tcW w:w="3820" w:type="dxa"/>
            <w:vAlign w:val="bottom"/>
            <w:gridSpan w:val="2"/>
          </w:tcPr>
          <w:p>
            <w:pPr>
              <w:ind w:left="1260"/>
              <w:spacing w:after="0"/>
              <w:rPr>
                <w:sz w:val="20"/>
                <w:szCs w:val="20"/>
                <w:color w:val="auto"/>
              </w:rPr>
            </w:pPr>
            <w:r>
              <w:rPr>
                <w:rFonts w:ascii="Arial" w:cs="Arial" w:eastAsia="Arial" w:hAnsi="Arial"/>
                <w:sz w:val="22"/>
                <w:szCs w:val="22"/>
                <w:color w:val="auto"/>
              </w:rPr>
              <w:t>On or After</w:t>
            </w:r>
          </w:p>
        </w:tc>
        <w:tc>
          <w:tcPr>
            <w:tcW w:w="2580" w:type="dxa"/>
            <w:vAlign w:val="bottom"/>
          </w:tcPr>
          <w:p>
            <w:pPr>
              <w:ind w:left="340"/>
              <w:spacing w:after="0"/>
              <w:rPr>
                <w:sz w:val="20"/>
                <w:szCs w:val="20"/>
                <w:color w:val="auto"/>
              </w:rPr>
            </w:pPr>
            <w:r>
              <w:rPr>
                <w:rFonts w:ascii="Arial" w:cs="Arial" w:eastAsia="Arial" w:hAnsi="Arial"/>
                <w:sz w:val="22"/>
                <w:szCs w:val="22"/>
                <w:color w:val="auto"/>
              </w:rPr>
              <w:t>Percent Exercisable</w:t>
            </w:r>
          </w:p>
        </w:tc>
      </w:tr>
      <w:tr>
        <w:trPr>
          <w:trHeight w:val="230"/>
        </w:trPr>
        <w:tc>
          <w:tcPr>
            <w:tcW w:w="3580" w:type="dxa"/>
            <w:vAlign w:val="bottom"/>
            <w:tcBorders>
              <w:top w:val="single" w:sz="8" w:color="auto"/>
            </w:tcBorders>
          </w:tcPr>
          <w:p>
            <w:pPr>
              <w:spacing w:after="0" w:line="230" w:lineRule="exact"/>
              <w:rPr>
                <w:sz w:val="20"/>
                <w:szCs w:val="20"/>
                <w:color w:val="auto"/>
              </w:rPr>
            </w:pPr>
            <w:r>
              <w:rPr>
                <w:rFonts w:ascii="Arial" w:cs="Arial" w:eastAsia="Arial" w:hAnsi="Arial"/>
                <w:sz w:val="22"/>
                <w:szCs w:val="22"/>
                <w:color w:val="auto"/>
              </w:rPr>
              <w:t>1</w:t>
            </w:r>
            <w:r>
              <w:rPr>
                <w:rFonts w:ascii="Arial" w:cs="Arial" w:eastAsia="Arial" w:hAnsi="Arial"/>
                <w:sz w:val="18"/>
                <w:szCs w:val="18"/>
                <w:color w:val="auto"/>
              </w:rPr>
              <w:t>st</w:t>
            </w:r>
            <w:r>
              <w:rPr>
                <w:rFonts w:ascii="Arial" w:cs="Arial" w:eastAsia="Arial" w:hAnsi="Arial"/>
                <w:sz w:val="22"/>
                <w:szCs w:val="22"/>
                <w:color w:val="auto"/>
              </w:rPr>
              <w:t xml:space="preserve"> anniversary of the Option Date</w:t>
            </w:r>
          </w:p>
        </w:tc>
        <w:tc>
          <w:tcPr>
            <w:tcW w:w="240" w:type="dxa"/>
            <w:vAlign w:val="bottom"/>
          </w:tcPr>
          <w:p>
            <w:pPr>
              <w:spacing w:after="0"/>
              <w:rPr>
                <w:sz w:val="20"/>
                <w:szCs w:val="20"/>
                <w:color w:val="auto"/>
              </w:rPr>
            </w:pPr>
          </w:p>
        </w:tc>
        <w:tc>
          <w:tcPr>
            <w:tcW w:w="2580" w:type="dxa"/>
            <w:vAlign w:val="bottom"/>
            <w:tcBorders>
              <w:top w:val="single" w:sz="8" w:color="auto"/>
            </w:tcBorders>
          </w:tcPr>
          <w:p>
            <w:pPr>
              <w:jc w:val="center"/>
              <w:spacing w:after="0" w:line="230" w:lineRule="exact"/>
              <w:rPr>
                <w:sz w:val="20"/>
                <w:szCs w:val="20"/>
                <w:color w:val="auto"/>
              </w:rPr>
            </w:pPr>
            <w:r>
              <w:rPr>
                <w:rFonts w:ascii="Arial" w:cs="Arial" w:eastAsia="Arial" w:hAnsi="Arial"/>
                <w:sz w:val="22"/>
                <w:szCs w:val="22"/>
                <w:color w:val="auto"/>
                <w:w w:val="95"/>
              </w:rPr>
              <w:t>25%</w:t>
            </w:r>
          </w:p>
        </w:tc>
      </w:tr>
      <w:tr>
        <w:trPr>
          <w:trHeight w:val="243"/>
        </w:trPr>
        <w:tc>
          <w:tcPr>
            <w:tcW w:w="3820" w:type="dxa"/>
            <w:vAlign w:val="bottom"/>
            <w:gridSpan w:val="2"/>
          </w:tcPr>
          <w:p>
            <w:pPr>
              <w:spacing w:after="0" w:line="243" w:lineRule="exact"/>
              <w:rPr>
                <w:sz w:val="20"/>
                <w:szCs w:val="20"/>
                <w:color w:val="auto"/>
              </w:rPr>
            </w:pPr>
            <w:r>
              <w:rPr>
                <w:rFonts w:ascii="Arial" w:cs="Arial" w:eastAsia="Arial" w:hAnsi="Arial"/>
                <w:sz w:val="22"/>
                <w:szCs w:val="22"/>
                <w:color w:val="auto"/>
              </w:rPr>
              <w:t>2</w:t>
            </w:r>
            <w:r>
              <w:rPr>
                <w:rFonts w:ascii="Arial" w:cs="Arial" w:eastAsia="Arial" w:hAnsi="Arial"/>
                <w:sz w:val="18"/>
                <w:szCs w:val="18"/>
                <w:color w:val="auto"/>
              </w:rPr>
              <w:t>nd</w:t>
            </w:r>
            <w:r>
              <w:rPr>
                <w:rFonts w:ascii="Arial" w:cs="Arial" w:eastAsia="Arial" w:hAnsi="Arial"/>
                <w:sz w:val="22"/>
                <w:szCs w:val="22"/>
                <w:color w:val="auto"/>
              </w:rPr>
              <w:t xml:space="preserve"> anniversary of the Option Date</w:t>
            </w:r>
          </w:p>
        </w:tc>
        <w:tc>
          <w:tcPr>
            <w:tcW w:w="2580" w:type="dxa"/>
            <w:vAlign w:val="bottom"/>
          </w:tcPr>
          <w:p>
            <w:pPr>
              <w:jc w:val="center"/>
              <w:spacing w:after="0" w:line="243" w:lineRule="exact"/>
              <w:rPr>
                <w:sz w:val="20"/>
                <w:szCs w:val="20"/>
                <w:color w:val="auto"/>
              </w:rPr>
            </w:pPr>
            <w:r>
              <w:rPr>
                <w:rFonts w:ascii="Arial" w:cs="Arial" w:eastAsia="Arial" w:hAnsi="Arial"/>
                <w:sz w:val="22"/>
                <w:szCs w:val="22"/>
                <w:color w:val="auto"/>
                <w:w w:val="95"/>
              </w:rPr>
              <w:t>50%</w:t>
            </w:r>
          </w:p>
        </w:tc>
      </w:tr>
      <w:tr>
        <w:trPr>
          <w:trHeight w:val="243"/>
        </w:trPr>
        <w:tc>
          <w:tcPr>
            <w:tcW w:w="3820" w:type="dxa"/>
            <w:vAlign w:val="bottom"/>
            <w:gridSpan w:val="2"/>
          </w:tcPr>
          <w:p>
            <w:pPr>
              <w:spacing w:after="0" w:line="243" w:lineRule="exact"/>
              <w:rPr>
                <w:sz w:val="20"/>
                <w:szCs w:val="20"/>
                <w:color w:val="auto"/>
              </w:rPr>
            </w:pPr>
            <w:r>
              <w:rPr>
                <w:rFonts w:ascii="Arial" w:cs="Arial" w:eastAsia="Arial" w:hAnsi="Arial"/>
                <w:sz w:val="22"/>
                <w:szCs w:val="22"/>
                <w:color w:val="auto"/>
              </w:rPr>
              <w:t>3</w:t>
            </w:r>
            <w:r>
              <w:rPr>
                <w:rFonts w:ascii="Arial" w:cs="Arial" w:eastAsia="Arial" w:hAnsi="Arial"/>
                <w:sz w:val="18"/>
                <w:szCs w:val="18"/>
                <w:color w:val="auto"/>
              </w:rPr>
              <w:t>rd</w:t>
            </w:r>
            <w:r>
              <w:rPr>
                <w:rFonts w:ascii="Arial" w:cs="Arial" w:eastAsia="Arial" w:hAnsi="Arial"/>
                <w:sz w:val="22"/>
                <w:szCs w:val="22"/>
                <w:color w:val="auto"/>
              </w:rPr>
              <w:t xml:space="preserve"> anniversary of the Option Date</w:t>
            </w:r>
          </w:p>
        </w:tc>
        <w:tc>
          <w:tcPr>
            <w:tcW w:w="2580" w:type="dxa"/>
            <w:vAlign w:val="bottom"/>
          </w:tcPr>
          <w:p>
            <w:pPr>
              <w:jc w:val="center"/>
              <w:spacing w:after="0" w:line="243" w:lineRule="exact"/>
              <w:rPr>
                <w:sz w:val="20"/>
                <w:szCs w:val="20"/>
                <w:color w:val="auto"/>
              </w:rPr>
            </w:pPr>
            <w:r>
              <w:rPr>
                <w:rFonts w:ascii="Arial" w:cs="Arial" w:eastAsia="Arial" w:hAnsi="Arial"/>
                <w:sz w:val="22"/>
                <w:szCs w:val="22"/>
                <w:color w:val="auto"/>
                <w:w w:val="95"/>
              </w:rPr>
              <w:t>75%</w:t>
            </w:r>
          </w:p>
        </w:tc>
      </w:tr>
      <w:tr>
        <w:trPr>
          <w:trHeight w:val="260"/>
        </w:trPr>
        <w:tc>
          <w:tcPr>
            <w:tcW w:w="3820" w:type="dxa"/>
            <w:vAlign w:val="bottom"/>
            <w:gridSpan w:val="2"/>
          </w:tcPr>
          <w:p>
            <w:pPr>
              <w:spacing w:after="0"/>
              <w:rPr>
                <w:sz w:val="20"/>
                <w:szCs w:val="20"/>
                <w:color w:val="auto"/>
              </w:rPr>
            </w:pPr>
            <w:r>
              <w:rPr>
                <w:rFonts w:ascii="Arial" w:cs="Arial" w:eastAsia="Arial" w:hAnsi="Arial"/>
                <w:sz w:val="22"/>
                <w:szCs w:val="22"/>
                <w:color w:val="auto"/>
              </w:rPr>
              <w:t>4</w:t>
            </w:r>
            <w:r>
              <w:rPr>
                <w:rFonts w:ascii="Arial" w:cs="Arial" w:eastAsia="Arial" w:hAnsi="Arial"/>
                <w:sz w:val="18"/>
                <w:szCs w:val="18"/>
                <w:color w:val="auto"/>
              </w:rPr>
              <w:t>th</w:t>
            </w:r>
            <w:r>
              <w:rPr>
                <w:rFonts w:ascii="Arial" w:cs="Arial" w:eastAsia="Arial" w:hAnsi="Arial"/>
                <w:sz w:val="22"/>
                <w:szCs w:val="22"/>
                <w:color w:val="auto"/>
              </w:rPr>
              <w:t xml:space="preserve"> anniversary of the Option Date</w:t>
            </w:r>
          </w:p>
        </w:tc>
        <w:tc>
          <w:tcPr>
            <w:tcW w:w="2580" w:type="dxa"/>
            <w:vAlign w:val="bottom"/>
          </w:tcPr>
          <w:p>
            <w:pPr>
              <w:jc w:val="center"/>
              <w:spacing w:after="0"/>
              <w:rPr>
                <w:sz w:val="20"/>
                <w:szCs w:val="20"/>
                <w:color w:val="auto"/>
              </w:rPr>
            </w:pPr>
            <w:r>
              <w:rPr>
                <w:rFonts w:ascii="Arial" w:cs="Arial" w:eastAsia="Arial" w:hAnsi="Arial"/>
                <w:sz w:val="22"/>
                <w:szCs w:val="22"/>
                <w:color w:val="auto"/>
                <w:w w:val="95"/>
              </w:rPr>
              <w:t>100%</w:t>
            </w:r>
          </w:p>
        </w:tc>
      </w:tr>
    </w:tbl>
    <w:p>
      <w:pPr>
        <w:spacing w:after="0" w:line="200"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w:t>
      </w:r>
      <w:r>
        <w:rPr>
          <w:rFonts w:ascii="Arial" w:cs="Arial" w:eastAsia="Arial" w:hAnsi="Arial"/>
          <w:sz w:val="22"/>
          <w:szCs w:val="22"/>
          <w:u w:val="single" w:color="auto"/>
          <w:color w:val="auto"/>
        </w:rPr>
        <w:t>ermination of Employment</w:t>
      </w:r>
      <w:r>
        <w:rPr>
          <w:rFonts w:ascii="Arial" w:cs="Arial" w:eastAsia="Arial" w:hAnsi="Arial"/>
          <w:sz w:val="22"/>
          <w:szCs w:val="22"/>
          <w:color w:val="auto"/>
        </w:rPr>
        <w:t>. The effect of termination of employment from TI is as follows:</w:t>
      </w:r>
    </w:p>
    <w:p>
      <w:pPr>
        <w:spacing w:after="0" w:line="206" w:lineRule="exact"/>
        <w:rPr>
          <w:rFonts w:ascii="Arial" w:cs="Arial" w:eastAsia="Arial" w:hAnsi="Arial"/>
          <w:sz w:val="22"/>
          <w:szCs w:val="22"/>
          <w:color w:val="auto"/>
        </w:rPr>
      </w:pPr>
    </w:p>
    <w:p>
      <w:pPr>
        <w:ind w:left="1960" w:hanging="642"/>
        <w:spacing w:after="0"/>
        <w:tabs>
          <w:tab w:leader="none" w:pos="1960"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The option will be canceled immediately upon termination.</w:t>
      </w:r>
    </w:p>
    <w:p>
      <w:pPr>
        <w:spacing w:after="0" w:line="206" w:lineRule="exact"/>
        <w:rPr>
          <w:rFonts w:ascii="Arial" w:cs="Arial" w:eastAsia="Arial" w:hAnsi="Arial"/>
          <w:sz w:val="22"/>
          <w:szCs w:val="22"/>
          <w:color w:val="auto"/>
        </w:rPr>
      </w:pPr>
    </w:p>
    <w:p>
      <w:pPr>
        <w:ind w:left="1960" w:right="20" w:hanging="642"/>
        <w:spacing w:after="0" w:line="238" w:lineRule="auto"/>
        <w:tabs>
          <w:tab w:leader="none" w:pos="1960"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The option will continue to full term, becoming exercisable per the table in Section 1(a), and will be exercisable by your heirs.</w:t>
      </w:r>
    </w:p>
    <w:p>
      <w:pPr>
        <w:spacing w:after="0" w:line="200" w:lineRule="exact"/>
        <w:rPr>
          <w:rFonts w:ascii="Arial" w:cs="Arial" w:eastAsia="Arial" w:hAnsi="Arial"/>
          <w:sz w:val="22"/>
          <w:szCs w:val="22"/>
          <w:color w:val="auto"/>
        </w:rPr>
      </w:pPr>
    </w:p>
    <w:p>
      <w:pPr>
        <w:ind w:left="1960" w:right="20" w:hanging="642"/>
        <w:spacing w:after="0" w:line="238" w:lineRule="auto"/>
        <w:tabs>
          <w:tab w:leader="none" w:pos="1960"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Permanent disability</w:t>
      </w:r>
      <w:r>
        <w:rPr>
          <w:rFonts w:ascii="Arial" w:cs="Arial" w:eastAsia="Arial" w:hAnsi="Arial"/>
          <w:sz w:val="22"/>
          <w:szCs w:val="22"/>
          <w:color w:val="auto"/>
        </w:rPr>
        <w:t>: The option will continue to full term, becoming exercisable per the table in Section 1(a).</w:t>
      </w:r>
    </w:p>
    <w:p>
      <w:pPr>
        <w:sectPr>
          <w:pgSz w:w="11900" w:h="16838" w:orient="portrait"/>
          <w:cols w:equalWidth="0" w:num="1">
            <w:col w:w="11420"/>
          </w:cols>
          <w:pgMar w:left="240" w:top="129" w:right="239" w:bottom="1440" w:gutter="0" w:footer="0" w:header="0"/>
        </w:sectPr>
      </w:pPr>
    </w:p>
    <w:p>
      <w:pPr>
        <w:spacing w:after="0" w:line="201" w:lineRule="exact"/>
        <w:rPr>
          <w:sz w:val="20"/>
          <w:szCs w:val="20"/>
          <w:color w:val="auto"/>
        </w:rPr>
      </w:pPr>
    </w:p>
    <w:p>
      <w:pPr>
        <w:jc w:val="both"/>
        <w:ind w:left="1960" w:hanging="642"/>
        <w:spacing w:after="0" w:line="235" w:lineRule="auto"/>
        <w:tabs>
          <w:tab w:leader="none" w:pos="19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Termination (except for cause), at least six are Retirement Eligible as defined in Section 9</w:t>
      </w:r>
      <w:r>
        <w:rPr>
          <w:rFonts w:ascii="Arial" w:cs="Arial" w:eastAsia="Arial" w:hAnsi="Arial"/>
          <w:sz w:val="22"/>
          <w:szCs w:val="22"/>
          <w:color w:val="auto"/>
        </w:rPr>
        <w:t>: exercisable per the table in Section 1(a).</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firstLine="37"/>
        <w:spacing w:after="0" w:line="238" w:lineRule="auto"/>
        <w:rPr>
          <w:sz w:val="20"/>
          <w:szCs w:val="20"/>
          <w:color w:val="auto"/>
        </w:rPr>
      </w:pPr>
      <w:r>
        <w:rPr>
          <w:rFonts w:ascii="Arial" w:cs="Arial" w:eastAsia="Arial" w:hAnsi="Arial"/>
          <w:sz w:val="22"/>
          <w:szCs w:val="22"/>
          <w:u w:val="single" w:color="auto"/>
          <w:color w:val="auto"/>
        </w:rPr>
        <w:t xml:space="preserve">months after the Option Date, when you </w:t>
      </w:r>
      <w:r>
        <w:rPr>
          <w:rFonts w:ascii="Arial" w:cs="Arial" w:eastAsia="Arial" w:hAnsi="Arial"/>
          <w:sz w:val="22"/>
          <w:szCs w:val="22"/>
          <w:color w:val="auto"/>
        </w:rPr>
        <w:t>The option will continue to full term, becoming</w:t>
      </w:r>
    </w:p>
    <w:p>
      <w:pPr>
        <w:spacing w:after="0" w:line="441" w:lineRule="exact"/>
        <w:rPr>
          <w:sz w:val="20"/>
          <w:szCs w:val="20"/>
          <w:color w:val="auto"/>
        </w:rPr>
      </w:pPr>
    </w:p>
    <w:p>
      <w:pPr>
        <w:sectPr>
          <w:pgSz w:w="11900" w:h="16838" w:orient="portrait"/>
          <w:cols w:equalWidth="0" w:num="2">
            <w:col w:w="6720" w:space="140"/>
            <w:col w:w="4560"/>
          </w:cols>
          <w:pgMar w:left="240" w:top="129" w:right="239" w:bottom="1440" w:gutter="0" w:footer="0" w:header="0"/>
          <w:type w:val="continuous"/>
        </w:sectPr>
      </w:pPr>
    </w:p>
    <w:p>
      <w:pPr>
        <w:spacing w:after="0" w:line="2" w:lineRule="exact"/>
        <w:rPr>
          <w:sz w:val="20"/>
          <w:szCs w:val="20"/>
          <w:color w:val="auto"/>
        </w:rPr>
      </w:pPr>
    </w:p>
    <w:p>
      <w:pPr>
        <w:jc w:val="both"/>
        <w:ind w:left="1960" w:hanging="642"/>
        <w:spacing w:after="0" w:line="235" w:lineRule="auto"/>
        <w:tabs>
          <w:tab w:leader="none" w:pos="196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Involuntary Termination (as defined in Section 9) within 24 months after a Change in Control (as defined in Section 9)</w:t>
      </w:r>
      <w:r>
        <w:rPr>
          <w:rFonts w:ascii="Arial" w:cs="Arial" w:eastAsia="Arial" w:hAnsi="Arial"/>
          <w:sz w:val="22"/>
          <w:szCs w:val="22"/>
          <w:color w:val="auto"/>
        </w:rPr>
        <w:t>: The table in Section 1(a) and the other provisions of this Section 1(b) will not apply, and the option</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212150v8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70" w:name="page71"/>
    <w:bookmarkEnd w:id="70"/>
    <w:p>
      <w:pPr>
        <w:ind w:left="1960"/>
        <w:spacing w:after="0"/>
        <w:rPr>
          <w:sz w:val="20"/>
          <w:szCs w:val="20"/>
          <w:color w:val="auto"/>
        </w:rPr>
      </w:pPr>
      <w:r>
        <w:rPr>
          <w:rFonts w:ascii="Arial" w:cs="Arial" w:eastAsia="Arial" w:hAnsi="Arial"/>
          <w:sz w:val="22"/>
          <w:szCs w:val="22"/>
          <w:color w:val="auto"/>
        </w:rPr>
        <w:t>will become fully exercisable as of the date of your termination and continue to full term.</w:t>
      </w:r>
    </w:p>
    <w:p>
      <w:pPr>
        <w:spacing w:after="0" w:line="206" w:lineRule="exact"/>
        <w:rPr>
          <w:sz w:val="20"/>
          <w:szCs w:val="20"/>
          <w:color w:val="auto"/>
        </w:rPr>
      </w:pPr>
    </w:p>
    <w:p>
      <w:pPr>
        <w:jc w:val="both"/>
        <w:ind w:left="1960" w:hanging="642"/>
        <w:spacing w:after="0" w:line="233" w:lineRule="auto"/>
        <w:tabs>
          <w:tab w:leader="none" w:pos="1960" w:val="left"/>
        </w:tabs>
        <w:numPr>
          <w:ilvl w:val="2"/>
          <w:numId w:val="52"/>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For any termination other than those specified above, the option will be exercisable for 30 days after the date of termination, only to the extent that it was exercisable on the date of termination per the table in Section 1(a), except as follows: If you die within 30 days after your termination, then your heirs may exercise the option for a period of up to one year after your death, but only to the extent any unexercised portion was exercisable on the date of termination.</w:t>
      </w:r>
    </w:p>
    <w:p>
      <w:pPr>
        <w:spacing w:after="0" w:line="177"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1"/>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Confidential </w:t>
      </w:r>
      <w:r>
        <w:rPr>
          <w:rFonts w:ascii="Arial" w:cs="Arial" w:eastAsia="Arial" w:hAnsi="Arial"/>
          <w:sz w:val="22"/>
          <w:szCs w:val="22"/>
          <w:b w:val="1"/>
          <w:bCs w:val="1"/>
          <w:u w:val="single" w:color="auto"/>
          <w:color w:val="auto"/>
        </w:rPr>
        <w:t>Information, Non-solicitation and Competition.</w:t>
      </w:r>
      <w:r>
        <w:rPr>
          <w:rFonts w:ascii="Arial" w:cs="Arial" w:eastAsia="Arial" w:hAnsi="Arial"/>
          <w:sz w:val="22"/>
          <w:szCs w:val="22"/>
          <w:b w:val="1"/>
          <w:bCs w:val="1"/>
          <w:color w:val="auto"/>
        </w:rPr>
        <w:t xml:space="preserve"> See Section 6 for the effect of disclosure of confidential information, solicitation of TI employees or customers, or competition with TI.</w:t>
      </w:r>
    </w:p>
    <w:p>
      <w:pPr>
        <w:spacing w:after="0" w:line="193" w:lineRule="exact"/>
        <w:rPr>
          <w:rFonts w:ascii="Arial" w:cs="Arial" w:eastAsia="Arial" w:hAnsi="Arial"/>
          <w:sz w:val="22"/>
          <w:szCs w:val="22"/>
          <w:b w:val="1"/>
          <w:bCs w:val="1"/>
          <w:color w:val="auto"/>
        </w:rPr>
      </w:pPr>
    </w:p>
    <w:p>
      <w:pPr>
        <w:jc w:val="both"/>
        <w:ind w:left="660" w:hanging="652"/>
        <w:spacing w:after="0" w:line="235"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Continuing Employment</w:t>
      </w:r>
      <w:r>
        <w:rPr>
          <w:rFonts w:ascii="Arial" w:cs="Arial" w:eastAsia="Arial" w:hAnsi="Arial"/>
          <w:sz w:val="22"/>
          <w:szCs w:val="22"/>
          <w:color w:val="auto"/>
        </w:rPr>
        <w:t>. Your option will not be affected by any change of employment so long as you continue to be employed by TI. The option will not constitute or be evidence of any agreement or understanding, expressed or implied, on the part of TI to employ you for any specific period.</w:t>
      </w:r>
    </w:p>
    <w:p>
      <w:pPr>
        <w:spacing w:after="0" w:line="202" w:lineRule="exact"/>
        <w:rPr>
          <w:rFonts w:ascii="Arial" w:cs="Arial" w:eastAsia="Arial" w:hAnsi="Arial"/>
          <w:sz w:val="22"/>
          <w:szCs w:val="22"/>
          <w:color w:val="auto"/>
        </w:rPr>
      </w:pPr>
    </w:p>
    <w:p>
      <w:pPr>
        <w:ind w:left="660" w:hanging="652"/>
        <w:spacing w:after="0" w:line="238"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Your option is not transferable except by will or by the laws of descent and distribution, and during your lifetime may be exercised only by you.</w:t>
      </w:r>
    </w:p>
    <w:p>
      <w:pPr>
        <w:spacing w:after="0" w:line="200" w:lineRule="exact"/>
        <w:rPr>
          <w:rFonts w:ascii="Arial" w:cs="Arial" w:eastAsia="Arial" w:hAnsi="Arial"/>
          <w:sz w:val="22"/>
          <w:szCs w:val="22"/>
          <w:color w:val="auto"/>
        </w:rPr>
      </w:pPr>
    </w:p>
    <w:p>
      <w:pPr>
        <w:jc w:val="both"/>
        <w:ind w:left="660" w:hanging="652"/>
        <w:spacing w:after="0" w:line="233"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 Your option may be exercised by delivery of a written notice of exercise to the Secretary of the Company or the Secretary’s designee, specifying the number of shares for which you wish to exercise the option, and delivery of the full purchase price thereof, in a form approved by the Compensation Committee of the Board of Directors of the Company, to the Secretary or the Secretary’s designee, or in such other manner as the Committee may otherwise from time to time permit.</w:t>
      </w:r>
    </w:p>
    <w:p>
      <w:pPr>
        <w:spacing w:after="0" w:line="203" w:lineRule="exact"/>
        <w:rPr>
          <w:rFonts w:ascii="Arial" w:cs="Arial" w:eastAsia="Arial" w:hAnsi="Arial"/>
          <w:sz w:val="22"/>
          <w:szCs w:val="22"/>
          <w:color w:val="auto"/>
        </w:rPr>
      </w:pPr>
    </w:p>
    <w:p>
      <w:pPr>
        <w:jc w:val="both"/>
        <w:ind w:left="660" w:hanging="652"/>
        <w:spacing w:after="0" w:line="235"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Long-Term Incentive Plan</w:t>
      </w:r>
      <w:r>
        <w:rPr>
          <w:rFonts w:ascii="Arial" w:cs="Arial" w:eastAsia="Arial" w:hAnsi="Arial"/>
          <w:sz w:val="22"/>
          <w:szCs w:val="22"/>
          <w:color w:val="auto"/>
        </w:rPr>
        <w:t>. Your option is subject to all of the terms and conditions of the Texas Instruments 2009 Long-Term Incentive Plan (hereinafter “the Plan”). In the event of any conflict between such terms and conditions and those set forth herein, the terms of the Plan shall govern and be determinative.</w:t>
      </w:r>
    </w:p>
    <w:p>
      <w:pPr>
        <w:spacing w:after="0" w:line="176" w:lineRule="exact"/>
        <w:rPr>
          <w:rFonts w:ascii="Arial" w:cs="Arial" w:eastAsia="Arial" w:hAnsi="Arial"/>
          <w:sz w:val="22"/>
          <w:szCs w:val="22"/>
          <w:color w:val="auto"/>
        </w:rPr>
      </w:pPr>
    </w:p>
    <w:p>
      <w:pPr>
        <w:jc w:val="both"/>
        <w:ind w:left="660" w:hanging="652"/>
        <w:spacing w:after="0" w:line="246"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 Non-solicitation, Competition and Recoupment Policy</w:t>
      </w:r>
      <w:r>
        <w:rPr>
          <w:rFonts w:ascii="Arial" w:cs="Arial" w:eastAsia="Arial" w:hAnsi="Arial"/>
          <w:sz w:val="22"/>
          <w:szCs w:val="22"/>
          <w:color w:val="auto"/>
        </w:rPr>
        <w:t>. By accepting your option,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in consideration for the option and for the Company’s obligations set forth herein, you agree with the Company as follows:</w:t>
      </w:r>
    </w:p>
    <w:p>
      <w:pPr>
        <w:spacing w:after="0" w:line="193" w:lineRule="exact"/>
        <w:rPr>
          <w:rFonts w:ascii="Arial" w:cs="Arial" w:eastAsia="Arial" w:hAnsi="Arial"/>
          <w:sz w:val="22"/>
          <w:szCs w:val="22"/>
          <w:color w:val="auto"/>
        </w:rPr>
      </w:pPr>
    </w:p>
    <w:p>
      <w:pPr>
        <w:jc w:val="both"/>
        <w:ind w:left="1300" w:hanging="644"/>
        <w:spacing w:after="0" w:line="233" w:lineRule="auto"/>
        <w:tabs>
          <w:tab w:leader="none" w:pos="1300" w:val="left"/>
        </w:tabs>
        <w:numPr>
          <w:ilvl w:val="1"/>
          <w:numId w:val="54"/>
        </w:numPr>
        <w:rPr>
          <w:rFonts w:ascii="Arial" w:cs="Arial" w:eastAsia="Arial" w:hAnsi="Arial"/>
          <w:sz w:val="22"/>
          <w:szCs w:val="22"/>
          <w:color w:val="auto"/>
        </w:rPr>
      </w:pPr>
      <w:r>
        <w:rPr>
          <w:rFonts w:ascii="Arial" w:cs="Arial" w:eastAsia="Arial" w:hAnsi="Arial"/>
          <w:sz w:val="22"/>
          <w:szCs w:val="22"/>
          <w:color w:val="auto"/>
        </w:rPr>
        <w:t>You recognize and acknowledge that in the course of your employment with TI, you have obtained private or confidential information and proprietary data relating to TI, including but not limited to TI’s trade secrets (hereinafter "Confidential Information"). TI agrees that it will continue to provide you with access to its Confidential Information to the extent necessary for you to carry out the duties of your employment with TI.</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71" w:name="page72"/>
    <w:bookmarkEnd w:id="71"/>
    <w:p>
      <w:pPr>
        <w:jc w:val="both"/>
        <w:ind w:left="644" w:hanging="644"/>
        <w:spacing w:after="0" w:line="233" w:lineRule="auto"/>
        <w:tabs>
          <w:tab w:leader="none" w:pos="6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You recognize and acknowledge that (i) TI manufactures, designs, sells and markets its products in global markets, (ii) TI’s success depends to a significant degree on the skills of its employees and their knowledge of TI’s customers and suppliers, many of which operate on a global basis, and (iii) much of the information that TI maintains regarding its products, employees, customers and suppliers is Confidential Information.</w:t>
      </w:r>
    </w:p>
    <w:p>
      <w:pPr>
        <w:spacing w:after="0" w:line="203" w:lineRule="exact"/>
        <w:rPr>
          <w:rFonts w:ascii="Arial" w:cs="Arial" w:eastAsia="Arial" w:hAnsi="Arial"/>
          <w:sz w:val="22"/>
          <w:szCs w:val="22"/>
          <w:color w:val="auto"/>
        </w:rPr>
      </w:pPr>
    </w:p>
    <w:p>
      <w:pPr>
        <w:jc w:val="both"/>
        <w:ind w:left="644" w:hanging="644"/>
        <w:spacing w:after="0" w:line="231" w:lineRule="auto"/>
        <w:tabs>
          <w:tab w:leader="none" w:pos="6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You agree not to (i) use or disclose to any third party, either directly or indirectly, Confidential Information at any time, except as required in your work for TI or with the prior written consent of TI, or (ii) during the Non-solicitation Period (as defined in Section 9), either directly or indirectly solicit or recruit for your own benefit or for any other person or entity any TI employee to be an employee, director, officer, agent, consultant, partner or independent contractor without the prior written consent of TI, or (iii) during the Non-solicitation Period, either directly or indirectly solicit for your own benefit or for any other person or entity any TI customer to which you marketed or sold TI products during the last 2 years of your employment with TI, without the prior written consent of TI. Without intending to limit the remedies available to TI, you acknowledge that damages at law will be an insufficient remedy to TI if you violate the terms of this Section 6(c) and agree that TI may apply for and have injunctive relief in any court of competent jurisdiction specifically to enforce the terms of this paragraph upon the breach or threatened breach of any such terms or otherwise specifically to enforce such terms.</w:t>
      </w:r>
    </w:p>
    <w:p>
      <w:pPr>
        <w:spacing w:after="0" w:line="211" w:lineRule="exact"/>
        <w:rPr>
          <w:rFonts w:ascii="Arial" w:cs="Arial" w:eastAsia="Arial" w:hAnsi="Arial"/>
          <w:sz w:val="22"/>
          <w:szCs w:val="22"/>
          <w:color w:val="auto"/>
        </w:rPr>
      </w:pPr>
    </w:p>
    <w:p>
      <w:pPr>
        <w:jc w:val="both"/>
        <w:ind w:left="644" w:hanging="644"/>
        <w:spacing w:after="0" w:line="231" w:lineRule="auto"/>
        <w:tabs>
          <w:tab w:leader="none" w:pos="6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You agree that if (i) during your employment by TI and for a period of two years thereafter you engage in Competition (as defined in Section 9), either directly or indirectly, for your own benefit or on behalf of any other person or entity, or (ii) at any time, you use or disclose, either directly or indirectly, to any third party any Confidential Information when not required to do so in your work for TI or without the prior written consent of TI, or (iii) during the Non-solicitation Period, you solicit or recruit, either directly or indirectly, without the prior written consent of TI, any TI employee to be an employee, director, officer, agent, consultant, partner or independent contractor for your own benefit or for any other person or entity, or (iv) during the Non-solicitation Period, you solicit, either directly or indirectly, without the prior written consent of TI, for your own benefit or for any other person or entity, any TI customer to which you marketed or sold TI products during the last 2 years of your employment with TI, then (x) the option shall not be thereafter exercisable at any time, and (y) you shall repay immediately to the Company any profit (spread between the Option Price (as defined in Section 9) and the market price of the Company’s common stock on the date of exercise) made on the option within three years prior to termination of your employment or any time after termination of your employment. Any amount payable to the Company pursuant to this provision may be reduced or waived as the Company, in its sole judgment, deems warranted by the circumstances.</w:t>
      </w:r>
    </w:p>
    <w:p>
      <w:pPr>
        <w:spacing w:after="0" w:line="200" w:lineRule="exact"/>
        <w:rPr>
          <w:sz w:val="20"/>
          <w:szCs w:val="20"/>
          <w:color w:val="auto"/>
        </w:rPr>
      </w:pPr>
    </w:p>
    <w:p>
      <w:pPr>
        <w:spacing w:after="0" w:line="22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191135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64"/>
          </w:cols>
          <w:pgMar w:left="896" w:top="134" w:right="239" w:bottom="1440" w:gutter="0" w:footer="0" w:header="0"/>
        </w:sectPr>
      </w:pPr>
    </w:p>
    <w:bookmarkStart w:id="72" w:name="page73"/>
    <w:bookmarkEnd w:id="72"/>
    <w:p>
      <w:pPr>
        <w:ind w:left="1300" w:hanging="644"/>
        <w:spacing w:after="0" w:line="238" w:lineRule="auto"/>
        <w:tabs>
          <w:tab w:leader="none" w:pos="13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You agree that this option is subject to the recoupment policy adopted by the Committee and in effect on the Option Date.</w:t>
      </w:r>
    </w:p>
    <w:p>
      <w:pPr>
        <w:spacing w:after="0" w:line="200" w:lineRule="exact"/>
        <w:rPr>
          <w:rFonts w:ascii="Arial" w:cs="Arial" w:eastAsia="Arial" w:hAnsi="Arial"/>
          <w:sz w:val="22"/>
          <w:szCs w:val="22"/>
          <w:color w:val="auto"/>
        </w:rPr>
      </w:pPr>
    </w:p>
    <w:p>
      <w:pPr>
        <w:jc w:val="both"/>
        <w:ind w:left="1300" w:hanging="644"/>
        <w:spacing w:after="0" w:line="233" w:lineRule="auto"/>
        <w:tabs>
          <w:tab w:leader="none" w:pos="13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You acknowledge the reasonableness of the commitments and agreements in this Section 6, including their scope, duration and geographic coverage. You recognize and acknowledge that the provisions of this Section 6 are entered into by you in consideration of, and as a material inducement to, the agreements by the Company herein as well as an inducement for the Company to enter into this Agreement, and that, but for your agreement to the provisions of this Section 6, the Company would not have entered into this Agreement.</w:t>
      </w:r>
    </w:p>
    <w:p>
      <w:pPr>
        <w:spacing w:after="0" w:line="201" w:lineRule="exact"/>
        <w:rPr>
          <w:rFonts w:ascii="Arial" w:cs="Arial" w:eastAsia="Arial" w:hAnsi="Arial"/>
          <w:sz w:val="22"/>
          <w:szCs w:val="22"/>
          <w:color w:val="auto"/>
        </w:rPr>
      </w:pPr>
    </w:p>
    <w:p>
      <w:pPr>
        <w:jc w:val="both"/>
        <w:ind w:left="660" w:hanging="652"/>
        <w:spacing w:after="0" w:line="232" w:lineRule="auto"/>
        <w:tabs>
          <w:tab w:leader="none" w:pos="66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 You acknowledge that the ultimate liability for income tax, social insurance or other tax-related withholding (hereinafter “Tax-Related Items”) in connection with this grant, its exercise or the subsequent sale of shares received thereunder is your responsibility, and that TI (a) makes no representations or undertakings with respect to the treatment for tax purposes of the grant or exercise of this option or sale of shares received thereunder, or any dividends on issued shares, and (b) does not commit to structure the grant to reduce your liability for Tax-Related Items. You authorize TI to withhold all applicable Tax-Related Items legally payable by you from your wages or other cash compensation paid to you by TI or from proceeds of the sale of the shares. If permissible under local law, TI may (a) sell or arrange for the sale of shares that you acquire to meet the withholding obligation for Tax-Related Items, and/or (b) withhold shares to meet such obligations. Finally, you shall pay to TI any amount of Tax-Related Items that TI may be required to withhold that cannot be satisfied by the means described above.</w:t>
      </w:r>
    </w:p>
    <w:p>
      <w:pPr>
        <w:spacing w:after="0" w:line="200" w:lineRule="exact"/>
        <w:rPr>
          <w:rFonts w:ascii="Arial" w:cs="Arial" w:eastAsia="Arial" w:hAnsi="Arial"/>
          <w:sz w:val="22"/>
          <w:szCs w:val="22"/>
          <w:color w:val="auto"/>
        </w:rPr>
      </w:pPr>
    </w:p>
    <w:p>
      <w:pPr>
        <w:jc w:val="both"/>
        <w:ind w:left="660" w:hanging="652"/>
        <w:spacing w:after="0" w:line="243" w:lineRule="auto"/>
        <w:tabs>
          <w:tab w:leader="none" w:pos="66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In accepting this grant, you acknowledge that: (a) the Plan is established voluntarily by the Company, it is discretionary in nature and it may be modified, amended, suspended or terminated by the Company at any time, as provided in the Plan; (b) all decisions with respect to future grants, if any, will be at the sole discretion of the Company; (c) the grant of your option is voluntary and occasional and does not create any contractual or other right to receive future grants of options, or benefits in lieu of options; (d) you are voluntarily participating in the Plan; (e) your option is an extraordinary item that does not constitute compensation for services rendered to TI; (f) your option is not part of normal or expected compensation or salary for any purposes, including, but not limited to, calculating any severance, termination, pension or retirement benefits or similar payments; (g) the option grant will not be interpreted to form an employment contract or relationship with TI; (h) the future value of the underlying shares is unknown and cannot be predicted with certainty; and (i) the value of any shares acquired upon exercise may increase or decrease in value.</w:t>
      </w:r>
    </w:p>
    <w:p>
      <w:pPr>
        <w:spacing w:after="0" w:line="200" w:lineRule="exact"/>
        <w:rPr>
          <w:rFonts w:ascii="Arial" w:cs="Arial" w:eastAsia="Arial" w:hAnsi="Arial"/>
          <w:sz w:val="21"/>
          <w:szCs w:val="21"/>
          <w:color w:val="auto"/>
        </w:rPr>
      </w:pPr>
    </w:p>
    <w:p>
      <w:pPr>
        <w:ind w:left="660" w:hanging="652"/>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1300" w:hanging="644"/>
        <w:spacing w:after="0"/>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Change in Control</w:t>
      </w:r>
      <w:r>
        <w:rPr>
          <w:rFonts w:ascii="Arial" w:cs="Arial" w:eastAsia="Arial" w:hAnsi="Arial"/>
          <w:sz w:val="22"/>
          <w:szCs w:val="22"/>
          <w:color w:val="auto"/>
        </w:rPr>
        <w:t>” has the meaning specified in the Plan.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73" w:name="page74"/>
    <w:bookmarkEnd w:id="73"/>
    <w:p>
      <w:pPr>
        <w:ind w:left="1300" w:right="20" w:hanging="644"/>
        <w:spacing w:after="0" w:line="259" w:lineRule="auto"/>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Company</w:t>
      </w:r>
      <w:r>
        <w:rPr>
          <w:rFonts w:ascii="Arial" w:cs="Arial" w:eastAsia="Arial" w:hAnsi="Arial"/>
          <w:sz w:val="22"/>
          <w:szCs w:val="22"/>
          <w:color w:val="auto"/>
        </w:rPr>
        <w:t>” means Texas Instruments Incorporated and the term “</w:t>
      </w:r>
      <w:r>
        <w:rPr>
          <w:rFonts w:ascii="Arial" w:cs="Arial" w:eastAsia="Arial" w:hAnsi="Arial"/>
          <w:sz w:val="22"/>
          <w:szCs w:val="22"/>
          <w:i w:val="1"/>
          <w:iCs w:val="1"/>
          <w:color w:val="auto"/>
        </w:rPr>
        <w:t>TI</w:t>
      </w:r>
      <w:r>
        <w:rPr>
          <w:rFonts w:ascii="Arial" w:cs="Arial" w:eastAsia="Arial" w:hAnsi="Arial"/>
          <w:sz w:val="22"/>
          <w:szCs w:val="22"/>
          <w:color w:val="auto"/>
        </w:rPr>
        <w:t>” means and includes Texas Instruments Incorporated (together with any successor) and its subsidiaries.</w:t>
      </w:r>
    </w:p>
    <w:p>
      <w:pPr>
        <w:spacing w:after="0" w:line="153" w:lineRule="exact"/>
        <w:rPr>
          <w:rFonts w:ascii="Arial" w:cs="Arial" w:eastAsia="Arial" w:hAnsi="Arial"/>
          <w:sz w:val="22"/>
          <w:szCs w:val="22"/>
          <w:color w:val="auto"/>
        </w:rPr>
      </w:pPr>
    </w:p>
    <w:p>
      <w:pPr>
        <w:ind w:left="1300" w:hanging="644"/>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The term “</w:t>
      </w:r>
      <w:r>
        <w:rPr>
          <w:rFonts w:ascii="Arial" w:cs="Arial" w:eastAsia="Arial" w:hAnsi="Arial"/>
          <w:sz w:val="22"/>
          <w:szCs w:val="22"/>
          <w:b w:val="1"/>
          <w:bCs w:val="1"/>
          <w:i w:val="1"/>
          <w:iCs w:val="1"/>
          <w:color w:val="auto"/>
        </w:rPr>
        <w:t>Competition</w:t>
      </w:r>
      <w:r>
        <w:rPr>
          <w:rFonts w:ascii="Arial" w:cs="Arial" w:eastAsia="Arial" w:hAnsi="Arial"/>
          <w:sz w:val="22"/>
          <w:szCs w:val="22"/>
          <w:b w:val="1"/>
          <w:bCs w:val="1"/>
          <w:color w:val="auto"/>
        </w:rPr>
        <w:t>” means:</w:t>
      </w:r>
    </w:p>
    <w:p>
      <w:pPr>
        <w:spacing w:after="0" w:line="232" w:lineRule="exact"/>
        <w:rPr>
          <w:rFonts w:ascii="Arial" w:cs="Arial" w:eastAsia="Arial" w:hAnsi="Arial"/>
          <w:sz w:val="22"/>
          <w:szCs w:val="22"/>
          <w:color w:val="auto"/>
        </w:rPr>
      </w:pPr>
    </w:p>
    <w:p>
      <w:pPr>
        <w:jc w:val="both"/>
        <w:ind w:left="1960" w:hanging="642"/>
        <w:spacing w:after="0" w:line="250" w:lineRule="auto"/>
        <w:tabs>
          <w:tab w:leader="none" w:pos="1960" w:val="left"/>
        </w:tabs>
        <w:numPr>
          <w:ilvl w:val="1"/>
          <w:numId w:val="58"/>
        </w:numPr>
        <w:rPr>
          <w:rFonts w:ascii="Arial" w:cs="Arial" w:eastAsia="Arial" w:hAnsi="Arial"/>
          <w:sz w:val="21"/>
          <w:szCs w:val="21"/>
          <w:color w:val="auto"/>
        </w:rPr>
      </w:pPr>
      <w:r>
        <w:rPr>
          <w:rFonts w:ascii="Arial" w:cs="Arial" w:eastAsia="Arial" w:hAnsi="Arial"/>
          <w:sz w:val="21"/>
          <w:szCs w:val="21"/>
          <w:color w:val="auto"/>
        </w:rPr>
        <w:t>engaging in any business activity similar to that in which you engaged during your last three years of employment with TI for any person or entity selling, marketing, designing or manufacturing products the same as, similar to, or that compete with products that TI sells or markets;</w:t>
      </w:r>
    </w:p>
    <w:p>
      <w:pPr>
        <w:spacing w:after="0" w:line="190" w:lineRule="exact"/>
        <w:rPr>
          <w:rFonts w:ascii="Arial" w:cs="Arial" w:eastAsia="Arial" w:hAnsi="Arial"/>
          <w:sz w:val="21"/>
          <w:szCs w:val="21"/>
          <w:color w:val="auto"/>
        </w:rPr>
      </w:pPr>
    </w:p>
    <w:p>
      <w:pPr>
        <w:jc w:val="both"/>
        <w:ind w:left="1960" w:hanging="642"/>
        <w:spacing w:after="0" w:line="235" w:lineRule="auto"/>
        <w:tabs>
          <w:tab w:leader="none" w:pos="1960" w:val="left"/>
        </w:tabs>
        <w:numPr>
          <w:ilvl w:val="1"/>
          <w:numId w:val="58"/>
        </w:numPr>
        <w:rPr>
          <w:rFonts w:ascii="Arial" w:cs="Arial" w:eastAsia="Arial" w:hAnsi="Arial"/>
          <w:sz w:val="22"/>
          <w:szCs w:val="22"/>
          <w:color w:val="auto"/>
        </w:rPr>
      </w:pPr>
      <w:r>
        <w:rPr>
          <w:rFonts w:ascii="Arial" w:cs="Arial" w:eastAsia="Arial" w:hAnsi="Arial"/>
          <w:sz w:val="22"/>
          <w:szCs w:val="22"/>
          <w:color w:val="auto"/>
        </w:rPr>
        <w:t>engaging in the selling or marketing of any products that are the same as, similar to, or that compete with any products that you sold or marketed, or attempted to sell or market, during the last three years of your employment with TI;</w:t>
      </w:r>
    </w:p>
    <w:p>
      <w:pPr>
        <w:spacing w:after="0" w:line="202" w:lineRule="exact"/>
        <w:rPr>
          <w:rFonts w:ascii="Arial" w:cs="Arial" w:eastAsia="Arial" w:hAnsi="Arial"/>
          <w:sz w:val="22"/>
          <w:szCs w:val="22"/>
          <w:color w:val="auto"/>
        </w:rPr>
      </w:pPr>
    </w:p>
    <w:p>
      <w:pPr>
        <w:jc w:val="both"/>
        <w:ind w:left="1960" w:hanging="642"/>
        <w:spacing w:after="0" w:line="234" w:lineRule="auto"/>
        <w:tabs>
          <w:tab w:leader="none" w:pos="1960" w:val="left"/>
        </w:tabs>
        <w:numPr>
          <w:ilvl w:val="1"/>
          <w:numId w:val="58"/>
        </w:numPr>
        <w:rPr>
          <w:rFonts w:ascii="Arial" w:cs="Arial" w:eastAsia="Arial" w:hAnsi="Arial"/>
          <w:sz w:val="22"/>
          <w:szCs w:val="22"/>
          <w:color w:val="auto"/>
        </w:rPr>
      </w:pPr>
      <w:r>
        <w:rPr>
          <w:rFonts w:ascii="Arial" w:cs="Arial" w:eastAsia="Arial" w:hAnsi="Arial"/>
          <w:sz w:val="22"/>
          <w:szCs w:val="22"/>
          <w:color w:val="auto"/>
        </w:rPr>
        <w:t>engaging in the manufacture or design of any products that are the same as, similar to or that compete with any products that you sold or marketed, or attempted to sell or market, or participated in the design or manufacture of, during the last three years of your employment with TI; or</w:t>
      </w:r>
    </w:p>
    <w:p>
      <w:pPr>
        <w:spacing w:after="0" w:line="201" w:lineRule="exact"/>
        <w:rPr>
          <w:rFonts w:ascii="Arial" w:cs="Arial" w:eastAsia="Arial" w:hAnsi="Arial"/>
          <w:sz w:val="22"/>
          <w:szCs w:val="22"/>
          <w:color w:val="auto"/>
        </w:rPr>
      </w:pPr>
    </w:p>
    <w:p>
      <w:pPr>
        <w:jc w:val="both"/>
        <w:ind w:left="1960" w:hanging="642"/>
        <w:spacing w:after="0" w:line="235" w:lineRule="auto"/>
        <w:tabs>
          <w:tab w:leader="none" w:pos="1960" w:val="left"/>
        </w:tabs>
        <w:numPr>
          <w:ilvl w:val="1"/>
          <w:numId w:val="58"/>
        </w:numPr>
        <w:rPr>
          <w:rFonts w:ascii="Arial" w:cs="Arial" w:eastAsia="Arial" w:hAnsi="Arial"/>
          <w:sz w:val="22"/>
          <w:szCs w:val="22"/>
          <w:color w:val="auto"/>
        </w:rPr>
      </w:pPr>
      <w:r>
        <w:rPr>
          <w:rFonts w:ascii="Arial" w:cs="Arial" w:eastAsia="Arial" w:hAnsi="Arial"/>
          <w:sz w:val="22"/>
          <w:szCs w:val="22"/>
          <w:color w:val="auto"/>
        </w:rPr>
        <w:t>engaging in the selling or marketing of any products that are the same as, similar to, or that compete with any products that you participated in the design or manufacture of during the last three years of your employment with TI.</w:t>
      </w:r>
    </w:p>
    <w:p>
      <w:pPr>
        <w:spacing w:after="0" w:line="202" w:lineRule="exact"/>
        <w:rPr>
          <w:rFonts w:ascii="Arial" w:cs="Arial" w:eastAsia="Arial" w:hAnsi="Arial"/>
          <w:sz w:val="22"/>
          <w:szCs w:val="22"/>
          <w:color w:val="auto"/>
        </w:rPr>
      </w:pPr>
    </w:p>
    <w:p>
      <w:pPr>
        <w:ind w:left="1300" w:hanging="644"/>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term “Involuntary Termination” has the meaning specified in the Plan.</w:t>
      </w:r>
    </w:p>
    <w:p>
      <w:pPr>
        <w:spacing w:after="0" w:line="180" w:lineRule="exact"/>
        <w:rPr>
          <w:rFonts w:ascii="Arial" w:cs="Arial" w:eastAsia="Arial" w:hAnsi="Arial"/>
          <w:sz w:val="22"/>
          <w:szCs w:val="22"/>
          <w:color w:val="auto"/>
        </w:rPr>
      </w:pPr>
    </w:p>
    <w:p>
      <w:pPr>
        <w:ind w:left="1300" w:hanging="644"/>
        <w:spacing w:after="0" w:line="261" w:lineRule="auto"/>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The term “</w:t>
      </w:r>
      <w:r>
        <w:rPr>
          <w:rFonts w:ascii="Arial" w:cs="Arial" w:eastAsia="Arial" w:hAnsi="Arial"/>
          <w:sz w:val="22"/>
          <w:szCs w:val="22"/>
          <w:b w:val="1"/>
          <w:bCs w:val="1"/>
          <w:i w:val="1"/>
          <w:iCs w:val="1"/>
          <w:color w:val="auto"/>
        </w:rPr>
        <w:t>Non-solicitation Period</w:t>
      </w:r>
      <w:r>
        <w:rPr>
          <w:rFonts w:ascii="Arial" w:cs="Arial" w:eastAsia="Arial" w:hAnsi="Arial"/>
          <w:sz w:val="22"/>
          <w:szCs w:val="22"/>
          <w:b w:val="1"/>
          <w:bCs w:val="1"/>
          <w:color w:val="auto"/>
        </w:rPr>
        <w:t xml:space="preserve">” means </w:t>
      </w:r>
      <w:r>
        <w:rPr>
          <w:rFonts w:ascii="Arial" w:cs="Arial" w:eastAsia="Arial" w:hAnsi="Arial"/>
          <w:sz w:val="22"/>
          <w:szCs w:val="22"/>
          <w:color w:val="auto"/>
        </w:rPr>
        <w:t>the period from the effective date of this Agreement until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anniversary of the date on which your employment with TI has terminated.</w:t>
      </w:r>
    </w:p>
    <w:p>
      <w:pPr>
        <w:spacing w:after="0" w:line="156" w:lineRule="exact"/>
        <w:rPr>
          <w:rFonts w:ascii="Arial" w:cs="Arial" w:eastAsia="Arial" w:hAnsi="Arial"/>
          <w:sz w:val="22"/>
          <w:szCs w:val="22"/>
          <w:color w:val="auto"/>
        </w:rPr>
      </w:pPr>
    </w:p>
    <w:p>
      <w:pPr>
        <w:ind w:left="1300" w:hanging="644"/>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Option Date</w:t>
      </w:r>
      <w:r>
        <w:rPr>
          <w:rFonts w:ascii="Arial" w:cs="Arial" w:eastAsia="Arial" w:hAnsi="Arial"/>
          <w:sz w:val="22"/>
          <w:szCs w:val="22"/>
          <w:color w:val="auto"/>
        </w:rPr>
        <w:t>” means the effective date of grant of this option.</w:t>
      </w:r>
    </w:p>
    <w:p>
      <w:pPr>
        <w:spacing w:after="0" w:line="206" w:lineRule="exact"/>
        <w:rPr>
          <w:rFonts w:ascii="Arial" w:cs="Arial" w:eastAsia="Arial" w:hAnsi="Arial"/>
          <w:sz w:val="22"/>
          <w:szCs w:val="22"/>
          <w:color w:val="auto"/>
        </w:rPr>
      </w:pPr>
    </w:p>
    <w:p>
      <w:pPr>
        <w:ind w:left="1300" w:hanging="644"/>
        <w:spacing w:after="0" w:line="257" w:lineRule="auto"/>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Option Price</w:t>
      </w:r>
      <w:r>
        <w:rPr>
          <w:rFonts w:ascii="Arial" w:cs="Arial" w:eastAsia="Arial" w:hAnsi="Arial"/>
          <w:sz w:val="22"/>
          <w:szCs w:val="22"/>
          <w:color w:val="auto"/>
        </w:rPr>
        <w:t>” means the exercise price you paid for shares of the Company’s company stock pursuant to the terms of this option.</w:t>
      </w:r>
    </w:p>
    <w:p>
      <w:pPr>
        <w:spacing w:after="0" w:line="160" w:lineRule="exact"/>
        <w:rPr>
          <w:rFonts w:ascii="Arial" w:cs="Arial" w:eastAsia="Arial" w:hAnsi="Arial"/>
          <w:sz w:val="22"/>
          <w:szCs w:val="22"/>
          <w:color w:val="auto"/>
        </w:rPr>
      </w:pPr>
    </w:p>
    <w:p>
      <w:pPr>
        <w:jc w:val="both"/>
        <w:ind w:left="1300" w:hanging="644"/>
        <w:spacing w:after="0" w:line="244" w:lineRule="auto"/>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Retirement Eligible</w:t>
      </w:r>
      <w:r>
        <w:rPr>
          <w:rFonts w:ascii="Arial" w:cs="Arial" w:eastAsia="Arial" w:hAnsi="Arial"/>
          <w:sz w:val="22"/>
          <w:szCs w:val="22"/>
          <w:color w:val="auto"/>
        </w:rPr>
        <w:t>” means (1) at least 55 years of age with at least 10 years of service (measured from your service date as shown on TI’s global human resources database) as a TI employee or (2) at least 65 years of age.</w:t>
      </w:r>
    </w:p>
    <w:p>
      <w:pPr>
        <w:spacing w:after="0" w:line="173" w:lineRule="exact"/>
        <w:rPr>
          <w:rFonts w:ascii="Arial" w:cs="Arial" w:eastAsia="Arial" w:hAnsi="Arial"/>
          <w:sz w:val="22"/>
          <w:szCs w:val="22"/>
          <w:color w:val="auto"/>
        </w:rPr>
      </w:pPr>
    </w:p>
    <w:p>
      <w:pPr>
        <w:ind w:left="1300" w:hanging="644"/>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Agreement</w:t>
      </w:r>
      <w:r>
        <w:rPr>
          <w:rFonts w:ascii="Arial" w:cs="Arial" w:eastAsia="Arial" w:hAnsi="Arial"/>
          <w:sz w:val="22"/>
          <w:szCs w:val="22"/>
          <w:color w:val="auto"/>
        </w:rPr>
        <w:t>” means this option agreement.</w:t>
      </w:r>
    </w:p>
    <w:p>
      <w:pPr>
        <w:spacing w:after="0" w:line="228" w:lineRule="exact"/>
        <w:rPr>
          <w:sz w:val="20"/>
          <w:szCs w:val="20"/>
          <w:color w:val="auto"/>
        </w:rPr>
      </w:pPr>
    </w:p>
    <w:p>
      <w:pPr>
        <w:jc w:val="both"/>
        <w:ind w:left="660" w:hanging="652"/>
        <w:spacing w:after="0" w:line="235"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Texas Law.</w:t>
      </w:r>
      <w:r>
        <w:rPr>
          <w:rFonts w:ascii="Arial" w:cs="Arial" w:eastAsia="Arial" w:hAnsi="Arial"/>
          <w:sz w:val="22"/>
          <w:szCs w:val="22"/>
          <w:color w:val="auto"/>
        </w:rPr>
        <w:t xml:space="preserve"> This Agreement and specifically the provisions of Section 6 hereof shall be construed both as to validity and performance and enforced in accordance with the laws of the State of Texas without giving effect to the principles of conflict of laws thereof.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74" w:name="page75"/>
    <w:bookmarkEnd w:id="74"/>
    <w:p>
      <w:pPr>
        <w:jc w:val="both"/>
        <w:ind w:left="660" w:hanging="652"/>
        <w:spacing w:after="0" w:line="235" w:lineRule="auto"/>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END</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color w:val="auto"/>
        </w:rPr>
        <w:t>By accepting this Agreement, I acknowledge I have read and I agree to be bound by all of the terms and conditions set forth above, including Section 6 relating to Confidential Information, Non-solicitation, Competition and Recoupment Policy.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49"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u w:val="single" w:color="auto"/>
          <w:color w:val="auto"/>
        </w:rPr>
        <w:t>Exhibit 10(l)</w:t>
      </w:r>
    </w:p>
    <w:p>
      <w:pPr>
        <w:jc w:val="center"/>
        <w:spacing w:after="0" w:line="235" w:lineRule="auto"/>
        <w:rPr>
          <w:sz w:val="20"/>
          <w:szCs w:val="20"/>
          <w:color w:val="auto"/>
        </w:rPr>
      </w:pPr>
      <w:r>
        <w:rPr>
          <w:rFonts w:ascii="Arial" w:cs="Arial" w:eastAsia="Arial" w:hAnsi="Arial"/>
          <w:sz w:val="22"/>
          <w:szCs w:val="22"/>
          <w:b w:val="1"/>
          <w:bCs w:val="1"/>
          <w:color w:val="auto"/>
        </w:rPr>
        <w:t>Texas Instruments Incorporated</w:t>
      </w:r>
    </w:p>
    <w:p>
      <w:pPr>
        <w:jc w:val="center"/>
        <w:spacing w:after="0" w:line="231" w:lineRule="auto"/>
        <w:rPr>
          <w:sz w:val="20"/>
          <w:szCs w:val="20"/>
          <w:color w:val="auto"/>
        </w:rPr>
      </w:pPr>
      <w:r>
        <w:rPr>
          <w:rFonts w:ascii="Arial" w:cs="Arial" w:eastAsia="Arial" w:hAnsi="Arial"/>
          <w:sz w:val="22"/>
          <w:szCs w:val="22"/>
          <w:b w:val="1"/>
          <w:bCs w:val="1"/>
          <w:color w:val="auto"/>
        </w:rPr>
        <w:t>Restricted Stock Unit Award Agreement</w:t>
      </w:r>
    </w:p>
    <w:p>
      <w:pPr>
        <w:jc w:val="center"/>
        <w:spacing w:after="0" w:line="231" w:lineRule="auto"/>
        <w:rPr>
          <w:sz w:val="20"/>
          <w:szCs w:val="20"/>
          <w:color w:val="auto"/>
        </w:rPr>
      </w:pPr>
      <w:r>
        <w:rPr>
          <w:rFonts w:ascii="Arial" w:cs="Arial" w:eastAsia="Arial" w:hAnsi="Arial"/>
          <w:sz w:val="22"/>
          <w:szCs w:val="22"/>
          <w:b w:val="1"/>
          <w:bCs w:val="1"/>
          <w:color w:val="auto"/>
        </w:rPr>
        <w:t>(Executive Officers)</w:t>
      </w:r>
    </w:p>
    <w:p>
      <w:pPr>
        <w:jc w:val="center"/>
        <w:spacing w:after="0" w:line="230" w:lineRule="auto"/>
        <w:rPr>
          <w:sz w:val="20"/>
          <w:szCs w:val="20"/>
          <w:color w:val="auto"/>
        </w:rPr>
      </w:pPr>
      <w:r>
        <w:rPr>
          <w:rFonts w:ascii="Arial" w:cs="Arial" w:eastAsia="Arial" w:hAnsi="Arial"/>
          <w:sz w:val="22"/>
          <w:szCs w:val="22"/>
          <w:b w:val="1"/>
          <w:bCs w:val="1"/>
          <w:color w:val="auto"/>
        </w:rPr>
        <w:t>RSU Form No. 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2009 LTIP</w:t>
      </w:r>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Your award of restricted stock units (the “Award”) is subject to the following terms and conditions, your acceptance of which is required within 120 days of the Grant Date (as defined in Section 12 below). </w:t>
      </w:r>
      <w:r>
        <w:rPr>
          <w:rFonts w:ascii="Arial" w:cs="Arial" w:eastAsia="Arial" w:hAnsi="Arial"/>
          <w:sz w:val="22"/>
          <w:szCs w:val="22"/>
          <w:b w:val="1"/>
          <w:bCs w:val="1"/>
          <w:color w:val="auto"/>
        </w:rPr>
        <w:t>Failure to accept this</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 by such date will result in termination of the Award without any shares being issued.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The capitalized terms in this Agreement have the meaning stated in Section 12 except as otherwise specified.</w:t>
      </w:r>
    </w:p>
    <w:p>
      <w:pPr>
        <w:spacing w:after="0" w:line="233" w:lineRule="exact"/>
        <w:rPr>
          <w:sz w:val="20"/>
          <w:szCs w:val="20"/>
          <w:color w:val="auto"/>
        </w:rPr>
      </w:pPr>
    </w:p>
    <w:p>
      <w:pPr>
        <w:jc w:val="both"/>
        <w:ind w:left="440" w:hanging="432"/>
        <w:spacing w:after="0" w:line="234" w:lineRule="auto"/>
        <w:tabs>
          <w:tab w:leader="none" w:pos="4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Share Issuance</w:t>
      </w:r>
      <w:r>
        <w:rPr>
          <w:rFonts w:ascii="Arial" w:cs="Arial" w:eastAsia="Arial" w:hAnsi="Arial"/>
          <w:sz w:val="22"/>
          <w:szCs w:val="22"/>
          <w:color w:val="auto"/>
        </w:rPr>
        <w:t>. Each restricted stock unit represents the right to receive one share of common stock of the Company. The shares covered by this Award will be issued in your name on, or as soon as practicable (but no later than 60 days) after, the date of vesting stated on your Employee Stock Grant Communication (“Vesting Date”), except as provided below.</w:t>
      </w:r>
    </w:p>
    <w:p>
      <w:pPr>
        <w:spacing w:after="0" w:line="228" w:lineRule="exact"/>
        <w:rPr>
          <w:rFonts w:ascii="Arial" w:cs="Arial" w:eastAsia="Arial" w:hAnsi="Arial"/>
          <w:sz w:val="22"/>
          <w:szCs w:val="22"/>
          <w:color w:val="auto"/>
        </w:rPr>
      </w:pPr>
    </w:p>
    <w:p>
      <w:pPr>
        <w:ind w:left="440" w:right="20" w:hanging="432"/>
        <w:spacing w:after="0" w:line="238" w:lineRule="auto"/>
        <w:tabs>
          <w:tab w:leader="none" w:pos="4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Change in Employment Status</w:t>
      </w:r>
      <w:r>
        <w:rPr>
          <w:rFonts w:ascii="Arial" w:cs="Arial" w:eastAsia="Arial" w:hAnsi="Arial"/>
          <w:sz w:val="22"/>
          <w:szCs w:val="22"/>
          <w:color w:val="auto"/>
        </w:rPr>
        <w:t>. The effect of changes in your employment status with TI before the Vesting Date will be as follows:</w:t>
      </w:r>
    </w:p>
    <w:p>
      <w:pPr>
        <w:spacing w:after="0" w:line="227" w:lineRule="exact"/>
        <w:rPr>
          <w:rFonts w:ascii="Arial" w:cs="Arial" w:eastAsia="Arial" w:hAnsi="Arial"/>
          <w:sz w:val="22"/>
          <w:szCs w:val="22"/>
          <w:color w:val="auto"/>
        </w:rPr>
      </w:pPr>
    </w:p>
    <w:p>
      <w:pPr>
        <w:jc w:val="both"/>
        <w:ind w:left="1200" w:hanging="760"/>
        <w:spacing w:after="0" w:line="234" w:lineRule="auto"/>
        <w:tabs>
          <w:tab w:leader="none" w:pos="1200"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Termination due to death or permanent disability</w:t>
      </w:r>
      <w:r>
        <w:rPr>
          <w:rFonts w:ascii="Arial" w:cs="Arial" w:eastAsia="Arial" w:hAnsi="Arial"/>
          <w:sz w:val="22"/>
          <w:szCs w:val="22"/>
          <w:color w:val="auto"/>
        </w:rPr>
        <w:t>: The Award will continue to full term subject to the other terms and conditions of this Agreement, and shares will be issued to you or to your personal representatives, heirs, legatees or distributees, as applicable, at such times and in such number and manner as if you were still an employee of TI on the Vesting Date.</w:t>
      </w:r>
    </w:p>
    <w:p>
      <w:pPr>
        <w:spacing w:after="0" w:line="228" w:lineRule="exact"/>
        <w:rPr>
          <w:rFonts w:ascii="Arial" w:cs="Arial" w:eastAsia="Arial" w:hAnsi="Arial"/>
          <w:sz w:val="22"/>
          <w:szCs w:val="22"/>
          <w:color w:val="auto"/>
        </w:rPr>
      </w:pPr>
    </w:p>
    <w:p>
      <w:pPr>
        <w:jc w:val="both"/>
        <w:ind w:left="1200" w:hanging="760"/>
        <w:spacing w:after="0" w:line="235" w:lineRule="auto"/>
        <w:tabs>
          <w:tab w:leader="none" w:pos="1200"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Termination (except for cause), at least 6 months after the Grant Date, when you are Retirement Eligible as defined in Section 12</w:t>
      </w:r>
      <w:r>
        <w:rPr>
          <w:rFonts w:ascii="Arial" w:cs="Arial" w:eastAsia="Arial" w:hAnsi="Arial"/>
          <w:sz w:val="22"/>
          <w:szCs w:val="22"/>
          <w:color w:val="auto"/>
        </w:rPr>
        <w:t>: The Award will continue to full term subject to the other terms and conditions of this Agreement.</w:t>
      </w:r>
    </w:p>
    <w:p>
      <w:pPr>
        <w:spacing w:after="0" w:line="229" w:lineRule="exact"/>
        <w:rPr>
          <w:rFonts w:ascii="Arial" w:cs="Arial" w:eastAsia="Arial" w:hAnsi="Arial"/>
          <w:sz w:val="22"/>
          <w:szCs w:val="22"/>
          <w:color w:val="auto"/>
        </w:rPr>
      </w:pPr>
    </w:p>
    <w:p>
      <w:pPr>
        <w:jc w:val="both"/>
        <w:ind w:left="1200" w:hanging="760"/>
        <w:spacing w:after="0" w:line="235" w:lineRule="auto"/>
        <w:tabs>
          <w:tab w:leader="none" w:pos="1200"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Involuntary Termination after a Change in Control</w:t>
      </w:r>
      <w:r>
        <w:rPr>
          <w:rFonts w:ascii="Arial" w:cs="Arial" w:eastAsia="Arial" w:hAnsi="Arial"/>
          <w:sz w:val="22"/>
          <w:szCs w:val="22"/>
          <w:color w:val="auto"/>
        </w:rPr>
        <w:t>: If you experience an Involuntary Termination within 24 months after a Change in Control, then shares will be issued to you as described in Section 11(i) of the Plan.</w:t>
      </w:r>
    </w:p>
    <w:p>
      <w:pPr>
        <w:spacing w:after="0" w:line="229" w:lineRule="exact"/>
        <w:rPr>
          <w:rFonts w:ascii="Arial" w:cs="Arial" w:eastAsia="Arial" w:hAnsi="Arial"/>
          <w:sz w:val="22"/>
          <w:szCs w:val="22"/>
          <w:color w:val="auto"/>
        </w:rPr>
      </w:pPr>
    </w:p>
    <w:p>
      <w:pPr>
        <w:ind w:left="1200" w:right="20" w:hanging="760"/>
        <w:spacing w:after="0" w:line="238" w:lineRule="auto"/>
        <w:tabs>
          <w:tab w:leader="none" w:pos="1200"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Termination under other circumstances</w:t>
      </w:r>
      <w:r>
        <w:rPr>
          <w:rFonts w:ascii="Arial" w:cs="Arial" w:eastAsia="Arial" w:hAnsi="Arial"/>
          <w:sz w:val="22"/>
          <w:szCs w:val="22"/>
          <w:color w:val="auto"/>
        </w:rPr>
        <w:t>: For any termination other than those described above in this Section 2, the Award will terminate and become void without any shares being issued.</w:t>
      </w:r>
    </w:p>
    <w:p>
      <w:pPr>
        <w:spacing w:after="0" w:line="227" w:lineRule="exact"/>
        <w:rPr>
          <w:rFonts w:ascii="Arial" w:cs="Arial" w:eastAsia="Arial" w:hAnsi="Arial"/>
          <w:sz w:val="22"/>
          <w:szCs w:val="22"/>
          <w:color w:val="auto"/>
        </w:rPr>
      </w:pPr>
    </w:p>
    <w:p>
      <w:pPr>
        <w:ind w:left="1200" w:right="20" w:hanging="760"/>
        <w:spacing w:after="0" w:line="238" w:lineRule="auto"/>
        <w:tabs>
          <w:tab w:leader="none" w:pos="1200"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Other changes in employment status</w:t>
      </w:r>
      <w:r>
        <w:rPr>
          <w:rFonts w:ascii="Arial" w:cs="Arial" w:eastAsia="Arial" w:hAnsi="Arial"/>
          <w:sz w:val="22"/>
          <w:szCs w:val="22"/>
          <w:color w:val="auto"/>
        </w:rPr>
        <w:t>: No changes in your employment status at TI other than those described above will affect the Award.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212146v10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ind w:left="440" w:hanging="432"/>
        <w:spacing w:after="0" w:line="262" w:lineRule="auto"/>
        <w:tabs>
          <w:tab w:leader="none" w:pos="44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Confidential </w:t>
      </w:r>
      <w:r>
        <w:rPr>
          <w:rFonts w:ascii="Arial" w:cs="Arial" w:eastAsia="Arial" w:hAnsi="Arial"/>
          <w:sz w:val="22"/>
          <w:szCs w:val="22"/>
          <w:b w:val="1"/>
          <w:bCs w:val="1"/>
          <w:u w:val="single" w:color="auto"/>
          <w:color w:val="auto"/>
        </w:rPr>
        <w:t>Information, Non-solicitation and Competition</w:t>
      </w:r>
      <w:r>
        <w:rPr>
          <w:rFonts w:ascii="Arial" w:cs="Arial" w:eastAsia="Arial" w:hAnsi="Arial"/>
          <w:sz w:val="22"/>
          <w:szCs w:val="22"/>
          <w:b w:val="1"/>
          <w:bCs w:val="1"/>
          <w:color w:val="auto"/>
        </w:rPr>
        <w:t>. See Section 9 for the effect of disclosure of confidential information, solicitation of TI employees or customers, or competition with TI.</w:t>
      </w:r>
    </w:p>
    <w:p>
      <w:pPr>
        <w:spacing w:after="0" w:line="204" w:lineRule="exact"/>
        <w:rPr>
          <w:rFonts w:ascii="Arial" w:cs="Arial" w:eastAsia="Arial" w:hAnsi="Arial"/>
          <w:sz w:val="22"/>
          <w:szCs w:val="22"/>
          <w:b w:val="1"/>
          <w:bCs w:val="1"/>
          <w:color w:val="auto"/>
        </w:rPr>
      </w:pPr>
    </w:p>
    <w:p>
      <w:pPr>
        <w:jc w:val="both"/>
        <w:ind w:left="440" w:hanging="432"/>
        <w:spacing w:after="0" w:line="235" w:lineRule="auto"/>
        <w:tabs>
          <w:tab w:leader="none" w:pos="4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Employee Stock Grant Communication</w:t>
      </w:r>
      <w:r>
        <w:rPr>
          <w:rFonts w:ascii="Arial" w:cs="Arial" w:eastAsia="Arial" w:hAnsi="Arial"/>
          <w:sz w:val="22"/>
          <w:szCs w:val="22"/>
          <w:color w:val="auto"/>
        </w:rPr>
        <w:t>. This Award was granted by the Compensation Committee of the Company’s Board of Directors (the “Committee”). In the event of a conflict between the Employee Stock Grant Communication and the records of the Committee, the latter shall govern and be determinative.</w:t>
      </w:r>
    </w:p>
    <w:p>
      <w:pPr>
        <w:spacing w:after="0" w:line="229" w:lineRule="exact"/>
        <w:rPr>
          <w:rFonts w:ascii="Arial" w:cs="Arial" w:eastAsia="Arial" w:hAnsi="Arial"/>
          <w:sz w:val="22"/>
          <w:szCs w:val="22"/>
          <w:color w:val="auto"/>
        </w:rPr>
      </w:pPr>
    </w:p>
    <w:p>
      <w:pPr>
        <w:jc w:val="both"/>
        <w:ind w:left="440" w:hanging="432"/>
        <w:spacing w:after="0" w:line="244" w:lineRule="auto"/>
        <w:tabs>
          <w:tab w:leader="none" w:pos="440"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Each year in which this Award is in effect, you will receive a payment equivalent to the cash dividends you would have received if the shares to which you are entitled under this Award, but not yet issued in your name, had already been issued to you (“Dividend Equivalents”); provided, however, that no payment will be made if your Award has terminated before the last dividend record date of the year for any reason other than vesting. The payment to which you are entitled under this paragraph will be made once each year on or as soon as practicable after the date of the last cash dividend payment in the year (but in any event before year-end). The Dividend Equivalents will be calculated for the record dates on which this Award was in effect during the year.</w:t>
      </w:r>
    </w:p>
    <w:p>
      <w:pPr>
        <w:spacing w:after="0" w:line="226" w:lineRule="exact"/>
        <w:rPr>
          <w:rFonts w:ascii="Arial" w:cs="Arial" w:eastAsia="Arial" w:hAnsi="Arial"/>
          <w:sz w:val="21"/>
          <w:szCs w:val="21"/>
          <w:color w:val="auto"/>
        </w:rPr>
      </w:pPr>
    </w:p>
    <w:p>
      <w:pPr>
        <w:ind w:left="440" w:right="20" w:hanging="432"/>
        <w:spacing w:after="0" w:line="238" w:lineRule="auto"/>
        <w:tabs>
          <w:tab w:leader="none" w:pos="4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Continuing Employment</w:t>
      </w:r>
      <w:r>
        <w:rPr>
          <w:rFonts w:ascii="Arial" w:cs="Arial" w:eastAsia="Arial" w:hAnsi="Arial"/>
          <w:sz w:val="22"/>
          <w:szCs w:val="22"/>
          <w:color w:val="auto"/>
        </w:rPr>
        <w:t>. This Award will not constitute or be evidence of any agreement or understanding, expressed or implied, on the part of TI to employ you for any specific period.</w:t>
      </w:r>
    </w:p>
    <w:p>
      <w:pPr>
        <w:spacing w:after="0" w:line="227" w:lineRule="exact"/>
        <w:rPr>
          <w:rFonts w:ascii="Arial" w:cs="Arial" w:eastAsia="Arial" w:hAnsi="Arial"/>
          <w:sz w:val="22"/>
          <w:szCs w:val="22"/>
          <w:color w:val="auto"/>
        </w:rPr>
      </w:pPr>
    </w:p>
    <w:p>
      <w:pPr>
        <w:ind w:left="440" w:hanging="432"/>
        <w:spacing w:after="0" w:line="238" w:lineRule="auto"/>
        <w:tabs>
          <w:tab w:leader="none" w:pos="4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Your Award is not transferable except by will or by the laws of descent and distribution. During your lifetime, the shares issuable hereunder may be issued only to you.</w:t>
      </w:r>
    </w:p>
    <w:p>
      <w:pPr>
        <w:spacing w:after="0" w:line="227" w:lineRule="exact"/>
        <w:rPr>
          <w:rFonts w:ascii="Arial" w:cs="Arial" w:eastAsia="Arial" w:hAnsi="Arial"/>
          <w:sz w:val="22"/>
          <w:szCs w:val="22"/>
          <w:color w:val="auto"/>
        </w:rPr>
      </w:pPr>
    </w:p>
    <w:p>
      <w:pPr>
        <w:jc w:val="both"/>
        <w:ind w:left="440" w:hanging="432"/>
        <w:spacing w:after="0" w:line="235" w:lineRule="auto"/>
        <w:tabs>
          <w:tab w:leader="none" w:pos="4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Long-Term Incentive Plan</w:t>
      </w:r>
      <w:r>
        <w:rPr>
          <w:rFonts w:ascii="Arial" w:cs="Arial" w:eastAsia="Arial" w:hAnsi="Arial"/>
          <w:sz w:val="22"/>
          <w:szCs w:val="22"/>
          <w:color w:val="auto"/>
        </w:rPr>
        <w:t>. Your Award is subject to all of the terms and conditions of the Plan. In the event of any conflict between such terms and conditions and those set forth herein, the terms of the Plan shall govern and be determinative.</w:t>
      </w:r>
    </w:p>
    <w:p>
      <w:pPr>
        <w:spacing w:after="0" w:line="203" w:lineRule="exact"/>
        <w:rPr>
          <w:rFonts w:ascii="Arial" w:cs="Arial" w:eastAsia="Arial" w:hAnsi="Arial"/>
          <w:sz w:val="22"/>
          <w:szCs w:val="22"/>
          <w:color w:val="auto"/>
        </w:rPr>
      </w:pPr>
    </w:p>
    <w:p>
      <w:pPr>
        <w:jc w:val="both"/>
        <w:ind w:left="440" w:hanging="432"/>
        <w:spacing w:after="0" w:line="246" w:lineRule="auto"/>
        <w:tabs>
          <w:tab w:leader="none" w:pos="4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Confidential </w:t>
      </w:r>
      <w:r>
        <w:rPr>
          <w:rFonts w:ascii="Arial" w:cs="Arial" w:eastAsia="Arial" w:hAnsi="Arial"/>
          <w:sz w:val="22"/>
          <w:szCs w:val="22"/>
          <w:b w:val="1"/>
          <w:bCs w:val="1"/>
          <w:u w:val="single" w:color="auto"/>
          <w:color w:val="auto"/>
        </w:rPr>
        <w:t>Information, Non-solicitation, Competition and Recoupment Policy</w:t>
      </w:r>
      <w:r>
        <w:rPr>
          <w:rFonts w:ascii="Arial" w:cs="Arial" w:eastAsia="Arial" w:hAnsi="Arial"/>
          <w:sz w:val="22"/>
          <w:szCs w:val="22"/>
          <w:color w:val="auto"/>
        </w:rPr>
        <w:t>. By accepting your Award, and in consideration for the Award and for the Company’s obligations set forth in this Agreement, you agree with the Company as follows:</w:t>
      </w:r>
    </w:p>
    <w:p>
      <w:pPr>
        <w:spacing w:after="0" w:line="220" w:lineRule="exact"/>
        <w:rPr>
          <w:rFonts w:ascii="Arial" w:cs="Arial" w:eastAsia="Arial" w:hAnsi="Arial"/>
          <w:sz w:val="22"/>
          <w:szCs w:val="22"/>
          <w:color w:val="auto"/>
        </w:rPr>
      </w:pPr>
    </w:p>
    <w:p>
      <w:pPr>
        <w:jc w:val="both"/>
        <w:ind w:left="1080" w:hanging="640"/>
        <w:spacing w:after="0" w:line="234" w:lineRule="auto"/>
        <w:tabs>
          <w:tab w:leader="none" w:pos="1080" w:val="left"/>
        </w:tabs>
        <w:numPr>
          <w:ilvl w:val="1"/>
          <w:numId w:val="62"/>
        </w:numPr>
        <w:rPr>
          <w:rFonts w:ascii="Arial" w:cs="Arial" w:eastAsia="Arial" w:hAnsi="Arial"/>
          <w:sz w:val="22"/>
          <w:szCs w:val="22"/>
          <w:color w:val="auto"/>
        </w:rPr>
      </w:pPr>
      <w:r>
        <w:rPr>
          <w:rFonts w:ascii="Arial" w:cs="Arial" w:eastAsia="Arial" w:hAnsi="Arial"/>
          <w:sz w:val="22"/>
          <w:szCs w:val="22"/>
          <w:color w:val="auto"/>
        </w:rPr>
        <w:t>You recognize and acknowledge that in the course of your employment with TI, you have obtained private or confidential information and proprietary data relating to TI, including but not limited to TI’s trade secrets (“Confidential Information”). TI agrees that it will continue to provide you with access to its Confidential Information to the extent necessary for you to carry out the duties of your employment with TI.</w:t>
      </w:r>
    </w:p>
    <w:p>
      <w:pPr>
        <w:spacing w:after="0" w:line="228" w:lineRule="exact"/>
        <w:rPr>
          <w:rFonts w:ascii="Arial" w:cs="Arial" w:eastAsia="Arial" w:hAnsi="Arial"/>
          <w:sz w:val="22"/>
          <w:szCs w:val="22"/>
          <w:color w:val="auto"/>
        </w:rPr>
      </w:pPr>
    </w:p>
    <w:p>
      <w:pPr>
        <w:ind w:left="1080" w:hanging="640"/>
        <w:spacing w:after="0" w:line="238" w:lineRule="auto"/>
        <w:tabs>
          <w:tab w:leader="none" w:pos="1080" w:val="left"/>
        </w:tabs>
        <w:numPr>
          <w:ilvl w:val="1"/>
          <w:numId w:val="62"/>
        </w:numPr>
        <w:rPr>
          <w:rFonts w:ascii="Arial" w:cs="Arial" w:eastAsia="Arial" w:hAnsi="Arial"/>
          <w:sz w:val="22"/>
          <w:szCs w:val="22"/>
          <w:color w:val="auto"/>
        </w:rPr>
      </w:pPr>
      <w:r>
        <w:rPr>
          <w:rFonts w:ascii="Arial" w:cs="Arial" w:eastAsia="Arial" w:hAnsi="Arial"/>
          <w:sz w:val="22"/>
          <w:szCs w:val="22"/>
          <w:color w:val="auto"/>
        </w:rPr>
        <w:t>You recognize and acknowledge that (i) TI manufactures, designs, sells and markets its products in global markets, (ii) TI’s success depends to a significant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77" w:name="page78"/>
    <w:bookmarkEnd w:id="77"/>
    <w:p>
      <w:pPr>
        <w:jc w:val="both"/>
        <w:ind w:left="640"/>
        <w:spacing w:after="0" w:line="235" w:lineRule="auto"/>
        <w:rPr>
          <w:sz w:val="20"/>
          <w:szCs w:val="20"/>
          <w:color w:val="auto"/>
        </w:rPr>
      </w:pPr>
      <w:r>
        <w:rPr>
          <w:rFonts w:ascii="Arial" w:cs="Arial" w:eastAsia="Arial" w:hAnsi="Arial"/>
          <w:sz w:val="22"/>
          <w:szCs w:val="22"/>
          <w:color w:val="auto"/>
        </w:rPr>
        <w:t>degree on the skills of its employees and their knowledge of TI’s customers and suppliers, many of which operate on a global basis, and (iii) much of the information that TI maintains regarding its products, employees, customers and suppliers is Confidential Information.</w:t>
      </w:r>
    </w:p>
    <w:p>
      <w:pPr>
        <w:spacing w:after="0" w:line="229" w:lineRule="exact"/>
        <w:rPr>
          <w:sz w:val="20"/>
          <w:szCs w:val="20"/>
          <w:color w:val="auto"/>
        </w:rPr>
      </w:pPr>
    </w:p>
    <w:p>
      <w:pPr>
        <w:jc w:val="both"/>
        <w:ind w:left="640" w:hanging="640"/>
        <w:spacing w:after="0" w:line="231" w:lineRule="auto"/>
        <w:tabs>
          <w:tab w:leader="none" w:pos="6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You agree not to (i) use or disclose to any third party, either directly or indirectly, Confidential Information at any time, except as required in your work for TI or with the prior written consent of TI, or (ii) during the Non-solicitation Period (as defined in Section 12), either directly or indirectly solicit or recruit for your own benefit or for any other person or entity any TI employee to be an employee, director, officer, agent, consultant, partner or independent contractor without the prior written consent of TI, or (iii) during the Non-solicitation Period, either directly or indirectly solicit for your own benefit or for any other person or entity any TI customer to which you marketed or sold TI products during the last two years of your employment with TI, without the prior written consent of TI. Without intending to limit the remedies available to TI, you acknowledge that damages at law will be an insufficient remedy to TI if you violate the terms of this Section 9(c) and agree that TI may apply for and have injunctive relief in any court of competent jurisdiction specifically to enforce the terms of this paragraph upon the breach or threatened breach of any such terms or otherwise specifically to enforce such terms.</w:t>
      </w:r>
    </w:p>
    <w:p>
      <w:pPr>
        <w:spacing w:after="0" w:line="238" w:lineRule="exact"/>
        <w:rPr>
          <w:rFonts w:ascii="Arial" w:cs="Arial" w:eastAsia="Arial" w:hAnsi="Arial"/>
          <w:sz w:val="22"/>
          <w:szCs w:val="22"/>
          <w:color w:val="auto"/>
        </w:rPr>
      </w:pPr>
    </w:p>
    <w:p>
      <w:pPr>
        <w:jc w:val="both"/>
        <w:ind w:left="640" w:hanging="640"/>
        <w:spacing w:after="0" w:line="231" w:lineRule="auto"/>
        <w:tabs>
          <w:tab w:leader="none" w:pos="6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You agree that if (i) during your employment by TI and for a period of two years thereafter you engage in Competition (as defined in Section 12), either directly or indirectly, for your own benefit or on behalf of any other person or entity, or (ii) at any time you use or disclose, either directly or indirectly, to any third party any Confidential Information when not required to do so in your work for TI or without the prior written consent of TI, or (iii) during the Non-solicitation Period you solicit or recruit, either directly or indirectly, without the prior written consent of TI, any TI employee to be an employee, director, officer, agent, consultant, partner or independent contractor for your own benefit or for any other person or entity, or (iv) during the Non-solicitation Period, you solicit, either directly or indirectly, without the prior written consent of TI, for your own benefit or for any other person or entity, any TI customer to which you marketed or sold TI products during the last two years of your employment with TI, then (x) the Company’s obligation to issue shares or pay Dividend Equivalents under this Award shall terminate and become void, and (y) you shall repay immediately to TI the Fair Market Value (as defined in Section 12 below) of any shares of stock that were issued to you, and any Dividend Equivalents that were paid to you, under this Award within three years prior to termination of your employment or any time after termination of your employment. Any amount payable to the Company pursuant to this provision may be reduced or waived as the Company, in its sole judgment, deems warranted by the circumstances.</w:t>
      </w:r>
    </w:p>
    <w:p>
      <w:pPr>
        <w:spacing w:after="0" w:line="236" w:lineRule="exact"/>
        <w:rPr>
          <w:rFonts w:ascii="Arial" w:cs="Arial" w:eastAsia="Arial" w:hAnsi="Arial"/>
          <w:sz w:val="22"/>
          <w:szCs w:val="22"/>
          <w:color w:val="auto"/>
        </w:rPr>
      </w:pPr>
    </w:p>
    <w:p>
      <w:pPr>
        <w:ind w:left="640" w:hanging="640"/>
        <w:spacing w:after="0" w:line="238" w:lineRule="auto"/>
        <w:tabs>
          <w:tab w:leader="none" w:pos="6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 addition, you agree that this Award is subject to the recoupment policy adopted by the Committee and in effect on the effective date of this Award.</w:t>
      </w:r>
    </w:p>
    <w:p>
      <w:pPr>
        <w:spacing w:after="0" w:line="18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200660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34" w:right="239" w:bottom="1440" w:gutter="0" w:footer="0" w:header="0"/>
        </w:sectPr>
      </w:pPr>
    </w:p>
    <w:bookmarkStart w:id="78" w:name="page79"/>
    <w:bookmarkEnd w:id="78"/>
    <w:p>
      <w:pPr>
        <w:ind w:left="1092" w:hanging="589"/>
        <w:spacing w:after="0" w:line="233" w:lineRule="auto"/>
        <w:tabs>
          <w:tab w:leader="none" w:pos="788" w:val="left"/>
        </w:tabs>
        <w:numPr>
          <w:ilvl w:val="2"/>
          <w:numId w:val="64"/>
        </w:numPr>
        <w:rPr>
          <w:rFonts w:ascii="Arial" w:cs="Arial" w:eastAsia="Arial" w:hAnsi="Arial"/>
          <w:sz w:val="22"/>
          <w:szCs w:val="22"/>
          <w:color w:val="auto"/>
        </w:rPr>
      </w:pPr>
      <w:r>
        <w:rPr>
          <w:rFonts w:ascii="Arial" w:cs="Arial" w:eastAsia="Arial" w:hAnsi="Arial"/>
          <w:sz w:val="22"/>
          <w:szCs w:val="22"/>
          <w:color w:val="auto"/>
        </w:rPr>
        <w:t>You acknowledge the reasonableness of the commitments and agreements in this Section 9, including their scope, duration and geographic coverage. You recognize and acknowledge that the provisions of this Section 9 are entered into by you in consideration of, and as a material inducement to, the agreements by the Company herein as well as an inducement for the Company to enter into this Agreement, and that, but for your agreement to the provisions of this Section 9, the Company would not have entered into this Agreement.</w:t>
      </w:r>
    </w:p>
    <w:p>
      <w:pPr>
        <w:spacing w:after="0" w:line="228" w:lineRule="exact"/>
        <w:rPr>
          <w:rFonts w:ascii="Arial" w:cs="Arial" w:eastAsia="Arial" w:hAnsi="Arial"/>
          <w:sz w:val="22"/>
          <w:szCs w:val="22"/>
          <w:color w:val="auto"/>
        </w:rPr>
      </w:pPr>
    </w:p>
    <w:p>
      <w:pPr>
        <w:jc w:val="both"/>
        <w:ind w:left="432" w:right="200" w:hanging="432"/>
        <w:spacing w:after="0" w:line="241" w:lineRule="auto"/>
        <w:tabs>
          <w:tab w:leader="none" w:pos="432"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Responsibility for Taxes</w:t>
      </w:r>
      <w:r>
        <w:rPr>
          <w:rFonts w:ascii="Arial" w:cs="Arial" w:eastAsia="Arial" w:hAnsi="Arial"/>
          <w:sz w:val="21"/>
          <w:szCs w:val="21"/>
          <w:color w:val="auto"/>
        </w:rPr>
        <w:t>. You acknowledge that the ultimate liability for income tax, social insurance or other tax-related withholding (“Tax-Related Items”), including any taxes under Section 409A of the U.S. Internal Revenue Code, in connection with this Award, the payment of Dividend Equivalents or the issuance of shares hereunder, or the subsequent sale of such shares is your responsibility, and that TI makes (a) no representations or undertakings with respect to the treatment for tax purposes of this Award, any shares or Dividend Equivalents received hereunder, the sale of such shares or any dividends paid on issued shares and (b) does not commit to structure the grant to reduce your liability for Tax-Related Items. You authorize TI to withhold all applicable Tax-Related Items legally payable by you from your wages or other cash compensation paid to you by TI, from Dividend Equivalents or from proceeds of the sale of the shares. If permissible under local law, TI may (a) sell or arrange for the sale of shares that you acquire to meet the withholding obligation for Tax-Related Items, and/or</w:t>
      </w:r>
    </w:p>
    <w:p>
      <w:pPr>
        <w:spacing w:after="0" w:line="6" w:lineRule="exact"/>
        <w:rPr>
          <w:rFonts w:ascii="Arial" w:cs="Arial" w:eastAsia="Arial" w:hAnsi="Arial"/>
          <w:sz w:val="21"/>
          <w:szCs w:val="21"/>
          <w:color w:val="auto"/>
        </w:rPr>
      </w:pPr>
    </w:p>
    <w:p>
      <w:pPr>
        <w:ind w:left="432" w:right="200"/>
        <w:spacing w:after="0" w:line="238" w:lineRule="auto"/>
        <w:tabs>
          <w:tab w:leader="none" w:pos="769" w:val="left"/>
        </w:tabs>
        <w:numPr>
          <w:ilvl w:val="1"/>
          <w:numId w:val="65"/>
        </w:numPr>
        <w:rPr>
          <w:rFonts w:ascii="Arial" w:cs="Arial" w:eastAsia="Arial" w:hAnsi="Arial"/>
          <w:sz w:val="22"/>
          <w:szCs w:val="22"/>
          <w:color w:val="auto"/>
        </w:rPr>
      </w:pPr>
      <w:r>
        <w:rPr>
          <w:rFonts w:ascii="Arial" w:cs="Arial" w:eastAsia="Arial" w:hAnsi="Arial"/>
          <w:sz w:val="22"/>
          <w:szCs w:val="22"/>
          <w:color w:val="auto"/>
        </w:rPr>
        <w:t>withhold shares to meet such obligations. Finally, you shall pay to TI any amount of Tax-Related Items that TI may be required to withhold that cannot be satisfied by the means described above.</w:t>
      </w:r>
    </w:p>
    <w:p>
      <w:pPr>
        <w:spacing w:after="0" w:line="227" w:lineRule="exact"/>
        <w:rPr>
          <w:rFonts w:ascii="Arial" w:cs="Arial" w:eastAsia="Arial" w:hAnsi="Arial"/>
          <w:sz w:val="22"/>
          <w:szCs w:val="22"/>
          <w:color w:val="auto"/>
        </w:rPr>
      </w:pPr>
    </w:p>
    <w:p>
      <w:pPr>
        <w:jc w:val="both"/>
        <w:ind w:left="432" w:right="200" w:hanging="432"/>
        <w:spacing w:after="0" w:line="241" w:lineRule="auto"/>
        <w:tabs>
          <w:tab w:leader="none" w:pos="432"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In accepting this Award, you acknowledge that: (a) the Plan is established voluntarily by the Company, it is discretionary in nature and it may be modified, amended, suspended or terminated by the Company at any time, as provided in the Plan; (b) all decisions with respect to future awards, if any, will be at the sole discretion of the Company; (c) the Award is voluntary and occasional and does not create any contractual or other right to receive future Awards, or benefits in lieu of Awards; (d) you are voluntarily participating in the Plan;</w:t>
      </w:r>
    </w:p>
    <w:p>
      <w:pPr>
        <w:spacing w:after="0" w:line="3" w:lineRule="exact"/>
        <w:rPr>
          <w:rFonts w:ascii="Arial" w:cs="Arial" w:eastAsia="Arial" w:hAnsi="Arial"/>
          <w:sz w:val="21"/>
          <w:szCs w:val="21"/>
          <w:color w:val="auto"/>
        </w:rPr>
      </w:pPr>
    </w:p>
    <w:p>
      <w:pPr>
        <w:jc w:val="both"/>
        <w:ind w:left="432" w:right="200"/>
        <w:spacing w:after="0" w:line="233" w:lineRule="auto"/>
        <w:tabs>
          <w:tab w:leader="none" w:pos="782" w:val="left"/>
        </w:tabs>
        <w:numPr>
          <w:ilvl w:val="1"/>
          <w:numId w:val="66"/>
        </w:numPr>
        <w:rPr>
          <w:rFonts w:ascii="Arial" w:cs="Arial" w:eastAsia="Arial" w:hAnsi="Arial"/>
          <w:sz w:val="22"/>
          <w:szCs w:val="22"/>
          <w:color w:val="auto"/>
        </w:rPr>
      </w:pPr>
      <w:r>
        <w:rPr>
          <w:rFonts w:ascii="Arial" w:cs="Arial" w:eastAsia="Arial" w:hAnsi="Arial"/>
          <w:sz w:val="22"/>
          <w:szCs w:val="22"/>
          <w:color w:val="auto"/>
        </w:rPr>
        <w:t>your Award is an extraordinary item that does not constitute compensation for services rendered to TI; (f) your Award is not part of normal or expected compensation or salary for any purposes, including, but not limited to, calculating any severance, termination, pension or retirement benefits or similar payments; (g) the Award will not be interpreted to form an employment contract or relationship with TI; (h) the future value of the underlying shares is unknown and cannot be predicted with certainty; and (i) if you receive shares, the value of such shares may increase or decrease in value.</w:t>
      </w:r>
    </w:p>
    <w:p>
      <w:pPr>
        <w:spacing w:after="0" w:line="228" w:lineRule="exact"/>
        <w:rPr>
          <w:rFonts w:ascii="Arial" w:cs="Arial" w:eastAsia="Arial" w:hAnsi="Arial"/>
          <w:sz w:val="22"/>
          <w:szCs w:val="22"/>
          <w:color w:val="auto"/>
        </w:rPr>
      </w:pPr>
    </w:p>
    <w:p>
      <w:pPr>
        <w:ind w:left="432" w:hanging="432"/>
        <w:spacing w:after="0"/>
        <w:tabs>
          <w:tab w:leader="none" w:pos="432"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ind w:left="1072" w:hanging="640"/>
        <w:spacing w:after="0"/>
        <w:tabs>
          <w:tab w:leader="none" w:pos="1072"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Agreement</w:t>
      </w:r>
      <w:r>
        <w:rPr>
          <w:rFonts w:ascii="Arial" w:cs="Arial" w:eastAsia="Arial" w:hAnsi="Arial"/>
          <w:sz w:val="22"/>
          <w:szCs w:val="22"/>
          <w:color w:val="auto"/>
        </w:rPr>
        <w:t>” means this Restricted Stock Unit Award Agreement.</w:t>
      </w: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200660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76" w:right="239" w:bottom="1440" w:gutter="0" w:footer="0" w:header="0"/>
        </w:sectPr>
      </w:pPr>
    </w:p>
    <w:bookmarkStart w:id="79" w:name="page80"/>
    <w:bookmarkEnd w:id="79"/>
    <w:p>
      <w:pPr>
        <w:ind w:left="640" w:hanging="640"/>
        <w:spacing w:after="0"/>
        <w:tabs>
          <w:tab w:leader="none" w:pos="6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Change in Control</w:t>
      </w:r>
      <w:r>
        <w:rPr>
          <w:rFonts w:ascii="Arial" w:cs="Arial" w:eastAsia="Arial" w:hAnsi="Arial"/>
          <w:sz w:val="22"/>
          <w:szCs w:val="22"/>
          <w:color w:val="auto"/>
        </w:rPr>
        <w:t>” has the meaning specified in the Plan.</w:t>
      </w:r>
    </w:p>
    <w:p>
      <w:pPr>
        <w:spacing w:after="0" w:line="233" w:lineRule="exact"/>
        <w:rPr>
          <w:rFonts w:ascii="Arial" w:cs="Arial" w:eastAsia="Arial" w:hAnsi="Arial"/>
          <w:sz w:val="22"/>
          <w:szCs w:val="22"/>
          <w:color w:val="auto"/>
        </w:rPr>
      </w:pPr>
    </w:p>
    <w:p>
      <w:pPr>
        <w:ind w:left="640" w:right="20" w:hanging="640"/>
        <w:spacing w:after="0" w:line="257" w:lineRule="auto"/>
        <w:tabs>
          <w:tab w:leader="none" w:pos="6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Company</w:t>
      </w:r>
      <w:r>
        <w:rPr>
          <w:rFonts w:ascii="Arial" w:cs="Arial" w:eastAsia="Arial" w:hAnsi="Arial"/>
          <w:sz w:val="22"/>
          <w:szCs w:val="22"/>
          <w:color w:val="auto"/>
        </w:rPr>
        <w:t>” means Texas Instruments Incorporated and the term “</w:t>
      </w:r>
      <w:r>
        <w:rPr>
          <w:rFonts w:ascii="Arial" w:cs="Arial" w:eastAsia="Arial" w:hAnsi="Arial"/>
          <w:sz w:val="22"/>
          <w:szCs w:val="22"/>
          <w:i w:val="1"/>
          <w:iCs w:val="1"/>
          <w:color w:val="auto"/>
        </w:rPr>
        <w:t>TI</w:t>
      </w:r>
      <w:r>
        <w:rPr>
          <w:rFonts w:ascii="Arial" w:cs="Arial" w:eastAsia="Arial" w:hAnsi="Arial"/>
          <w:sz w:val="22"/>
          <w:szCs w:val="22"/>
          <w:color w:val="auto"/>
        </w:rPr>
        <w:t>” means and includes Texas Instruments Incorporated (together with any successor) and its subsidiaries.</w:t>
      </w:r>
    </w:p>
    <w:p>
      <w:pPr>
        <w:spacing w:after="0" w:line="183" w:lineRule="exact"/>
        <w:rPr>
          <w:rFonts w:ascii="Arial" w:cs="Arial" w:eastAsia="Arial" w:hAnsi="Arial"/>
          <w:sz w:val="22"/>
          <w:szCs w:val="22"/>
          <w:color w:val="auto"/>
        </w:rPr>
      </w:pPr>
    </w:p>
    <w:p>
      <w:pPr>
        <w:ind w:left="640" w:hanging="640"/>
        <w:spacing w:after="0"/>
        <w:tabs>
          <w:tab w:leader="none" w:pos="640"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The term “</w:t>
      </w:r>
      <w:r>
        <w:rPr>
          <w:rFonts w:ascii="Arial" w:cs="Arial" w:eastAsia="Arial" w:hAnsi="Arial"/>
          <w:sz w:val="22"/>
          <w:szCs w:val="22"/>
          <w:b w:val="1"/>
          <w:bCs w:val="1"/>
          <w:i w:val="1"/>
          <w:iCs w:val="1"/>
          <w:color w:val="auto"/>
        </w:rPr>
        <w:t>Competition</w:t>
      </w:r>
      <w:r>
        <w:rPr>
          <w:rFonts w:ascii="Arial" w:cs="Arial" w:eastAsia="Arial" w:hAnsi="Arial"/>
          <w:sz w:val="22"/>
          <w:szCs w:val="22"/>
          <w:b w:val="1"/>
          <w:bCs w:val="1"/>
          <w:color w:val="auto"/>
        </w:rPr>
        <w:t>” means:</w:t>
      </w:r>
    </w:p>
    <w:p>
      <w:pPr>
        <w:spacing w:after="0" w:line="259" w:lineRule="exact"/>
        <w:rPr>
          <w:rFonts w:ascii="Arial" w:cs="Arial" w:eastAsia="Arial" w:hAnsi="Arial"/>
          <w:sz w:val="22"/>
          <w:szCs w:val="22"/>
          <w:color w:val="auto"/>
        </w:rPr>
      </w:pPr>
    </w:p>
    <w:p>
      <w:pPr>
        <w:jc w:val="both"/>
        <w:ind w:left="1320" w:hanging="658"/>
        <w:spacing w:after="0" w:line="235" w:lineRule="auto"/>
        <w:tabs>
          <w:tab w:leader="none" w:pos="1320" w:val="left"/>
        </w:tabs>
        <w:numPr>
          <w:ilvl w:val="2"/>
          <w:numId w:val="68"/>
        </w:numPr>
        <w:rPr>
          <w:rFonts w:ascii="Arial" w:cs="Arial" w:eastAsia="Arial" w:hAnsi="Arial"/>
          <w:sz w:val="22"/>
          <w:szCs w:val="22"/>
          <w:color w:val="auto"/>
        </w:rPr>
      </w:pPr>
      <w:r>
        <w:rPr>
          <w:rFonts w:ascii="Arial" w:cs="Arial" w:eastAsia="Arial" w:hAnsi="Arial"/>
          <w:sz w:val="22"/>
          <w:szCs w:val="22"/>
          <w:color w:val="auto"/>
        </w:rPr>
        <w:t>engaging in any business activity similar to that in which you engaged during your last three years of employment with TI for any person or entity selling, marketing, designing or manufacturing products the same as, similar to, or that compete with products that TI sells or markets;</w:t>
      </w:r>
    </w:p>
    <w:p>
      <w:pPr>
        <w:spacing w:after="0" w:line="229" w:lineRule="exact"/>
        <w:rPr>
          <w:rFonts w:ascii="Arial" w:cs="Arial" w:eastAsia="Arial" w:hAnsi="Arial"/>
          <w:sz w:val="22"/>
          <w:szCs w:val="22"/>
          <w:color w:val="auto"/>
        </w:rPr>
      </w:pPr>
    </w:p>
    <w:p>
      <w:pPr>
        <w:jc w:val="both"/>
        <w:ind w:left="1320" w:hanging="658"/>
        <w:spacing w:after="0" w:line="235" w:lineRule="auto"/>
        <w:tabs>
          <w:tab w:leader="none" w:pos="1320" w:val="left"/>
        </w:tabs>
        <w:numPr>
          <w:ilvl w:val="2"/>
          <w:numId w:val="68"/>
        </w:numPr>
        <w:rPr>
          <w:rFonts w:ascii="Arial" w:cs="Arial" w:eastAsia="Arial" w:hAnsi="Arial"/>
          <w:sz w:val="22"/>
          <w:szCs w:val="22"/>
          <w:color w:val="auto"/>
        </w:rPr>
      </w:pPr>
      <w:r>
        <w:rPr>
          <w:rFonts w:ascii="Arial" w:cs="Arial" w:eastAsia="Arial" w:hAnsi="Arial"/>
          <w:sz w:val="22"/>
          <w:szCs w:val="22"/>
          <w:color w:val="auto"/>
        </w:rPr>
        <w:t>engaging in the selling or marketing of any products that are the same as, similar to, or that compete with any products that you sold or marketed, or attempted to sell or market, during the last three years of your employment with TI;</w:t>
      </w:r>
    </w:p>
    <w:p>
      <w:pPr>
        <w:spacing w:after="0" w:line="229" w:lineRule="exact"/>
        <w:rPr>
          <w:rFonts w:ascii="Arial" w:cs="Arial" w:eastAsia="Arial" w:hAnsi="Arial"/>
          <w:sz w:val="22"/>
          <w:szCs w:val="22"/>
          <w:color w:val="auto"/>
        </w:rPr>
      </w:pPr>
    </w:p>
    <w:p>
      <w:pPr>
        <w:jc w:val="both"/>
        <w:ind w:left="1320" w:hanging="658"/>
        <w:spacing w:after="0" w:line="250" w:lineRule="auto"/>
        <w:tabs>
          <w:tab w:leader="none" w:pos="1320" w:val="left"/>
        </w:tabs>
        <w:numPr>
          <w:ilvl w:val="2"/>
          <w:numId w:val="68"/>
        </w:numPr>
        <w:rPr>
          <w:rFonts w:ascii="Arial" w:cs="Arial" w:eastAsia="Arial" w:hAnsi="Arial"/>
          <w:sz w:val="21"/>
          <w:szCs w:val="21"/>
          <w:color w:val="auto"/>
        </w:rPr>
      </w:pPr>
      <w:r>
        <w:rPr>
          <w:rFonts w:ascii="Arial" w:cs="Arial" w:eastAsia="Arial" w:hAnsi="Arial"/>
          <w:sz w:val="21"/>
          <w:szCs w:val="21"/>
          <w:color w:val="auto"/>
        </w:rPr>
        <w:t>engaging in the manufacture or design of any products that are the same as, similar to or that compete with any products that you sold or marketed, or attempted to sell or market, or participated in the design or manufacture of, during the last three years of your employment with TI; or</w:t>
      </w:r>
    </w:p>
    <w:p>
      <w:pPr>
        <w:spacing w:after="0" w:line="217" w:lineRule="exact"/>
        <w:rPr>
          <w:rFonts w:ascii="Arial" w:cs="Arial" w:eastAsia="Arial" w:hAnsi="Arial"/>
          <w:sz w:val="21"/>
          <w:szCs w:val="21"/>
          <w:color w:val="auto"/>
        </w:rPr>
      </w:pPr>
    </w:p>
    <w:p>
      <w:pPr>
        <w:jc w:val="both"/>
        <w:ind w:left="1320" w:hanging="658"/>
        <w:spacing w:after="0" w:line="235" w:lineRule="auto"/>
        <w:tabs>
          <w:tab w:leader="none" w:pos="1320" w:val="left"/>
        </w:tabs>
        <w:numPr>
          <w:ilvl w:val="2"/>
          <w:numId w:val="68"/>
        </w:numPr>
        <w:rPr>
          <w:rFonts w:ascii="Arial" w:cs="Arial" w:eastAsia="Arial" w:hAnsi="Arial"/>
          <w:sz w:val="22"/>
          <w:szCs w:val="22"/>
          <w:color w:val="auto"/>
        </w:rPr>
      </w:pPr>
      <w:r>
        <w:rPr>
          <w:rFonts w:ascii="Arial" w:cs="Arial" w:eastAsia="Arial" w:hAnsi="Arial"/>
          <w:sz w:val="22"/>
          <w:szCs w:val="22"/>
          <w:color w:val="auto"/>
        </w:rPr>
        <w:t>engaging in the selling or marketing of any products that are the same as, similar to, or that compete with any products that you participated in the design or manufacture of during the last three years of your employment with TI.</w:t>
      </w:r>
    </w:p>
    <w:p>
      <w:pPr>
        <w:spacing w:after="0" w:line="207" w:lineRule="exact"/>
        <w:rPr>
          <w:rFonts w:ascii="Arial" w:cs="Arial" w:eastAsia="Arial" w:hAnsi="Arial"/>
          <w:sz w:val="22"/>
          <w:szCs w:val="22"/>
          <w:color w:val="auto"/>
        </w:rPr>
      </w:pPr>
    </w:p>
    <w:p>
      <w:pPr>
        <w:ind w:left="640" w:hanging="640"/>
        <w:spacing w:after="0"/>
        <w:tabs>
          <w:tab w:leader="none" w:pos="6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Grant Date</w:t>
      </w:r>
      <w:r>
        <w:rPr>
          <w:rFonts w:ascii="Arial" w:cs="Arial" w:eastAsia="Arial" w:hAnsi="Arial"/>
          <w:sz w:val="22"/>
          <w:szCs w:val="22"/>
          <w:color w:val="auto"/>
        </w:rPr>
        <w:t>” means the effective date of grant of this Award.</w:t>
      </w:r>
    </w:p>
    <w:p>
      <w:pPr>
        <w:spacing w:after="0" w:line="233" w:lineRule="exact"/>
        <w:rPr>
          <w:rFonts w:ascii="Arial" w:cs="Arial" w:eastAsia="Arial" w:hAnsi="Arial"/>
          <w:sz w:val="22"/>
          <w:szCs w:val="22"/>
          <w:color w:val="auto"/>
        </w:rPr>
      </w:pPr>
    </w:p>
    <w:p>
      <w:pPr>
        <w:ind w:left="640" w:hanging="640"/>
        <w:spacing w:after="0"/>
        <w:tabs>
          <w:tab w:leader="none" w:pos="6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Involuntary Termination</w:t>
      </w:r>
      <w:r>
        <w:rPr>
          <w:rFonts w:ascii="Arial" w:cs="Arial" w:eastAsia="Arial" w:hAnsi="Arial"/>
          <w:sz w:val="22"/>
          <w:szCs w:val="22"/>
          <w:color w:val="auto"/>
        </w:rPr>
        <w:t>” has the meaning specified in the Plan.</w:t>
      </w:r>
    </w:p>
    <w:p>
      <w:pPr>
        <w:spacing w:after="0" w:line="229" w:lineRule="exact"/>
        <w:rPr>
          <w:rFonts w:ascii="Arial" w:cs="Arial" w:eastAsia="Arial" w:hAnsi="Arial"/>
          <w:sz w:val="22"/>
          <w:szCs w:val="22"/>
          <w:color w:val="auto"/>
        </w:rPr>
      </w:pPr>
    </w:p>
    <w:p>
      <w:pPr>
        <w:ind w:left="640" w:hanging="640"/>
        <w:spacing w:after="0" w:line="261" w:lineRule="auto"/>
        <w:tabs>
          <w:tab w:leader="none" w:pos="640"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The term “</w:t>
      </w:r>
      <w:r>
        <w:rPr>
          <w:rFonts w:ascii="Arial" w:cs="Arial" w:eastAsia="Arial" w:hAnsi="Arial"/>
          <w:sz w:val="22"/>
          <w:szCs w:val="22"/>
          <w:b w:val="1"/>
          <w:bCs w:val="1"/>
          <w:i w:val="1"/>
          <w:iCs w:val="1"/>
          <w:color w:val="auto"/>
        </w:rPr>
        <w:t>Non-solicitation Period</w:t>
      </w:r>
      <w:r>
        <w:rPr>
          <w:rFonts w:ascii="Arial" w:cs="Arial" w:eastAsia="Arial" w:hAnsi="Arial"/>
          <w:sz w:val="22"/>
          <w:szCs w:val="22"/>
          <w:b w:val="1"/>
          <w:bCs w:val="1"/>
          <w:color w:val="auto"/>
        </w:rPr>
        <w:t xml:space="preserve">” means </w:t>
      </w:r>
      <w:r>
        <w:rPr>
          <w:rFonts w:ascii="Arial" w:cs="Arial" w:eastAsia="Arial" w:hAnsi="Arial"/>
          <w:sz w:val="22"/>
          <w:szCs w:val="22"/>
          <w:color w:val="auto"/>
        </w:rPr>
        <w:t>the period from the effective date of this Agreement until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anniversary of the date on which your employment with TI has terminated.</w:t>
      </w:r>
    </w:p>
    <w:p>
      <w:pPr>
        <w:spacing w:after="0" w:line="183" w:lineRule="exact"/>
        <w:rPr>
          <w:rFonts w:ascii="Arial" w:cs="Arial" w:eastAsia="Arial" w:hAnsi="Arial"/>
          <w:sz w:val="22"/>
          <w:szCs w:val="22"/>
          <w:color w:val="auto"/>
        </w:rPr>
      </w:pPr>
    </w:p>
    <w:p>
      <w:pPr>
        <w:ind w:left="640" w:hanging="640"/>
        <w:spacing w:after="0"/>
        <w:tabs>
          <w:tab w:leader="none" w:pos="6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the Plan</w:t>
      </w:r>
      <w:r>
        <w:rPr>
          <w:rFonts w:ascii="Arial" w:cs="Arial" w:eastAsia="Arial" w:hAnsi="Arial"/>
          <w:sz w:val="22"/>
          <w:szCs w:val="22"/>
          <w:color w:val="auto"/>
        </w:rPr>
        <w:t>” means the Texas Instruments 2009 Long-Term Incentive Plan.</w:t>
      </w:r>
    </w:p>
    <w:p>
      <w:pPr>
        <w:spacing w:after="0" w:line="233" w:lineRule="exact"/>
        <w:rPr>
          <w:rFonts w:ascii="Arial" w:cs="Arial" w:eastAsia="Arial" w:hAnsi="Arial"/>
          <w:sz w:val="22"/>
          <w:szCs w:val="22"/>
          <w:color w:val="auto"/>
        </w:rPr>
      </w:pPr>
    </w:p>
    <w:p>
      <w:pPr>
        <w:jc w:val="both"/>
        <w:ind w:left="640" w:hanging="640"/>
        <w:spacing w:after="0" w:line="252" w:lineRule="auto"/>
        <w:tabs>
          <w:tab w:leader="none" w:pos="64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i w:val="1"/>
          <w:iCs w:val="1"/>
          <w:color w:val="auto"/>
        </w:rPr>
        <w:t>Retirement Eligible</w:t>
      </w:r>
      <w:r>
        <w:rPr>
          <w:rFonts w:ascii="Arial" w:cs="Arial" w:eastAsia="Arial" w:hAnsi="Arial"/>
          <w:sz w:val="21"/>
          <w:szCs w:val="21"/>
          <w:color w:val="auto"/>
        </w:rPr>
        <w:t>” means (1) at least 55 years of age with at least 10 years of service (measured from your service date as shown on TI’s global human resources database) as a TI employee or</w:t>
      </w:r>
    </w:p>
    <w:p>
      <w:pPr>
        <w:spacing w:after="0" w:line="1" w:lineRule="exact"/>
        <w:rPr>
          <w:rFonts w:ascii="Arial" w:cs="Arial" w:eastAsia="Arial" w:hAnsi="Arial"/>
          <w:sz w:val="21"/>
          <w:szCs w:val="21"/>
          <w:color w:val="auto"/>
        </w:rPr>
      </w:pPr>
    </w:p>
    <w:p>
      <w:pPr>
        <w:ind w:left="980" w:hanging="332"/>
        <w:spacing w:after="0"/>
        <w:tabs>
          <w:tab w:leader="none" w:pos="980" w:val="left"/>
        </w:tabs>
        <w:numPr>
          <w:ilvl w:val="1"/>
          <w:numId w:val="68"/>
        </w:numPr>
        <w:rPr>
          <w:rFonts w:ascii="Arial" w:cs="Arial" w:eastAsia="Arial" w:hAnsi="Arial"/>
          <w:sz w:val="22"/>
          <w:szCs w:val="22"/>
          <w:color w:val="auto"/>
        </w:rPr>
      </w:pPr>
      <w:r>
        <w:rPr>
          <w:rFonts w:ascii="Arial" w:cs="Arial" w:eastAsia="Arial" w:hAnsi="Arial"/>
          <w:sz w:val="22"/>
          <w:szCs w:val="22"/>
          <w:color w:val="auto"/>
        </w:rPr>
        <w:t>at least 65 years of age.</w:t>
      </w: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200660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54" w:right="239" w:bottom="1440" w:gutter="0" w:footer="0" w:header="0"/>
        </w:sectPr>
      </w:pPr>
    </w:p>
    <w:bookmarkStart w:id="80" w:name="page81"/>
    <w:bookmarkEnd w:id="80"/>
    <w:p>
      <w:pPr>
        <w:ind w:left="1080" w:hanging="640"/>
        <w:spacing w:after="0" w:line="259" w:lineRule="auto"/>
        <w:tabs>
          <w:tab w:leader="none" w:pos="1080"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Employee Stock Grant Communication</w:t>
      </w:r>
      <w:r>
        <w:rPr>
          <w:rFonts w:ascii="Arial" w:cs="Arial" w:eastAsia="Arial" w:hAnsi="Arial"/>
          <w:sz w:val="22"/>
          <w:szCs w:val="22"/>
          <w:color w:val="auto"/>
        </w:rPr>
        <w:t>” means the written communication from the Company to you stating the date(s) of vesting and number of shares under the Award.</w:t>
      </w:r>
    </w:p>
    <w:p>
      <w:pPr>
        <w:spacing w:after="0" w:line="184" w:lineRule="exact"/>
        <w:rPr>
          <w:rFonts w:ascii="Arial" w:cs="Arial" w:eastAsia="Arial" w:hAnsi="Arial"/>
          <w:sz w:val="22"/>
          <w:szCs w:val="22"/>
          <w:color w:val="auto"/>
        </w:rPr>
      </w:pPr>
    </w:p>
    <w:p>
      <w:pPr>
        <w:ind w:left="1100" w:hanging="589"/>
        <w:spacing w:after="0" w:line="257" w:lineRule="auto"/>
        <w:tabs>
          <w:tab w:leader="none" w:pos="817" w:val="left"/>
        </w:tabs>
        <w:numPr>
          <w:ilvl w:val="2"/>
          <w:numId w:val="69"/>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Fair Market Value</w:t>
      </w:r>
      <w:r>
        <w:rPr>
          <w:rFonts w:ascii="Arial" w:cs="Arial" w:eastAsia="Arial" w:hAnsi="Arial"/>
          <w:sz w:val="22"/>
          <w:szCs w:val="22"/>
          <w:color w:val="auto"/>
        </w:rPr>
        <w:t>” means the closing price of TI common stock on The NASDAQ Stock Market on the day before the Vesting Date.</w:t>
      </w:r>
    </w:p>
    <w:p>
      <w:pPr>
        <w:spacing w:after="0" w:line="223" w:lineRule="exact"/>
        <w:rPr>
          <w:rFonts w:ascii="Arial" w:cs="Arial" w:eastAsia="Arial" w:hAnsi="Arial"/>
          <w:sz w:val="22"/>
          <w:szCs w:val="22"/>
          <w:color w:val="auto"/>
        </w:rPr>
      </w:pPr>
    </w:p>
    <w:p>
      <w:pPr>
        <w:jc w:val="both"/>
        <w:ind w:left="660" w:hanging="652"/>
        <w:spacing w:after="0" w:line="259" w:lineRule="auto"/>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Rights as Stockholder</w:t>
      </w:r>
      <w:r>
        <w:rPr>
          <w:rFonts w:ascii="Arial" w:cs="Arial" w:eastAsia="Arial" w:hAnsi="Arial"/>
          <w:sz w:val="22"/>
          <w:szCs w:val="22"/>
          <w:color w:val="auto"/>
        </w:rPr>
        <w:t>. You will not have any rights as a stockholder of the Company in respect of any shares of common stock of the Company issuable under this Award unless and until such shares are issued in your name and delivered to you in accordance with the provisions hereof.</w:t>
      </w:r>
    </w:p>
    <w:p>
      <w:pPr>
        <w:spacing w:after="0" w:line="247" w:lineRule="exact"/>
        <w:rPr>
          <w:rFonts w:ascii="Arial" w:cs="Arial" w:eastAsia="Arial" w:hAnsi="Arial"/>
          <w:sz w:val="22"/>
          <w:szCs w:val="22"/>
          <w:color w:val="auto"/>
        </w:rPr>
      </w:pPr>
    </w:p>
    <w:p>
      <w:pPr>
        <w:jc w:val="both"/>
        <w:ind w:left="660" w:right="200" w:hanging="652"/>
        <w:spacing w:after="0" w:line="235" w:lineRule="auto"/>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Texas Law</w:t>
      </w:r>
      <w:r>
        <w:rPr>
          <w:rFonts w:ascii="Arial" w:cs="Arial" w:eastAsia="Arial" w:hAnsi="Arial"/>
          <w:sz w:val="22"/>
          <w:szCs w:val="22"/>
          <w:color w:val="auto"/>
        </w:rPr>
        <w:t>. This Agreement and specifically the provisions of Section 9 hereof shall be construed both as to validity and performance and enforced in accordance with the laws of the State of Texas without giving effect to the principles of conflict of laws thereof.</w:t>
      </w:r>
    </w:p>
    <w:p>
      <w:pPr>
        <w:spacing w:after="0" w:line="229" w:lineRule="exact"/>
        <w:rPr>
          <w:rFonts w:ascii="Arial" w:cs="Arial" w:eastAsia="Arial" w:hAnsi="Arial"/>
          <w:sz w:val="22"/>
          <w:szCs w:val="22"/>
          <w:color w:val="auto"/>
        </w:rPr>
      </w:pPr>
    </w:p>
    <w:p>
      <w:pPr>
        <w:jc w:val="both"/>
        <w:ind w:left="660" w:right="200" w:hanging="652"/>
        <w:spacing w:after="0" w:line="235" w:lineRule="auto"/>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END</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color w:val="auto"/>
        </w:rPr>
        <w:t>By accepting this Restricted Stock Unit Award Agreement, I acknowledge I have read and I agree to be bound by all of the terms and conditions set forth above, including Section 9 relating to Confidential Information, Non-solicitation, Competition and Recoupment Policy.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1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u w:val="single" w:color="auto"/>
          <w:color w:val="auto"/>
        </w:rPr>
        <w:t>Exhibit 10(n)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2009 DIRECTOR COMPENSATION PLAN</w:t>
      </w:r>
    </w:p>
    <w:p>
      <w:pPr>
        <w:jc w:val="center"/>
        <w:spacing w:after="0"/>
        <w:rPr>
          <w:sz w:val="20"/>
          <w:szCs w:val="20"/>
          <w:color w:val="auto"/>
        </w:rPr>
      </w:pPr>
      <w:r>
        <w:rPr>
          <w:rFonts w:ascii="Arial" w:cs="Arial" w:eastAsia="Arial" w:hAnsi="Arial"/>
          <w:sz w:val="18"/>
          <w:szCs w:val="18"/>
          <w:b w:val="1"/>
          <w:bCs w:val="1"/>
          <w:color w:val="auto"/>
        </w:rPr>
        <w:t>As Amended January 19, 2012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Texas Instruments 2009 Director Compensation Plan (“the Plan”) is intended as a successor plan to the Company’s 2003 Director Compensation Plan (“2003 Plan”). This Plan is designed to attract and retain qualified individuals to serve as directors of the Company and to increase the proprietary and vested interest of such directors in the growth and performance of the Company. This Plan is effective for Awards granted on or after the Effective Date. With respect to Deferred Compensation, as of the Effective Date, the Post-2004 Accounts (as defined in the 2003 Plan) of the participants in the 2003 Plan are hereby merged into the Deferred Compensation accounts under this Plan and the amounts in those Accounts shall be governed thereafter by the terms of this Plan. Any elections made under Section 8 of the 2003 Plan shall remain applicable to and shall govern the Deferred Compensation Accounts of this Plan unless changed by the Participant in accordance with the terms of this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5" w:lineRule="exact"/>
        <w:rPr>
          <w:sz w:val="20"/>
          <w:szCs w:val="20"/>
          <w:color w:val="auto"/>
        </w:rPr>
      </w:pPr>
    </w:p>
    <w:p>
      <w:pPr>
        <w:ind w:left="720" w:hanging="712"/>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means a Cash Account or Stock Unit Account established under Section 11 of the Plan.</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or a committee of directors designated by the Board to administer the Plan.</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Stock Appreciation Right or other stock-based award under the Plan.</w:t>
      </w:r>
    </w:p>
    <w:p>
      <w:pPr>
        <w:spacing w:after="0" w:line="225" w:lineRule="exact"/>
        <w:rPr>
          <w:rFonts w:ascii="Arial" w:cs="Arial" w:eastAsia="Arial" w:hAnsi="Arial"/>
          <w:sz w:val="18"/>
          <w:szCs w:val="18"/>
          <w:color w:val="auto"/>
        </w:rPr>
      </w:pPr>
    </w:p>
    <w:p>
      <w:pPr>
        <w:ind w:left="720" w:right="160" w:hanging="712"/>
        <w:spacing w:after="0" w:line="27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any Award granted under the Plan,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but need not, be executed or acknowledged by a Director. An Award Agreement may be in electronic form.</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225" w:lineRule="exact"/>
        <w:rPr>
          <w:rFonts w:ascii="Arial" w:cs="Arial" w:eastAsia="Arial" w:hAnsi="Arial"/>
          <w:sz w:val="18"/>
          <w:szCs w:val="18"/>
          <w:color w:val="auto"/>
        </w:rPr>
      </w:pPr>
    </w:p>
    <w:p>
      <w:pPr>
        <w:ind w:left="720" w:right="420" w:hanging="712"/>
        <w:spacing w:after="0" w:line="27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accounts established or maintained pursuant to Section 11(b)(i) on behalf of each Director who elects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11(b) to have any of his or her Deferred Compensation credited to a cash account.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in Control definitions:</w:t>
      </w:r>
    </w:p>
    <w:p>
      <w:pPr>
        <w:spacing w:after="0" w:line="225" w:lineRule="exact"/>
        <w:rPr>
          <w:sz w:val="20"/>
          <w:szCs w:val="20"/>
          <w:color w:val="auto"/>
        </w:rPr>
      </w:pPr>
    </w:p>
    <w:p>
      <w:pPr>
        <w:ind w:left="1420" w:right="100" w:hanging="710"/>
        <w:spacing w:after="0" w:line="264"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(2010 Grant)” </w:t>
      </w:r>
      <w:r>
        <w:rPr>
          <w:rFonts w:ascii="Arial" w:cs="Arial" w:eastAsia="Arial" w:hAnsi="Arial"/>
          <w:sz w:val="18"/>
          <w:szCs w:val="18"/>
          <w:color w:val="auto"/>
        </w:rPr>
        <w:t>means an event when (i) any Person, alone or together with its Affiliates and Associates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become an Acquiring Person otherwise than pursuant to a transaction or agreement approved by the Board prior to the time the Acquiring Person</w:t>
      </w:r>
    </w:p>
    <w:p>
      <w:pPr>
        <w:spacing w:after="0" w:line="18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200130v14</w:t>
      </w:r>
      <w:r>
        <w:rPr>
          <w:sz w:val="20"/>
          <w:szCs w:val="20"/>
          <w:color w:val="auto"/>
        </w:rPr>
        <w:tab/>
      </w: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ind w:left="710" w:right="20"/>
        <w:spacing w:after="0" w:line="291" w:lineRule="auto"/>
        <w:rPr>
          <w:sz w:val="20"/>
          <w:szCs w:val="20"/>
          <w:color w:val="auto"/>
        </w:rPr>
      </w:pPr>
      <w:r>
        <w:rPr>
          <w:rFonts w:ascii="Arial" w:cs="Arial" w:eastAsia="Arial" w:hAnsi="Arial"/>
          <w:sz w:val="16"/>
          <w:szCs w:val="16"/>
          <w:color w:val="auto"/>
        </w:rPr>
        <w:t>became such, or (ii) a majority of the Board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17, 1998 between the Company and Harris Trust and Savings Bank. Notwithstanding the foregoing, if a Restricted Stock Unit (2010 Grant) granted under this Plan is or becomes subject to Section 409A of the Code, then with respect to such Restricted Stock Unit, “Change in Control (2010 Grant)” means a change in control event as to the Company, as defined in Section 409A of the Code and the regulations thereunder.</w:t>
      </w:r>
    </w:p>
    <w:p>
      <w:pPr>
        <w:spacing w:after="0" w:line="167" w:lineRule="exact"/>
        <w:rPr>
          <w:sz w:val="20"/>
          <w:szCs w:val="20"/>
          <w:color w:val="auto"/>
        </w:rPr>
      </w:pPr>
    </w:p>
    <w:p>
      <w:pPr>
        <w:ind w:left="710" w:hanging="710"/>
        <w:spacing w:after="0"/>
        <w:tabs>
          <w:tab w:leader="none" w:pos="7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 (Post-2010 Grant)</w:t>
      </w:r>
      <w:r>
        <w:rPr>
          <w:rFonts w:ascii="Arial" w:cs="Arial" w:eastAsia="Arial" w:hAnsi="Arial"/>
          <w:sz w:val="18"/>
          <w:szCs w:val="18"/>
          <w:color w:val="auto"/>
        </w:rPr>
        <w:t>” shall mean an event that will be deemed to have occurred:</w:t>
      </w:r>
    </w:p>
    <w:p>
      <w:pPr>
        <w:spacing w:after="0" w:line="225" w:lineRule="exact"/>
        <w:rPr>
          <w:rFonts w:ascii="Arial" w:cs="Arial" w:eastAsia="Arial" w:hAnsi="Arial"/>
          <w:sz w:val="18"/>
          <w:szCs w:val="18"/>
          <w:color w:val="auto"/>
        </w:rPr>
      </w:pPr>
    </w:p>
    <w:p>
      <w:pPr>
        <w:ind w:left="1410" w:hanging="694"/>
        <w:spacing w:after="0" w:line="254" w:lineRule="auto"/>
        <w:tabs>
          <w:tab w:leader="none" w:pos="141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On the date any Person, other than (i) the Company or any of its Subsidiaries, (ii) a trustee or other fiduciary holding stock under an employee benefit plan of the Company or any of its Affiliates, (iii) an underwriter temporarily holding stock pursuant to an offering of such stock, or (iv)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 (Post-2010 Grant);</w:t>
      </w:r>
    </w:p>
    <w:p>
      <w:pPr>
        <w:spacing w:after="0" w:line="192" w:lineRule="exact"/>
        <w:rPr>
          <w:rFonts w:ascii="Arial" w:cs="Arial" w:eastAsia="Arial" w:hAnsi="Arial"/>
          <w:sz w:val="18"/>
          <w:szCs w:val="18"/>
          <w:color w:val="auto"/>
        </w:rPr>
      </w:pPr>
    </w:p>
    <w:p>
      <w:pPr>
        <w:ind w:left="1410" w:right="400" w:hanging="694"/>
        <w:spacing w:after="0" w:line="308" w:lineRule="auto"/>
        <w:tabs>
          <w:tab w:leader="none" w:pos="1410" w:val="left"/>
        </w:tabs>
        <w:numPr>
          <w:ilvl w:val="1"/>
          <w:numId w:val="73"/>
        </w:numPr>
        <w:rPr>
          <w:rFonts w:ascii="Arial" w:cs="Arial" w:eastAsia="Arial" w:hAnsi="Arial"/>
          <w:sz w:val="17"/>
          <w:szCs w:val="17"/>
          <w:color w:val="auto"/>
        </w:rPr>
      </w:pPr>
      <w:r>
        <w:rPr>
          <w:rFonts w:ascii="Arial" w:cs="Arial" w:eastAsia="Arial" w:hAnsi="Arial"/>
          <w:sz w:val="17"/>
          <w:szCs w:val="17"/>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146" w:lineRule="exact"/>
        <w:rPr>
          <w:rFonts w:ascii="Arial" w:cs="Arial" w:eastAsia="Arial" w:hAnsi="Arial"/>
          <w:sz w:val="17"/>
          <w:szCs w:val="17"/>
          <w:color w:val="auto"/>
        </w:rPr>
      </w:pPr>
    </w:p>
    <w:p>
      <w:pPr>
        <w:ind w:left="1410" w:right="180" w:hanging="694"/>
        <w:spacing w:after="0" w:line="270" w:lineRule="auto"/>
        <w:tabs>
          <w:tab w:leader="none" w:pos="1410" w:val="left"/>
        </w:tabs>
        <w:numPr>
          <w:ilvl w:val="1"/>
          <w:numId w:val="73"/>
        </w:numPr>
        <w:rPr>
          <w:rFonts w:ascii="Arial" w:cs="Arial" w:eastAsia="Arial" w:hAnsi="Arial"/>
          <w:sz w:val="17"/>
          <w:szCs w:val="17"/>
          <w:color w:val="auto"/>
        </w:rPr>
      </w:pPr>
      <w:r>
        <w:rPr>
          <w:rFonts w:ascii="Arial" w:cs="Arial" w:eastAsia="Arial" w:hAnsi="Arial"/>
          <w:sz w:val="17"/>
          <w:szCs w:val="17"/>
          <w:color w:val="auto"/>
        </w:rPr>
        <w:t>On the date any Person acquires (or has acquired during the 12-month period ending on the date of the most recent acquisition by such Person) assets from the Company that have a total gross fair market value equal to or more than 80 percent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(Post-2010 Grant) when there is such a sale or transfer to (i) a stockholder of the Company (immediately before the asset transfer) in exchange for or with respect to the Company’s then outstanding stock; (ii) an entity, at least 50 percent of the total value or voting power of the stock of which is owned, directly or indirectly, by the Company; (iii) a Person that owns, directly or indirectly, at least 50 percent of the total value or voting power of</w:t>
      </w:r>
    </w:p>
    <w:p>
      <w:pPr>
        <w:spacing w:after="0" w:line="182" w:lineRule="exact"/>
        <w:rPr>
          <w:sz w:val="20"/>
          <w:szCs w:val="20"/>
          <w:color w:val="auto"/>
        </w:rPr>
      </w:pPr>
    </w:p>
    <w:p>
      <w:pPr>
        <w:ind w:left="3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10"/>
          </w:cols>
          <w:pgMar w:left="950" w:top="341" w:right="239" w:bottom="1440" w:gutter="0" w:footer="0" w:header="0"/>
        </w:sectPr>
      </w:pPr>
    </w:p>
    <w:bookmarkStart w:id="83" w:name="page84"/>
    <w:bookmarkEnd w:id="83"/>
    <w:p>
      <w:pPr>
        <w:ind w:left="2112"/>
        <w:spacing w:after="0" w:line="264" w:lineRule="auto"/>
        <w:rPr>
          <w:sz w:val="20"/>
          <w:szCs w:val="20"/>
          <w:color w:val="auto"/>
        </w:rPr>
      </w:pPr>
      <w:r>
        <w:rPr>
          <w:rFonts w:ascii="Arial" w:cs="Arial" w:eastAsia="Arial" w:hAnsi="Arial"/>
          <w:sz w:val="18"/>
          <w:szCs w:val="18"/>
          <w:color w:val="auto"/>
        </w:rPr>
        <w:t>the outstanding stock of the Company; or (iv) an entity, at least 50 percent of the total value or voting power of the stock of which is owned, directly or indirectly, by a Person that owns, directly or indirectly, at least 50 percent of the total value or voting power of the outstanding stock of the Company.</w:t>
      </w:r>
    </w:p>
    <w:p>
      <w:pPr>
        <w:spacing w:after="0" w:line="181" w:lineRule="exact"/>
        <w:rPr>
          <w:sz w:val="20"/>
          <w:szCs w:val="20"/>
          <w:color w:val="auto"/>
        </w:rPr>
      </w:pPr>
    </w:p>
    <w:p>
      <w:pPr>
        <w:ind w:left="2112" w:hanging="694"/>
        <w:spacing w:after="0"/>
        <w:tabs>
          <w:tab w:leader="none" w:pos="2112" w:val="left"/>
        </w:tabs>
        <w:numPr>
          <w:ilvl w:val="1"/>
          <w:numId w:val="74"/>
        </w:numPr>
        <w:rPr>
          <w:rFonts w:ascii="Arial" w:cs="Arial" w:eastAsia="Arial" w:hAnsi="Arial"/>
          <w:sz w:val="18"/>
          <w:szCs w:val="18"/>
          <w:color w:val="auto"/>
        </w:rPr>
      </w:pPr>
      <w:r>
        <w:rPr>
          <w:rFonts w:ascii="Arial" w:cs="Arial" w:eastAsia="Arial" w:hAnsi="Arial"/>
          <w:sz w:val="18"/>
          <w:szCs w:val="18"/>
          <w:color w:val="auto"/>
        </w:rPr>
        <w:t>For purposes of (A), (B) and (C) of this Section 2(g)(ii):</w:t>
      </w:r>
    </w:p>
    <w:p>
      <w:pPr>
        <w:spacing w:after="0" w:line="225" w:lineRule="exact"/>
        <w:rPr>
          <w:rFonts w:ascii="Arial" w:cs="Arial" w:eastAsia="Arial" w:hAnsi="Arial"/>
          <w:sz w:val="18"/>
          <w:szCs w:val="18"/>
          <w:color w:val="auto"/>
        </w:rPr>
      </w:pPr>
    </w:p>
    <w:p>
      <w:pPr>
        <w:ind w:left="2832" w:right="220" w:hanging="698"/>
        <w:spacing w:after="0" w:line="277" w:lineRule="auto"/>
        <w:tabs>
          <w:tab w:leader="none" w:pos="2832" w:val="left"/>
        </w:tabs>
        <w:numPr>
          <w:ilvl w:val="2"/>
          <w:numId w:val="74"/>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promulgated under Section 12 of the Securities Exchange Act of 1934, as amended;</w:t>
      </w:r>
    </w:p>
    <w:p>
      <w:pPr>
        <w:spacing w:after="0" w:line="170" w:lineRule="exact"/>
        <w:rPr>
          <w:rFonts w:ascii="Arial" w:cs="Arial" w:eastAsia="Arial" w:hAnsi="Arial"/>
          <w:sz w:val="18"/>
          <w:szCs w:val="18"/>
          <w:color w:val="auto"/>
        </w:rPr>
      </w:pPr>
    </w:p>
    <w:p>
      <w:pPr>
        <w:ind w:left="2832" w:right="100" w:hanging="698"/>
        <w:spacing w:after="0" w:line="342" w:lineRule="auto"/>
        <w:tabs>
          <w:tab w:leader="none" w:pos="2832" w:val="left"/>
        </w:tabs>
        <w:numPr>
          <w:ilvl w:val="2"/>
          <w:numId w:val="74"/>
        </w:numPr>
        <w:rPr>
          <w:rFonts w:ascii="Arial" w:cs="Arial" w:eastAsia="Arial" w:hAnsi="Arial"/>
          <w:sz w:val="16"/>
          <w:szCs w:val="16"/>
          <w:color w:val="auto"/>
        </w:rPr>
      </w:pPr>
      <w:r>
        <w:rPr>
          <w:rFonts w:ascii="Arial" w:cs="Arial" w:eastAsia="Arial" w:hAnsi="Arial"/>
          <w:sz w:val="16"/>
          <w:szCs w:val="16"/>
          <w:color w:val="auto"/>
        </w:rPr>
        <w:t>“Person” shall have the meaning given in Section 7701(a)(1) of the Code. Person shall include more than one Person acting as a group as defined by the Final Treasury Regulations issued under Section 409A of the Code; and</w:t>
      </w:r>
    </w:p>
    <w:p>
      <w:pPr>
        <w:spacing w:after="0" w:line="123" w:lineRule="exact"/>
        <w:rPr>
          <w:rFonts w:ascii="Arial" w:cs="Arial" w:eastAsia="Arial" w:hAnsi="Arial"/>
          <w:sz w:val="16"/>
          <w:szCs w:val="16"/>
          <w:color w:val="auto"/>
        </w:rPr>
      </w:pPr>
    </w:p>
    <w:p>
      <w:pPr>
        <w:ind w:left="2832" w:right="240" w:hanging="698"/>
        <w:spacing w:after="0" w:line="264" w:lineRule="auto"/>
        <w:tabs>
          <w:tab w:leader="none" w:pos="2832" w:val="left"/>
        </w:tabs>
        <w:numPr>
          <w:ilvl w:val="2"/>
          <w:numId w:val="74"/>
        </w:numPr>
        <w:rPr>
          <w:rFonts w:ascii="Arial" w:cs="Arial" w:eastAsia="Arial" w:hAnsi="Arial"/>
          <w:sz w:val="18"/>
          <w:szCs w:val="18"/>
          <w:color w:val="auto"/>
        </w:rPr>
      </w:pPr>
      <w:r>
        <w:rPr>
          <w:rFonts w:ascii="Arial" w:cs="Arial" w:eastAsia="Arial" w:hAnsi="Arial"/>
          <w:sz w:val="18"/>
          <w:szCs w:val="18"/>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181" w:lineRule="exact"/>
        <w:rPr>
          <w:rFonts w:ascii="Arial" w:cs="Arial" w:eastAsia="Arial" w:hAnsi="Arial"/>
          <w:sz w:val="18"/>
          <w:szCs w:val="18"/>
          <w:color w:val="auto"/>
        </w:rPr>
      </w:pPr>
    </w:p>
    <w:p>
      <w:pPr>
        <w:ind w:left="2112" w:right="20" w:hanging="694"/>
        <w:spacing w:after="0" w:line="264" w:lineRule="auto"/>
        <w:tabs>
          <w:tab w:leader="none" w:pos="2112"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Notwithstanding the foregoing, in no case will an event in (A), (B) or (C) of this Section 2(g)(ii) be treated as a Change in Control (Post-2010 Grant) unless such event also constitutes a “change in control event” with respect to the Company within the meaning of Treas. Reg. § 1.409A-3(i)(5) or any successor provision.</w:t>
      </w:r>
    </w:p>
    <w:p>
      <w:pPr>
        <w:spacing w:after="0" w:line="181" w:lineRule="exact"/>
        <w:rPr>
          <w:rFonts w:ascii="Arial" w:cs="Arial" w:eastAsia="Arial" w:hAnsi="Arial"/>
          <w:sz w:val="18"/>
          <w:szCs w:val="18"/>
          <w:color w:val="auto"/>
        </w:rPr>
      </w:pPr>
    </w:p>
    <w:p>
      <w:pPr>
        <w:ind w:left="692" w:hanging="692"/>
        <w:spacing w:after="0"/>
        <w:tabs>
          <w:tab w:leader="none" w:pos="692"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rFonts w:ascii="Arial" w:cs="Arial" w:eastAsia="Arial" w:hAnsi="Arial"/>
          <w:sz w:val="18"/>
          <w:szCs w:val="18"/>
          <w:color w:val="auto"/>
        </w:rPr>
      </w:pPr>
    </w:p>
    <w:p>
      <w:pPr>
        <w:ind w:left="712" w:hanging="712"/>
        <w:spacing w:after="0"/>
        <w:tabs>
          <w:tab w:leader="none" w:pos="712"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Texas Instruments Incorporated, together with any successor thereto.</w:t>
      </w:r>
    </w:p>
    <w:p>
      <w:pPr>
        <w:spacing w:after="0" w:line="225" w:lineRule="exact"/>
        <w:rPr>
          <w:rFonts w:ascii="Arial" w:cs="Arial" w:eastAsia="Arial" w:hAnsi="Arial"/>
          <w:sz w:val="18"/>
          <w:szCs w:val="18"/>
          <w:color w:val="auto"/>
        </w:rPr>
      </w:pPr>
    </w:p>
    <w:p>
      <w:pPr>
        <w:ind w:left="712" w:right="580" w:hanging="712"/>
        <w:spacing w:after="0" w:line="277" w:lineRule="auto"/>
        <w:tabs>
          <w:tab w:leader="none" w:pos="712"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“Deferred Cash Compensation” </w:t>
      </w:r>
      <w:r>
        <w:rPr>
          <w:rFonts w:ascii="Arial" w:cs="Arial" w:eastAsia="Arial" w:hAnsi="Arial"/>
          <w:sz w:val="18"/>
          <w:szCs w:val="18"/>
          <w:color w:val="auto"/>
        </w:rPr>
        <w:t>means that portion of any Director’s Eligible Compensation that is payable in cash and that he or she elects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11(a) to be deferred in accordance with this Plan.</w:t>
      </w:r>
    </w:p>
    <w:p>
      <w:pPr>
        <w:spacing w:after="0" w:line="170" w:lineRule="exact"/>
        <w:rPr>
          <w:rFonts w:ascii="Arial" w:cs="Arial" w:eastAsia="Arial" w:hAnsi="Arial"/>
          <w:sz w:val="18"/>
          <w:szCs w:val="18"/>
          <w:color w:val="auto"/>
        </w:rPr>
      </w:pPr>
    </w:p>
    <w:p>
      <w:pPr>
        <w:ind w:left="712" w:right="40" w:hanging="712"/>
        <w:spacing w:after="0" w:line="277" w:lineRule="auto"/>
        <w:tabs>
          <w:tab w:leader="none" w:pos="712"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11(a) to be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this Plan.</w:t>
      </w:r>
    </w:p>
    <w:p>
      <w:pPr>
        <w:spacing w:after="0" w:line="170" w:lineRule="exact"/>
        <w:rPr>
          <w:rFonts w:ascii="Arial" w:cs="Arial" w:eastAsia="Arial" w:hAnsi="Arial"/>
          <w:sz w:val="18"/>
          <w:szCs w:val="18"/>
          <w:color w:val="auto"/>
        </w:rPr>
      </w:pPr>
    </w:p>
    <w:p>
      <w:pPr>
        <w:ind w:left="712" w:right="240" w:hanging="712"/>
        <w:spacing w:after="0" w:line="277" w:lineRule="auto"/>
        <w:tabs>
          <w:tab w:leader="none" w:pos="712"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Account” </w:t>
      </w:r>
      <w:r>
        <w:rPr>
          <w:rFonts w:ascii="Arial" w:cs="Arial" w:eastAsia="Arial" w:hAnsi="Arial"/>
          <w:sz w:val="18"/>
          <w:szCs w:val="18"/>
          <w:color w:val="auto"/>
        </w:rPr>
        <w:t>means a Cash Account or Stock Unit Account containing amounts earned and deferred under this Plan or the</w:t>
      </w:r>
      <w:r>
        <w:rPr>
          <w:rFonts w:ascii="Arial" w:cs="Arial" w:eastAsia="Arial" w:hAnsi="Arial"/>
          <w:sz w:val="18"/>
          <w:szCs w:val="18"/>
          <w:i w:val="1"/>
          <w:iCs w:val="1"/>
          <w:color w:val="auto"/>
        </w:rPr>
        <w:t xml:space="preserve"> </w:t>
      </w:r>
      <w:r>
        <w:rPr>
          <w:rFonts w:ascii="Arial" w:cs="Arial" w:eastAsia="Arial" w:hAnsi="Arial"/>
          <w:sz w:val="18"/>
          <w:szCs w:val="18"/>
          <w:color w:val="auto"/>
        </w:rPr>
        <w:t>2003 Plan and Restricted Stock Units, the receipt of which a Director has elected to defer.</w:t>
      </w:r>
    </w:p>
    <w:p>
      <w:pPr>
        <w:spacing w:after="0" w:line="170" w:lineRule="exact"/>
        <w:rPr>
          <w:rFonts w:ascii="Arial" w:cs="Arial" w:eastAsia="Arial" w:hAnsi="Arial"/>
          <w:sz w:val="18"/>
          <w:szCs w:val="18"/>
          <w:color w:val="auto"/>
        </w:rPr>
      </w:pPr>
    </w:p>
    <w:p>
      <w:pPr>
        <w:ind w:left="712" w:hanging="712"/>
        <w:spacing w:after="0"/>
        <w:tabs>
          <w:tab w:leader="none" w:pos="712"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225" w:lineRule="exact"/>
        <w:rPr>
          <w:rFonts w:ascii="Arial" w:cs="Arial" w:eastAsia="Arial" w:hAnsi="Arial"/>
          <w:sz w:val="18"/>
          <w:szCs w:val="18"/>
          <w:color w:val="auto"/>
        </w:rPr>
      </w:pPr>
    </w:p>
    <w:p>
      <w:pPr>
        <w:ind w:left="712" w:hanging="712"/>
        <w:spacing w:after="0"/>
        <w:tabs>
          <w:tab w:leader="none" w:pos="712"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this Plan is approved by stockholders of the Company.</w:t>
      </w:r>
    </w:p>
    <w:p>
      <w:pPr>
        <w:spacing w:after="0" w:line="225" w:lineRule="exact"/>
        <w:rPr>
          <w:rFonts w:ascii="Arial" w:cs="Arial" w:eastAsia="Arial" w:hAnsi="Arial"/>
          <w:sz w:val="18"/>
          <w:szCs w:val="18"/>
          <w:color w:val="auto"/>
        </w:rPr>
      </w:pPr>
    </w:p>
    <w:p>
      <w:pPr>
        <w:ind w:left="712" w:right="60" w:hanging="712"/>
        <w:spacing w:after="0" w:line="277" w:lineRule="auto"/>
        <w:tabs>
          <w:tab w:leader="none" w:pos="712"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Compensation</w:t>
      </w:r>
      <w:r>
        <w:rPr>
          <w:rFonts w:ascii="Arial" w:cs="Arial" w:eastAsia="Arial" w:hAnsi="Arial"/>
          <w:sz w:val="18"/>
          <w:szCs w:val="18"/>
          <w:color w:val="auto"/>
        </w:rPr>
        <w:t>” means (i) the cash portion of any compensation payable by the Company to a Director for his or her services as a Director but</w:t>
      </w:r>
    </w:p>
    <w:p>
      <w:pPr>
        <w:spacing w:after="0" w:line="170" w:lineRule="exact"/>
        <w:rPr>
          <w:sz w:val="20"/>
          <w:szCs w:val="20"/>
          <w:color w:val="auto"/>
        </w:rPr>
      </w:pPr>
    </w:p>
    <w:p>
      <w:pPr>
        <w:ind w:left="73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84" w:name="page85"/>
    <w:bookmarkEnd w:id="84"/>
    <w:p>
      <w:pPr>
        <w:ind w:left="712" w:right="60"/>
        <w:spacing w:after="0" w:line="259" w:lineRule="auto"/>
        <w:rPr>
          <w:sz w:val="20"/>
          <w:szCs w:val="20"/>
          <w:color w:val="auto"/>
        </w:rPr>
      </w:pPr>
      <w:r>
        <w:rPr>
          <w:rFonts w:ascii="Arial" w:cs="Arial" w:eastAsia="Arial" w:hAnsi="Arial"/>
          <w:sz w:val="18"/>
          <w:szCs w:val="18"/>
          <w:color w:val="auto"/>
        </w:rPr>
        <w:t>shall not include any reimbursement by the Company of expenses incurred by a Director incidental to attendance at a meeting of the Company’s stockholders, the Board, or any committee of the Board, or of any other expense incurred on behalf of the Company, (ii) any Restricted Stock Units granted by the Company to a Director for his or her services as a Director, and (iii) any dividend equivalents paid on Restricted Stock Units pursuant to Section 9(d).</w:t>
      </w:r>
    </w:p>
    <w:p>
      <w:pPr>
        <w:spacing w:after="0" w:line="187" w:lineRule="exact"/>
        <w:rPr>
          <w:sz w:val="20"/>
          <w:szCs w:val="20"/>
          <w:color w:val="auto"/>
        </w:rPr>
      </w:pPr>
    </w:p>
    <w:p>
      <w:pPr>
        <w:jc w:val="both"/>
        <w:ind w:left="712" w:right="80" w:hanging="712"/>
        <w:spacing w:after="0" w:line="264" w:lineRule="auto"/>
        <w:tabs>
          <w:tab w:leader="none" w:pos="712"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the closing price of the Shares on the date specified (or, if there is no trading on The NASDAQ Stock Market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then on the first previous date on which there is such trading) as reported by WSJ.com or Bloomberg L.P.</w:t>
      </w:r>
      <w:r>
        <w:rPr>
          <w:rFonts w:ascii="Arial" w:cs="Arial" w:eastAsia="Arial" w:hAnsi="Arial"/>
          <w:sz w:val="18"/>
          <w:szCs w:val="18"/>
          <w:i w:val="1"/>
          <w:iCs w:val="1"/>
          <w:color w:val="auto"/>
        </w:rPr>
        <w:t>,</w:t>
      </w:r>
      <w:r>
        <w:rPr>
          <w:rFonts w:ascii="Arial" w:cs="Arial" w:eastAsia="Arial" w:hAnsi="Arial"/>
          <w:sz w:val="18"/>
          <w:szCs w:val="18"/>
          <w:color w:val="auto"/>
        </w:rPr>
        <w:t xml:space="preserve"> or if unavailable, then by reference to any other source as may be deemed appropriate by the G&amp;SR Committee.</w:t>
      </w:r>
    </w:p>
    <w:p>
      <w:pPr>
        <w:spacing w:after="0" w:line="181" w:lineRule="exact"/>
        <w:rPr>
          <w:rFonts w:ascii="Arial" w:cs="Arial" w:eastAsia="Arial" w:hAnsi="Arial"/>
          <w:sz w:val="18"/>
          <w:szCs w:val="18"/>
          <w:color w:val="auto"/>
        </w:rPr>
      </w:pPr>
    </w:p>
    <w:p>
      <w:pPr>
        <w:ind w:left="712" w:hanging="712"/>
        <w:spacing w:after="0"/>
        <w:tabs>
          <w:tab w:leader="none" w:pos="712"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“G&amp;SR Committee” </w:t>
      </w:r>
      <w:r>
        <w:rPr>
          <w:rFonts w:ascii="Arial" w:cs="Arial" w:eastAsia="Arial" w:hAnsi="Arial"/>
          <w:sz w:val="18"/>
          <w:szCs w:val="18"/>
          <w:color w:val="auto"/>
        </w:rPr>
        <w:t>means the Governance and Stockholder Relations Committee of the Board or any successor committee.</w:t>
      </w:r>
    </w:p>
    <w:p>
      <w:pPr>
        <w:spacing w:after="0" w:line="225" w:lineRule="exact"/>
        <w:rPr>
          <w:rFonts w:ascii="Arial" w:cs="Arial" w:eastAsia="Arial" w:hAnsi="Arial"/>
          <w:sz w:val="18"/>
          <w:szCs w:val="18"/>
          <w:color w:val="auto"/>
        </w:rPr>
      </w:pPr>
    </w:p>
    <w:p>
      <w:pPr>
        <w:ind w:left="712" w:right="280" w:hanging="712"/>
        <w:spacing w:after="0" w:line="277" w:lineRule="auto"/>
        <w:tabs>
          <w:tab w:leader="none" w:pos="712"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this Plan to purchase Shares on the terms and conditions set forth in the Plan and the applicable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rFonts w:ascii="Arial" w:cs="Arial" w:eastAsia="Arial" w:hAnsi="Arial"/>
          <w:sz w:val="18"/>
          <w:szCs w:val="18"/>
          <w:color w:val="auto"/>
        </w:rPr>
      </w:pPr>
    </w:p>
    <w:p>
      <w:pPr>
        <w:ind w:left="712" w:hanging="712"/>
        <w:spacing w:after="0"/>
        <w:tabs>
          <w:tab w:leader="none" w:pos="712"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2009 Director Compensation Plan.</w:t>
      </w:r>
    </w:p>
    <w:p>
      <w:pPr>
        <w:spacing w:after="0" w:line="225" w:lineRule="exact"/>
        <w:rPr>
          <w:rFonts w:ascii="Arial" w:cs="Arial" w:eastAsia="Arial" w:hAnsi="Arial"/>
          <w:sz w:val="18"/>
          <w:szCs w:val="18"/>
          <w:color w:val="auto"/>
        </w:rPr>
      </w:pPr>
    </w:p>
    <w:p>
      <w:pPr>
        <w:ind w:left="712" w:right="80" w:hanging="712"/>
        <w:spacing w:after="0" w:line="277" w:lineRule="auto"/>
        <w:tabs>
          <w:tab w:leader="none" w:pos="712"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this Plan that is denominated in Shares, each of which represents a right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 Share on the terms and conditions set forth in the Plan and the applicable Award Agreement.</w:t>
      </w:r>
    </w:p>
    <w:p>
      <w:pPr>
        <w:spacing w:after="0" w:line="170" w:lineRule="exact"/>
        <w:rPr>
          <w:rFonts w:ascii="Arial" w:cs="Arial" w:eastAsia="Arial" w:hAnsi="Arial"/>
          <w:sz w:val="18"/>
          <w:szCs w:val="18"/>
          <w:color w:val="auto"/>
        </w:rPr>
      </w:pPr>
    </w:p>
    <w:p>
      <w:pPr>
        <w:ind w:left="712" w:right="120" w:hanging="712"/>
        <w:spacing w:after="0" w:line="277" w:lineRule="auto"/>
        <w:tabs>
          <w:tab w:leader="none" w:pos="7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 (2010 Grant)</w:t>
      </w:r>
      <w:r>
        <w:rPr>
          <w:rFonts w:ascii="Arial" w:cs="Arial" w:eastAsia="Arial" w:hAnsi="Arial"/>
          <w:sz w:val="18"/>
          <w:szCs w:val="18"/>
          <w:color w:val="auto"/>
        </w:rPr>
        <w:t>” means a Restricted Stock Unit granted on or before January 28, 2010, to a Director of the Company who is a Director on December 3, 2009.</w:t>
      </w:r>
    </w:p>
    <w:p>
      <w:pPr>
        <w:spacing w:after="0" w:line="170" w:lineRule="exact"/>
        <w:rPr>
          <w:rFonts w:ascii="Arial" w:cs="Arial" w:eastAsia="Arial" w:hAnsi="Arial"/>
          <w:sz w:val="18"/>
          <w:szCs w:val="18"/>
          <w:color w:val="auto"/>
        </w:rPr>
      </w:pPr>
    </w:p>
    <w:p>
      <w:pPr>
        <w:ind w:left="732" w:hanging="732"/>
        <w:spacing w:after="0"/>
        <w:tabs>
          <w:tab w:leader="none" w:pos="732"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225" w:lineRule="exact"/>
        <w:rPr>
          <w:rFonts w:ascii="Arial" w:cs="Arial" w:eastAsia="Arial" w:hAnsi="Arial"/>
          <w:sz w:val="18"/>
          <w:szCs w:val="18"/>
          <w:color w:val="auto"/>
        </w:rPr>
      </w:pPr>
    </w:p>
    <w:p>
      <w:pPr>
        <w:ind w:left="712" w:hanging="712"/>
        <w:spacing w:after="0" w:line="255" w:lineRule="auto"/>
        <w:tabs>
          <w:tab w:leader="none" w:pos="7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 from Service”</w:t>
      </w:r>
      <w:r>
        <w:rPr>
          <w:rFonts w:ascii="Arial" w:cs="Arial" w:eastAsia="Arial" w:hAnsi="Arial"/>
          <w:sz w:val="18"/>
          <w:szCs w:val="18"/>
          <w:color w:val="auto"/>
        </w:rPr>
        <w:t xml:space="preserve"> means a termination of services provided by a Participant as a member of the Board or of the board of directors of any other member of the controlled group of corporations (as defined in Section 414(b) of the Code) which includes the Company (for purposes of this Section 2(x), the controlled group members other than the Company are referred to collectively as “ERISA Affiliates”), whether such termination is voluntary or involuntary, as determined by the Administrator in accordance with Treas. Reg. §1.409A-1(h). In determining whether a Participant has experienced a Separation from Service as a member of the Board or of a board of directors of an ERISA Affiliate, the following provisions shall apply:</w:t>
      </w:r>
    </w:p>
    <w:p>
      <w:pPr>
        <w:spacing w:after="0" w:line="193" w:lineRule="exact"/>
        <w:rPr>
          <w:rFonts w:ascii="Arial" w:cs="Arial" w:eastAsia="Arial" w:hAnsi="Arial"/>
          <w:sz w:val="18"/>
          <w:szCs w:val="18"/>
          <w:color w:val="auto"/>
        </w:rPr>
      </w:pPr>
    </w:p>
    <w:p>
      <w:pPr>
        <w:ind w:left="1412" w:right="20" w:hanging="710"/>
        <w:spacing w:after="0" w:line="259" w:lineRule="auto"/>
        <w:tabs>
          <w:tab w:leader="none" w:pos="1412"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a Director also provides services to the Company or any ERISA Affiliate as an employee at the time of his Separation from Service as a member of the Board, the services such Participant provides as an employee shall not be taken into account in determining whether the Participant has a Separation from Service as a Director for purposes of this Plan (provided that this Plan is not, at the time of such determination, aggregated under</w:t>
      </w:r>
    </w:p>
    <w:p>
      <w:pPr>
        <w:spacing w:after="0" w:line="187" w:lineRule="exact"/>
        <w:rPr>
          <w:sz w:val="20"/>
          <w:szCs w:val="20"/>
          <w:color w:val="auto"/>
        </w:rPr>
      </w:pPr>
    </w:p>
    <w:p>
      <w:pPr>
        <w:ind w:left="73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85" w:name="page86"/>
    <w:bookmarkEnd w:id="85"/>
    <w:p>
      <w:pPr>
        <w:ind w:left="1412"/>
        <w:spacing w:after="0"/>
        <w:rPr>
          <w:sz w:val="20"/>
          <w:szCs w:val="20"/>
          <w:color w:val="auto"/>
        </w:rPr>
      </w:pPr>
      <w:r>
        <w:rPr>
          <w:rFonts w:ascii="Arial" w:cs="Arial" w:eastAsia="Arial" w:hAnsi="Arial"/>
          <w:sz w:val="18"/>
          <w:szCs w:val="18"/>
          <w:color w:val="auto"/>
        </w:rPr>
        <w:t>Treas. Reg. §1.409A-1(c)(2)(ii) with any plan in which the Participant participates as an employee).</w:t>
      </w:r>
    </w:p>
    <w:p>
      <w:pPr>
        <w:spacing w:after="0" w:line="225" w:lineRule="exact"/>
        <w:rPr>
          <w:sz w:val="20"/>
          <w:szCs w:val="20"/>
          <w:color w:val="auto"/>
        </w:rPr>
      </w:pPr>
    </w:p>
    <w:p>
      <w:pPr>
        <w:ind w:left="1412" w:right="140" w:hanging="710"/>
        <w:spacing w:after="0" w:line="259" w:lineRule="auto"/>
        <w:tabs>
          <w:tab w:leader="none" w:pos="1412"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Participant shall be considered to have experienced a termination of services when the facts and circumstances indicate that the Participant, the Company and each ERISA Affiliate reasonably anticipate that the Participant will perform no further services for the Company or any ERISA Affiliate as a member of the Board (or the board of directors of any ERISA Affiliate), and the Participant’s term as a member of the Board has expired.</w:t>
      </w:r>
    </w:p>
    <w:p>
      <w:pPr>
        <w:spacing w:after="0" w:line="186" w:lineRule="exact"/>
        <w:rPr>
          <w:rFonts w:ascii="Arial" w:cs="Arial" w:eastAsia="Arial" w:hAnsi="Arial"/>
          <w:sz w:val="18"/>
          <w:szCs w:val="18"/>
          <w:color w:val="auto"/>
        </w:rPr>
      </w:pPr>
    </w:p>
    <w:p>
      <w:pPr>
        <w:ind w:left="1412" w:right="200" w:hanging="710"/>
        <w:spacing w:after="0" w:line="264" w:lineRule="auto"/>
        <w:tabs>
          <w:tab w:leader="none" w:pos="1412"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a Director is also providing additional services to the Company as an independent contractor, he or she cannot have a Separation from Service for purposes of Section 409A of the Code until he or she has separated from service both as a Director and as an independent contractor.</w:t>
      </w:r>
    </w:p>
    <w:p>
      <w:pPr>
        <w:spacing w:after="0" w:line="181" w:lineRule="exact"/>
        <w:rPr>
          <w:rFonts w:ascii="Arial" w:cs="Arial" w:eastAsia="Arial" w:hAnsi="Arial"/>
          <w:sz w:val="18"/>
          <w:szCs w:val="18"/>
          <w:color w:val="auto"/>
        </w:rPr>
      </w:pPr>
    </w:p>
    <w:p>
      <w:pPr>
        <w:ind w:left="712" w:hanging="712"/>
        <w:spacing w:after="0"/>
        <w:tabs>
          <w:tab w:leader="none" w:pos="712"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225" w:lineRule="exact"/>
        <w:rPr>
          <w:rFonts w:ascii="Arial" w:cs="Arial" w:eastAsia="Arial" w:hAnsi="Arial"/>
          <w:sz w:val="18"/>
          <w:szCs w:val="18"/>
          <w:color w:val="auto"/>
        </w:rPr>
      </w:pPr>
    </w:p>
    <w:p>
      <w:pPr>
        <w:ind w:left="712" w:hanging="712"/>
        <w:spacing w:after="0" w:line="264" w:lineRule="auto"/>
        <w:tabs>
          <w:tab w:leader="none" w:pos="712"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means any Participant who is determined to be a “key employee” (as defined under Section 416(i) of the Code without regard</w:t>
      </w:r>
      <w:r>
        <w:rPr>
          <w:rFonts w:ascii="Arial" w:cs="Arial" w:eastAsia="Arial" w:hAnsi="Arial"/>
          <w:sz w:val="18"/>
          <w:szCs w:val="18"/>
          <w:i w:val="1"/>
          <w:iCs w:val="1"/>
          <w:color w:val="auto"/>
        </w:rPr>
        <w:t xml:space="preserve"> </w:t>
      </w:r>
      <w:r>
        <w:rPr>
          <w:rFonts w:ascii="Arial" w:cs="Arial" w:eastAsia="Arial" w:hAnsi="Arial"/>
          <w:sz w:val="18"/>
          <w:szCs w:val="18"/>
          <w:color w:val="auto"/>
        </w:rPr>
        <w:t>to paragraph (5) thereof) for the applicable period, as determined annually by the Administrator in accordance with Treas. Reg. §1.409A-1(i). In determining whether a Participant is a Specified Employee, the following provisions shall apply:</w:t>
      </w:r>
    </w:p>
    <w:p>
      <w:pPr>
        <w:spacing w:after="0" w:line="181" w:lineRule="exact"/>
        <w:rPr>
          <w:rFonts w:ascii="Arial" w:cs="Arial" w:eastAsia="Arial" w:hAnsi="Arial"/>
          <w:sz w:val="18"/>
          <w:szCs w:val="18"/>
          <w:color w:val="auto"/>
        </w:rPr>
      </w:pPr>
    </w:p>
    <w:p>
      <w:pPr>
        <w:ind w:left="1412" w:right="380" w:hanging="710"/>
        <w:spacing w:after="0" w:line="276" w:lineRule="auto"/>
        <w:tabs>
          <w:tab w:leader="none" w:pos="1412" w:val="left"/>
        </w:tabs>
        <w:numPr>
          <w:ilvl w:val="1"/>
          <w:numId w:val="78"/>
        </w:numPr>
        <w:rPr>
          <w:rFonts w:ascii="Arial" w:cs="Arial" w:eastAsia="Arial" w:hAnsi="Arial"/>
          <w:sz w:val="17"/>
          <w:szCs w:val="17"/>
          <w:color w:val="auto"/>
        </w:rPr>
      </w:pPr>
      <w:r>
        <w:rPr>
          <w:rFonts w:ascii="Arial" w:cs="Arial" w:eastAsia="Arial" w:hAnsi="Arial"/>
          <w:sz w:val="17"/>
          <w:szCs w:val="17"/>
          <w:color w:val="auto"/>
        </w:rPr>
        <w:t>Identification of the individuals who fall within the above-referenced definition of “key employee” shall be based upon the 12-month period ending on each December 31st (referred to below as the “identification date”). In applying the applicable provisions of Code Section 416(i) to identify such individuals, “compensation” shall be determined in accordance with Treas. Reg. §1.415(c)2(a) without regard to (i) any safe harbor provided in Treas. Reg. §1.415(c)-2(d), (ii) any of the special timing rules provided in Treas. Reg. §1.415(c)-2(e), and (iii) any of the special rules provided in Treas. Reg. §1.415(c)-2(g); and</w:t>
      </w:r>
    </w:p>
    <w:p>
      <w:pPr>
        <w:spacing w:after="0" w:line="172" w:lineRule="exact"/>
        <w:rPr>
          <w:rFonts w:ascii="Arial" w:cs="Arial" w:eastAsia="Arial" w:hAnsi="Arial"/>
          <w:sz w:val="17"/>
          <w:szCs w:val="17"/>
          <w:color w:val="auto"/>
        </w:rPr>
      </w:pPr>
    </w:p>
    <w:p>
      <w:pPr>
        <w:ind w:left="1412" w:right="200" w:hanging="710"/>
        <w:spacing w:after="0" w:line="264" w:lineRule="auto"/>
        <w:tabs>
          <w:tab w:leader="none" w:pos="1412" w:val="left"/>
        </w:tabs>
        <w:numPr>
          <w:ilvl w:val="1"/>
          <w:numId w:val="78"/>
        </w:numPr>
        <w:rPr>
          <w:rFonts w:ascii="Arial" w:cs="Arial" w:eastAsia="Arial" w:hAnsi="Arial"/>
          <w:sz w:val="18"/>
          <w:szCs w:val="18"/>
          <w:color w:val="auto"/>
        </w:rPr>
      </w:pPr>
      <w:r>
        <w:rPr>
          <w:rFonts w:ascii="Arial" w:cs="Arial" w:eastAsia="Arial" w:hAnsi="Arial"/>
          <w:sz w:val="18"/>
          <w:szCs w:val="18"/>
          <w:color w:val="auto"/>
        </w:rPr>
        <w:t>Each Participant who is among the individuals identified as a “key employee” in accordance with part (i) of this Section 2(z) shall be treated as a Specified Employee for purposes of this Plan if such Participant experiences a Separation from Service during the 12-month period that begins on the April 1st following the applicable identification date.</w:t>
      </w:r>
    </w:p>
    <w:p>
      <w:pPr>
        <w:spacing w:after="0" w:line="195" w:lineRule="exact"/>
        <w:rPr>
          <w:sz w:val="20"/>
          <w:szCs w:val="20"/>
          <w:color w:val="auto"/>
        </w:rPr>
      </w:pPr>
    </w:p>
    <w:p>
      <w:pPr>
        <w:ind w:left="712" w:right="60" w:hanging="712"/>
        <w:spacing w:after="0" w:line="286" w:lineRule="auto"/>
        <w:tabs>
          <w:tab w:leader="none" w:pos="712"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“Stock Appreciation Right</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“SAR” </w:t>
      </w:r>
      <w:r>
        <w:rPr>
          <w:rFonts w:ascii="Arial" w:cs="Arial" w:eastAsia="Arial" w:hAnsi="Arial"/>
          <w:sz w:val="17"/>
          <w:szCs w:val="17"/>
          <w:color w:val="auto"/>
        </w:rPr>
        <w:t>means a right granted pursuant to Section 10 to receive, upon exercise by the Participant, the excess of (i)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one Share on the date of exercise or any date or dates during a specified period before the date of exercise over (ii) the grant price of the right, which grant price shall not be less than the Fair Market Value of one Share on the date of grant of the right.</w:t>
      </w:r>
    </w:p>
    <w:p>
      <w:pPr>
        <w:spacing w:after="0" w:line="165" w:lineRule="exact"/>
        <w:rPr>
          <w:rFonts w:ascii="Arial" w:cs="Arial" w:eastAsia="Arial" w:hAnsi="Arial"/>
          <w:sz w:val="17"/>
          <w:szCs w:val="17"/>
          <w:color w:val="auto"/>
        </w:rPr>
      </w:pPr>
    </w:p>
    <w:p>
      <w:pPr>
        <w:ind w:left="712" w:right="40" w:hanging="712"/>
        <w:spacing w:after="0" w:line="277" w:lineRule="auto"/>
        <w:tabs>
          <w:tab w:leader="none" w:pos="712"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accounts established, pursuant to Section 11(b)(ii), on behalf of each Director who elects,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11(b), to have any of his or her Deferred Cash Compensation credited to a stock unit account.</w:t>
      </w:r>
    </w:p>
    <w:p>
      <w:pPr>
        <w:spacing w:after="0" w:line="170" w:lineRule="exact"/>
        <w:rPr>
          <w:sz w:val="20"/>
          <w:szCs w:val="20"/>
          <w:color w:val="auto"/>
        </w:rPr>
      </w:pPr>
    </w:p>
    <w:p>
      <w:pPr>
        <w:ind w:left="73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86" w:name="page87"/>
    <w:bookmarkEnd w:id="86"/>
    <w:p>
      <w:pPr>
        <w:ind w:left="720" w:right="40" w:hanging="712"/>
        <w:spacing w:after="0" w:line="257" w:lineRule="auto"/>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"Unforeseeable Emergency" </w:t>
      </w:r>
      <w:r>
        <w:rPr>
          <w:rFonts w:ascii="Arial" w:cs="Arial" w:eastAsia="Arial" w:hAnsi="Arial"/>
          <w:sz w:val="18"/>
          <w:szCs w:val="18"/>
          <w:color w:val="auto"/>
        </w:rPr>
        <w:t>means a severe financial hardship to the Participant resulting from (i) an illness or accident of the Participant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spouse, beneficiary, or dependent (as defined in Section 152 of the Code, without regard to Sections 152(b)(1), (b)(2), and (d)(1)(B) of the Code), (ii) loss of the Participant’s property due to casualty, or (iii) other similar extraordinary and unforeseeable circumstances arising as a result of events beyond the Participant’s control, all as determined by the Administrator based on the relevant facts and circumstances and as provided for in Treas. Reg. §1.409A-3(i)(3) or any successor provision.</w:t>
      </w:r>
    </w:p>
    <w:p>
      <w:pPr>
        <w:spacing w:after="0" w:line="188" w:lineRule="exact"/>
        <w:rPr>
          <w:rFonts w:ascii="Arial" w:cs="Arial" w:eastAsia="Arial" w:hAnsi="Arial"/>
          <w:sz w:val="18"/>
          <w:szCs w:val="18"/>
          <w:color w:val="auto"/>
        </w:rPr>
      </w:pPr>
    </w:p>
    <w:p>
      <w:pPr>
        <w:ind w:left="640" w:hanging="632"/>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“Year” </w:t>
      </w:r>
      <w:r>
        <w:rPr>
          <w:rFonts w:ascii="Arial" w:cs="Arial" w:eastAsia="Arial" w:hAnsi="Arial"/>
          <w:sz w:val="18"/>
          <w:szCs w:val="18"/>
          <w:color w:val="auto"/>
        </w:rPr>
        <w:t>means a calendar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Director shall be eligible to defer Eligible Compensation and to receive Awards under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ADMINISTRATION.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Plan shall be administered by the Administrator. Subject to the terms of the Plan and applicable law, the Administrator shall have full power and authority to: (i) 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SHARES SUBJECT TO THE PLAN.</w:t>
      </w:r>
    </w:p>
    <w:p>
      <w:pPr>
        <w:spacing w:after="0" w:line="229" w:lineRule="exact"/>
        <w:rPr>
          <w:sz w:val="20"/>
          <w:szCs w:val="20"/>
          <w:color w:val="auto"/>
        </w:rPr>
      </w:pPr>
    </w:p>
    <w:p>
      <w:pPr>
        <w:ind w:left="720" w:hanging="712"/>
        <w:spacing w:after="0"/>
        <w:tabs>
          <w:tab w:leader="none" w:pos="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Subject to adjustment as provided in this Section 5, the number of Shares available for issuance under the Plan shall be 2,000,000 Shares.</w:t>
      </w:r>
    </w:p>
    <w:p>
      <w:pPr>
        <w:spacing w:after="0" w:line="236" w:lineRule="exact"/>
        <w:rPr>
          <w:rFonts w:ascii="Arial" w:cs="Arial" w:eastAsia="Arial" w:hAnsi="Arial"/>
          <w:sz w:val="17"/>
          <w:szCs w:val="17"/>
          <w:color w:val="auto"/>
        </w:rPr>
      </w:pPr>
    </w:p>
    <w:p>
      <w:pPr>
        <w:ind w:left="720" w:right="100" w:hanging="712"/>
        <w:spacing w:after="0" w:line="254" w:lineRule="auto"/>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If, after the effective date of the Plan, (i) any Shares covered by an Award or Stock Unit Account, or to which such an Award relates, are forfeited, or (ii) if an Award or Account expires or is cancelled or is otherwise terminated without the delivery of Shares, then such Shares, to the extent of any such forfeiture, expiration, cancellation, or termination, shall again be, or shall become, available for issuance under the Plan. For purposes of this Section, awards and options granted under any previous director compensation plan of the Company shall be treated as Awards, and accounts established under any such plan shall be treated as Accounts. For the avoidance of doubt, the number of Shares available for issuance under the Plan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increased by: (1) the withholding of Shares as a result of the net settlement of an outstanding Option; (2) the delivery of Shares to pay the exercise price or withholding taxes relating to an Award; or (3) the repurchase of Shares on the open market using the proceeds of an Option’s exercise.</w:t>
      </w:r>
    </w:p>
    <w:p>
      <w:pPr>
        <w:spacing w:after="0" w:line="200" w:lineRule="exact"/>
        <w:rPr>
          <w:sz w:val="20"/>
          <w:szCs w:val="20"/>
          <w:color w:val="auto"/>
        </w:rPr>
      </w:pPr>
    </w:p>
    <w:p>
      <w:pPr>
        <w:spacing w:after="0" w:line="20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87" w:name="page88"/>
    <w:bookmarkEnd w:id="87"/>
    <w:p>
      <w:pPr>
        <w:ind w:left="720" w:right="120" w:hanging="712"/>
        <w:spacing w:after="0" w:line="277"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of treasury Shares or of both.</w:t>
      </w:r>
    </w:p>
    <w:p>
      <w:pPr>
        <w:spacing w:after="0" w:line="170" w:lineRule="exact"/>
        <w:rPr>
          <w:rFonts w:ascii="Arial" w:cs="Arial" w:eastAsia="Arial" w:hAnsi="Arial"/>
          <w:sz w:val="18"/>
          <w:szCs w:val="18"/>
          <w:color w:val="auto"/>
        </w:rPr>
      </w:pPr>
    </w:p>
    <w:p>
      <w:pPr>
        <w:ind w:left="720" w:hanging="712"/>
        <w:spacing w:after="0" w:line="288" w:lineRule="auto"/>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Administrator shall equitably adjust any or all of (i) the number of outstanding Restricted Stock Units, (ii) the number and type of Shares credited to Stock Unit Accounts, (iii) the number and type of Shares subject to Options and SARs, (iv) the exercise price with respect to any Option or SAR or, if deemed appropriate, make provision for a cash payment to the holder of an outstanding Option or SAR, and (v) the aggregate limit specified in Section 5(a); provided, however, that no fractional Restricted Stock Units or Shares shall be issued or outstanding hereunder. Any such adjustment with respect to a “Stock Right” outstanding under the Plan as defined in Section 409A of the Code, shall be made in a manner that is intended to avoid imposition of any additional tax or penalty under Section 409A.</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SECTION 6. EQUITY GRANT UPON INITIAL ELECTION.</w:t>
      </w:r>
    </w:p>
    <w:p>
      <w:pPr>
        <w:spacing w:after="0" w:line="229" w:lineRule="exact"/>
        <w:rPr>
          <w:sz w:val="20"/>
          <w:szCs w:val="20"/>
          <w:color w:val="auto"/>
        </w:rPr>
      </w:pPr>
    </w:p>
    <w:p>
      <w:pPr>
        <w:ind w:left="720" w:right="800" w:hanging="712"/>
        <w:spacing w:after="0" w:line="277" w:lineRule="auto"/>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Initial Grant</w:t>
      </w:r>
      <w:r>
        <w:rPr>
          <w:rFonts w:ascii="Arial" w:cs="Arial" w:eastAsia="Arial" w:hAnsi="Arial"/>
          <w:sz w:val="18"/>
          <w:szCs w:val="18"/>
          <w:color w:val="auto"/>
        </w:rPr>
        <w:t>. Following the effective date of this Plan, each Director shall, effective as of the date of such individual’s initial election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to the Board, be granted 2,000 Restricted Stock Units.</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The terms and conditions of each Restricted Stock Unit granted under this Section 6 shall be as described in Section 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ANNUAL EQUITY GRANTS.</w:t>
      </w:r>
    </w:p>
    <w:p>
      <w:pPr>
        <w:spacing w:after="0" w:line="229" w:lineRule="exact"/>
        <w:rPr>
          <w:sz w:val="20"/>
          <w:szCs w:val="20"/>
          <w:color w:val="auto"/>
        </w:rPr>
      </w:pPr>
    </w:p>
    <w:p>
      <w:pPr>
        <w:ind w:left="720" w:right="120" w:hanging="712"/>
        <w:spacing w:after="0" w:line="259"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Annual Grant</w:t>
      </w:r>
      <w:r>
        <w:rPr>
          <w:rFonts w:ascii="Arial" w:cs="Arial" w:eastAsia="Arial" w:hAnsi="Arial"/>
          <w:sz w:val="18"/>
          <w:szCs w:val="18"/>
          <w:color w:val="auto"/>
        </w:rPr>
        <w:t>. Effective in 2011, each Director will be granted annually an Option with a grant-date value of approximately $100,000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a Black-Scholes option-pricing model and a Restricted Stock Unit Award with a grant-date value of approximately $100,000, in each case rounded down to the nearest whole share. The Restricted Stock Units granted under this Section 7(a) shall be in addition to any RSUs granted to any Director pursuant to Section 6.</w:t>
      </w:r>
    </w:p>
    <w:p>
      <w:pPr>
        <w:spacing w:after="0" w:line="186" w:lineRule="exact"/>
        <w:rPr>
          <w:rFonts w:ascii="Arial" w:cs="Arial" w:eastAsia="Arial" w:hAnsi="Arial"/>
          <w:sz w:val="18"/>
          <w:szCs w:val="18"/>
          <w:color w:val="auto"/>
        </w:rPr>
      </w:pPr>
    </w:p>
    <w:p>
      <w:pPr>
        <w:ind w:left="720" w:right="20" w:hanging="712"/>
        <w:spacing w:after="0" w:line="257"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Effective Date of Annual Grant</w:t>
      </w:r>
      <w:r>
        <w:rPr>
          <w:rFonts w:ascii="Arial" w:cs="Arial" w:eastAsia="Arial" w:hAnsi="Arial"/>
          <w:sz w:val="18"/>
          <w:szCs w:val="18"/>
          <w:color w:val="auto"/>
        </w:rPr>
        <w:t>. In each year the effective date for the annual grant of equity to the Company’s executive officers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the Board (or any successor committee) shall be the date the Options and Restricted Stock Units are granted; provided that in any year in which the Compensation Committee does not grant equity to any of the Company’s executive officers in connection with the annual compensation review process, then the third trading day after the release of the Company’s financial results for the first quarter of such year shall be the date the Options and Restricted Stock Units are granted.</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8" w:name="page89"/>
    <w:bookmarkEnd w:id="88"/>
    <w:p>
      <w:pPr>
        <w:ind w:left="720" w:right="380" w:hanging="712"/>
        <w:spacing w:after="0" w:line="277" w:lineRule="auto"/>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The terms and conditions of each Option and Restricted Stock Unit granted under this Section 6 shall be as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8 and 9, respectively.</w:t>
      </w:r>
    </w:p>
    <w:p>
      <w:pPr>
        <w:spacing w:after="0" w:line="170" w:lineRule="exact"/>
        <w:rPr>
          <w:rFonts w:ascii="Arial" w:cs="Arial" w:eastAsia="Arial" w:hAnsi="Arial"/>
          <w:sz w:val="18"/>
          <w:szCs w:val="18"/>
          <w:color w:val="auto"/>
        </w:rPr>
      </w:pPr>
    </w:p>
    <w:p>
      <w:pPr>
        <w:ind w:left="720" w:right="420" w:hanging="712"/>
        <w:spacing w:after="0" w:line="264" w:lineRule="auto"/>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Reductions in Awards</w:t>
      </w:r>
      <w:r>
        <w:rPr>
          <w:rFonts w:ascii="Arial" w:cs="Arial" w:eastAsia="Arial" w:hAnsi="Arial"/>
          <w:sz w:val="18"/>
          <w:szCs w:val="18"/>
          <w:color w:val="auto"/>
        </w:rPr>
        <w:t>. Prior to the effective date of any annual grant as described in this Section 7, the Board shall have the right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in the Awards to be granted under this Section 7. In determining whether to reduce any Award and the amount of any reduction, the Board shall take into consideration such factors as the Board shall determine.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OPTIONS.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Options granted under this Plan will be nonstatutory stock options not intended to qualify under Section 422 of the Code and shall have the terms and conditions described in this Section 8:</w:t>
      </w:r>
    </w:p>
    <w:p>
      <w:pPr>
        <w:spacing w:after="0" w:line="170" w:lineRule="exact"/>
        <w:rPr>
          <w:sz w:val="20"/>
          <w:szCs w:val="20"/>
          <w:color w:val="auto"/>
        </w:rPr>
      </w:pPr>
    </w:p>
    <w:p>
      <w:pPr>
        <w:ind w:left="760" w:right="140" w:hanging="752"/>
        <w:spacing w:after="0" w:line="277" w:lineRule="auto"/>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Price and Term of Options</w:t>
      </w:r>
      <w:r>
        <w:rPr>
          <w:rFonts w:ascii="Arial" w:cs="Arial" w:eastAsia="Arial" w:hAnsi="Arial"/>
          <w:sz w:val="18"/>
          <w:szCs w:val="18"/>
          <w:color w:val="auto"/>
        </w:rPr>
        <w:t>. The purchase price per share of Shares deliverable upon the exercise of each Option shall be 100% of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per share of the Shares on the effective date of the grant as determined in Section 7(b).</w:t>
      </w:r>
    </w:p>
    <w:p>
      <w:pPr>
        <w:spacing w:after="0" w:line="170" w:lineRule="exact"/>
        <w:rPr>
          <w:rFonts w:ascii="Arial" w:cs="Arial" w:eastAsia="Arial" w:hAnsi="Arial"/>
          <w:sz w:val="18"/>
          <w:szCs w:val="18"/>
          <w:color w:val="auto"/>
        </w:rPr>
      </w:pPr>
    </w:p>
    <w:p>
      <w:pPr>
        <w:ind w:left="720" w:hanging="712"/>
        <w:spacing w:after="0" w:line="264" w:lineRule="auto"/>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Secretary shall determine the method or methods by which, and the form or forms, including, without limitation, cash,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property, or any combination thereof, having a Fair Market Value on the exercise date equal to the relevant exercise price, in which payment of the exercise price with respect to an Option may be made or deemed to have been made.</w:t>
      </w:r>
    </w:p>
    <w:p>
      <w:pPr>
        <w:spacing w:after="0" w:line="181"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Section 8(d), Options shall become exercisable in four equal annual installments commencing on the first anniversary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grant.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as a Director. </w:t>
      </w:r>
      <w:r>
        <w:rPr>
          <w:rFonts w:ascii="Arial" w:cs="Arial" w:eastAsia="Arial" w:hAnsi="Arial"/>
          <w:sz w:val="18"/>
          <w:szCs w:val="18"/>
          <w:color w:val="auto"/>
        </w:rPr>
        <w:t>The effect of a Participant’s termination of service as a member of the Board shall be as follows:</w:t>
      </w:r>
    </w:p>
    <w:p>
      <w:pPr>
        <w:spacing w:after="0" w:line="225" w:lineRule="exact"/>
        <w:rPr>
          <w:rFonts w:ascii="Arial" w:cs="Arial" w:eastAsia="Arial" w:hAnsi="Arial"/>
          <w:sz w:val="18"/>
          <w:szCs w:val="18"/>
          <w:color w:val="auto"/>
        </w:rPr>
      </w:pPr>
    </w:p>
    <w:p>
      <w:pPr>
        <w:ind w:left="1420" w:hanging="710"/>
        <w:spacing w:after="0"/>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Termination for cause: All outstanding Options held by the Participant shall be canceled immediately upon termination.</w:t>
      </w:r>
    </w:p>
    <w:p>
      <w:pPr>
        <w:spacing w:after="0" w:line="225" w:lineRule="exact"/>
        <w:rPr>
          <w:rFonts w:ascii="Arial" w:cs="Arial" w:eastAsia="Arial" w:hAnsi="Arial"/>
          <w:sz w:val="18"/>
          <w:szCs w:val="18"/>
          <w:color w:val="auto"/>
        </w:rPr>
      </w:pPr>
    </w:p>
    <w:p>
      <w:pPr>
        <w:ind w:left="1420" w:right="160" w:hanging="710"/>
        <w:spacing w:after="0" w:line="277" w:lineRule="auto"/>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Death: All outstanding Options held by the Participant shall continue to full term, becoming exercisable in accordance with Section 8(c), and shall be exercisable by such Participant’s heirs or legal representatives.</w:t>
      </w:r>
    </w:p>
    <w:p>
      <w:pPr>
        <w:spacing w:after="0" w:line="170" w:lineRule="exact"/>
        <w:rPr>
          <w:rFonts w:ascii="Arial" w:cs="Arial" w:eastAsia="Arial" w:hAnsi="Arial"/>
          <w:sz w:val="18"/>
          <w:szCs w:val="18"/>
          <w:color w:val="auto"/>
        </w:rPr>
      </w:pPr>
    </w:p>
    <w:p>
      <w:pPr>
        <w:ind w:left="1420" w:right="20" w:hanging="710"/>
        <w:spacing w:after="0" w:line="264" w:lineRule="auto"/>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Permanent disability, termination after 8 years of service, or termination for reason of ineligibility to stand for reelection under the Company’s By-Laws: All outstanding Options held by the Participant shall continue to full term, becoming exercisable in accordance with Section 8(c).</w:t>
      </w:r>
    </w:p>
    <w:p>
      <w:pPr>
        <w:spacing w:after="0" w:line="181" w:lineRule="exact"/>
        <w:rPr>
          <w:rFonts w:ascii="Arial" w:cs="Arial" w:eastAsia="Arial" w:hAnsi="Arial"/>
          <w:sz w:val="18"/>
          <w:szCs w:val="18"/>
          <w:color w:val="auto"/>
        </w:rPr>
      </w:pPr>
    </w:p>
    <w:p>
      <w:pPr>
        <w:ind w:left="1420" w:right="440" w:hanging="710"/>
        <w:spacing w:after="0" w:line="264" w:lineRule="auto"/>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Change in Control: If a Participant experiences a Separation From Service (other than for cause) within 24 months after a Change in Control (Post-2010 Grant), the provisions of Section 8(c) shall not apply and Options held by the Participant shall be immediately exercisable and shall continue to full term.</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9" w:name="page90"/>
    <w:bookmarkEnd w:id="89"/>
    <w:p>
      <w:pPr>
        <w:ind w:left="1420" w:right="20" w:hanging="710"/>
        <w:spacing w:after="0" w:line="302" w:lineRule="auto"/>
        <w:tabs>
          <w:tab w:leader="none" w:pos="14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that 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154" w:lineRule="exact"/>
        <w:rPr>
          <w:rFonts w:ascii="Arial" w:cs="Arial" w:eastAsia="Arial" w:hAnsi="Arial"/>
          <w:sz w:val="16"/>
          <w:szCs w:val="16"/>
          <w:color w:val="auto"/>
        </w:rPr>
      </w:pPr>
    </w:p>
    <w:p>
      <w:pPr>
        <w:ind w:left="660" w:right="380" w:hanging="652"/>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under this Plan shall be evidenced by an Award Agreement with the Company, which shall contain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provisions set forth herein and shall otherwise be consistent with the provisions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RESTRICTED STOCK UNITS.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Each Restricted Stock Unit granted under this Plan shall be paid or settled by the issuance of one Share and shall have the terms and conditions described in this Section 9:</w:t>
      </w:r>
    </w:p>
    <w:p>
      <w:pPr>
        <w:spacing w:after="0" w:line="170" w:lineRule="exact"/>
        <w:rPr>
          <w:sz w:val="20"/>
          <w:szCs w:val="20"/>
          <w:color w:val="auto"/>
        </w:rPr>
      </w:pPr>
    </w:p>
    <w:p>
      <w:pPr>
        <w:ind w:left="720" w:right="20" w:hanging="712"/>
        <w:spacing w:after="0" w:line="264"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Vesting and Settlement</w:t>
      </w:r>
      <w:r>
        <w:rPr>
          <w:rFonts w:ascii="Arial" w:cs="Arial" w:eastAsia="Arial" w:hAnsi="Arial"/>
          <w:sz w:val="18"/>
          <w:szCs w:val="18"/>
          <w:color w:val="auto"/>
        </w:rPr>
        <w:t>. Subject to Sections 9(b) and 9(c)(iii) and subject to a Director’s election to defer the settlement of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 the shares covered by the Restricted Stock Units shall be paid or settled as soon as practicable after the fourth anniversary of the date of grant.</w:t>
      </w:r>
    </w:p>
    <w:p>
      <w:pPr>
        <w:spacing w:after="0" w:line="181" w:lineRule="exact"/>
        <w:rPr>
          <w:rFonts w:ascii="Arial" w:cs="Arial" w:eastAsia="Arial" w:hAnsi="Arial"/>
          <w:sz w:val="18"/>
          <w:szCs w:val="18"/>
          <w:color w:val="auto"/>
        </w:rPr>
      </w:pPr>
    </w:p>
    <w:p>
      <w:pPr>
        <w:ind w:left="720" w:right="160" w:hanging="712"/>
        <w:spacing w:after="0" w:line="279" w:lineRule="auto"/>
        <w:tabs>
          <w:tab w:leader="none" w:pos="72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With respect to Restricted Stock Units (2010 Grant), in the event of a Change in Control (2010 Grant), the provisions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Sections 9(a) and (c) shall not apply (except for Section 9(c)(iv), which shall apply), any election by a Director to defer settlement of Restricted Stock Units (2010 Grant) pursuant to Section 11 shall be cancelled and any such Restricted Stock Units outstanding under this Plan shall vest and be paid immediately. See Section 9(c)(iii) for the effect of a Change in Control on all other Restricted Stock Units.</w:t>
      </w:r>
    </w:p>
    <w:p>
      <w:pPr>
        <w:spacing w:after="0" w:line="171" w:lineRule="exact"/>
        <w:rPr>
          <w:rFonts w:ascii="Arial" w:cs="Arial" w:eastAsia="Arial" w:hAnsi="Arial"/>
          <w:sz w:val="17"/>
          <w:szCs w:val="17"/>
          <w:color w:val="auto"/>
        </w:rPr>
      </w:pPr>
    </w:p>
    <w:p>
      <w:pPr>
        <w:ind w:left="720" w:hanging="712"/>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Termination of Service as a Director</w:t>
      </w:r>
      <w:r>
        <w:rPr>
          <w:rFonts w:ascii="Arial" w:cs="Arial" w:eastAsia="Arial" w:hAnsi="Arial"/>
          <w:sz w:val="18"/>
          <w:szCs w:val="18"/>
          <w:color w:val="auto"/>
        </w:rPr>
        <w:t>. The effect of a Participant's termination of service as a member of the Board shall be as follows:</w:t>
      </w:r>
    </w:p>
    <w:p>
      <w:pPr>
        <w:spacing w:after="0" w:line="225" w:lineRule="exact"/>
        <w:rPr>
          <w:rFonts w:ascii="Arial" w:cs="Arial" w:eastAsia="Arial" w:hAnsi="Arial"/>
          <w:sz w:val="18"/>
          <w:szCs w:val="18"/>
          <w:color w:val="auto"/>
        </w:rPr>
      </w:pPr>
    </w:p>
    <w:p>
      <w:pPr>
        <w:ind w:left="1420" w:hanging="710"/>
        <w:spacing w:after="0" w:line="264" w:lineRule="auto"/>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Death: All outstanding Restricted Stock Units held by the Participant shall continue to full term subject to the other terms and conditions of this Plan, and shares shall be issued to such Participant's heirs at such times and in such manner as if the Participant were still a member of the Board.</w:t>
      </w:r>
    </w:p>
    <w:p>
      <w:pPr>
        <w:spacing w:after="0" w:line="181" w:lineRule="exact"/>
        <w:rPr>
          <w:rFonts w:ascii="Arial" w:cs="Arial" w:eastAsia="Arial" w:hAnsi="Arial"/>
          <w:sz w:val="18"/>
          <w:szCs w:val="18"/>
          <w:color w:val="auto"/>
        </w:rPr>
      </w:pPr>
    </w:p>
    <w:p>
      <w:pPr>
        <w:ind w:left="1420" w:right="40" w:hanging="710"/>
        <w:spacing w:after="0" w:line="259" w:lineRule="auto"/>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Permanent disability, termination after 8 years of service, or termination for reason of ineligibility to stand for reelection under the Company's By-Laws: All outstanding Restricted Stock Units held by the Participant shall continue to full term subject to the other terms and conditions of this Plan, and shares shall be issued to such Participant at such times and in such manner as if the Participant were still a member of the Board.</w:t>
      </w:r>
    </w:p>
    <w:p>
      <w:pPr>
        <w:spacing w:after="0" w:line="186" w:lineRule="exact"/>
        <w:rPr>
          <w:rFonts w:ascii="Arial" w:cs="Arial" w:eastAsia="Arial" w:hAnsi="Arial"/>
          <w:sz w:val="18"/>
          <w:szCs w:val="18"/>
          <w:color w:val="auto"/>
        </w:rPr>
      </w:pPr>
    </w:p>
    <w:p>
      <w:pPr>
        <w:ind w:left="1420" w:right="520" w:hanging="710"/>
        <w:spacing w:after="0" w:line="277" w:lineRule="auto"/>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Separation From Service after a Change in Control: With respect to Restricted Stock Units other than Restricted Stock Units (2010 Grant), in the event a Participant experiences a Separation From Service (other than</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0" w:name="page91"/>
    <w:bookmarkEnd w:id="90"/>
    <w:p>
      <w:pPr>
        <w:ind w:left="1412"/>
        <w:spacing w:after="0"/>
        <w:rPr>
          <w:sz w:val="20"/>
          <w:szCs w:val="20"/>
          <w:color w:val="auto"/>
        </w:rPr>
      </w:pPr>
      <w:r>
        <w:rPr>
          <w:rFonts w:ascii="Arial" w:cs="Arial" w:eastAsia="Arial" w:hAnsi="Arial"/>
          <w:sz w:val="18"/>
          <w:szCs w:val="18"/>
          <w:color w:val="auto"/>
        </w:rPr>
        <w:t>for cause) within 24 months after a Change in Control (Post-2010 Grant), the provisions of Section 9(a) shall not apply and:</w:t>
      </w:r>
    </w:p>
    <w:p>
      <w:pPr>
        <w:spacing w:after="0" w:line="225" w:lineRule="exact"/>
        <w:rPr>
          <w:sz w:val="20"/>
          <w:szCs w:val="20"/>
          <w:color w:val="auto"/>
        </w:rPr>
      </w:pPr>
    </w:p>
    <w:p>
      <w:pPr>
        <w:ind w:left="2252" w:right="140"/>
        <w:spacing w:after="0" w:line="255" w:lineRule="auto"/>
        <w:rPr>
          <w:sz w:val="20"/>
          <w:szCs w:val="20"/>
          <w:color w:val="auto"/>
        </w:rPr>
      </w:pPr>
      <w:r>
        <w:rPr>
          <w:rFonts w:ascii="Arial" w:cs="Arial" w:eastAsia="Arial" w:hAnsi="Arial"/>
          <w:sz w:val="18"/>
          <w:szCs w:val="18"/>
          <w:color w:val="auto"/>
        </w:rPr>
        <w:t>(A)To the extent permitted without additional tax or penalty by Section 409A of the Code, all shares underlying such Restricted Stock Units held by the Participant (including any such Restricted Stock Units subject to an election to defer settlement under Section 11) will be issued on, or as soon as practicable (but no later than 60 days) after, the Participant’s Separation From Service; provided, however, that if the participant is a Specified Employee upon such Separation From Service, the shares will be issued on, or as soon as practicable (but no more than 10 days) after, the first day of the seventh month following the Separation From Service and any such Restricted Stock Units outstanding under this Plan shall vest and be paid immediately.</w:t>
      </w:r>
    </w:p>
    <w:p>
      <w:pPr>
        <w:spacing w:after="0" w:line="189" w:lineRule="exact"/>
        <w:rPr>
          <w:sz w:val="20"/>
          <w:szCs w:val="20"/>
          <w:color w:val="auto"/>
        </w:rPr>
      </w:pPr>
    </w:p>
    <w:p>
      <w:pPr>
        <w:ind w:left="2252" w:right="60"/>
        <w:spacing w:after="0" w:line="259" w:lineRule="auto"/>
        <w:rPr>
          <w:sz w:val="20"/>
          <w:szCs w:val="20"/>
          <w:color w:val="auto"/>
        </w:rPr>
      </w:pPr>
      <w:r>
        <w:rPr>
          <w:rFonts w:ascii="Arial" w:cs="Arial" w:eastAsia="Arial" w:hAnsi="Arial"/>
          <w:sz w:val="18"/>
          <w:szCs w:val="18"/>
          <w:color w:val="auto"/>
        </w:rPr>
        <w:t>(B)To the extent that the issuance of shares is not permitted without additional tax or penalty by Section 409A, the Award will continue to full term and the shares will be issued at the issuance date specified in the Award Agreement as if the Participant were still a Director on such date or (for any such Restricted Stock Units subject to an election to defer settlement pursuant to Section 11) in accordance with Section 11(h)(i).</w:t>
      </w:r>
    </w:p>
    <w:p>
      <w:pPr>
        <w:spacing w:after="0" w:line="187" w:lineRule="exact"/>
        <w:rPr>
          <w:sz w:val="20"/>
          <w:szCs w:val="20"/>
          <w:color w:val="auto"/>
        </w:rPr>
      </w:pPr>
    </w:p>
    <w:p>
      <w:pPr>
        <w:ind w:left="1412" w:right="40" w:hanging="710"/>
        <w:spacing w:after="0" w:line="277" w:lineRule="auto"/>
        <w:tabs>
          <w:tab w:leader="none" w:pos="1412" w:val="left"/>
        </w:tabs>
        <w:numPr>
          <w:ilvl w:val="1"/>
          <w:numId w:val="90"/>
        </w:numPr>
        <w:rPr>
          <w:rFonts w:ascii="Arial" w:cs="Arial" w:eastAsia="Arial" w:hAnsi="Arial"/>
          <w:sz w:val="18"/>
          <w:szCs w:val="18"/>
          <w:color w:val="auto"/>
        </w:rPr>
      </w:pPr>
      <w:r>
        <w:rPr>
          <w:rFonts w:ascii="Arial" w:cs="Arial" w:eastAsia="Arial" w:hAnsi="Arial"/>
          <w:sz w:val="18"/>
          <w:szCs w:val="18"/>
          <w:color w:val="auto"/>
        </w:rPr>
        <w:t>Other: For any termination other than those specified above, all outstanding Restricted Stock Units held by the Participant shall terminate and become void without any shares being issued.</w:t>
      </w:r>
    </w:p>
    <w:p>
      <w:pPr>
        <w:spacing w:after="0" w:line="170" w:lineRule="exact"/>
        <w:rPr>
          <w:rFonts w:ascii="Arial" w:cs="Arial" w:eastAsia="Arial" w:hAnsi="Arial"/>
          <w:sz w:val="18"/>
          <w:szCs w:val="18"/>
          <w:color w:val="auto"/>
        </w:rPr>
      </w:pPr>
    </w:p>
    <w:p>
      <w:pPr>
        <w:ind w:left="1412" w:hanging="710"/>
        <w:spacing w:after="0" w:line="264" w:lineRule="auto"/>
        <w:tabs>
          <w:tab w:leader="none" w:pos="1412" w:val="left"/>
        </w:tabs>
        <w:numPr>
          <w:ilvl w:val="1"/>
          <w:numId w:val="90"/>
        </w:numPr>
        <w:rPr>
          <w:rFonts w:ascii="Arial" w:cs="Arial" w:eastAsia="Arial" w:hAnsi="Arial"/>
          <w:sz w:val="18"/>
          <w:szCs w:val="18"/>
          <w:color w:val="auto"/>
        </w:rPr>
      </w:pPr>
      <w:r>
        <w:rPr>
          <w:rFonts w:ascii="Arial" w:cs="Arial" w:eastAsia="Arial" w:hAnsi="Arial"/>
          <w:sz w:val="18"/>
          <w:szCs w:val="18"/>
          <w:color w:val="auto"/>
        </w:rPr>
        <w:t>With respect to Restricted Stock Units (2010 Grant), if a Participant's termination of service (other than for cause) occurs within 30 days of a Change in Control (2010 Grant), then the Change in Control (2010 Grant) shall be deemed to have occurred first and the provisions of Section 9(b) shall apply.</w:t>
      </w:r>
    </w:p>
    <w:p>
      <w:pPr>
        <w:spacing w:after="0" w:line="181" w:lineRule="exact"/>
        <w:rPr>
          <w:rFonts w:ascii="Arial" w:cs="Arial" w:eastAsia="Arial" w:hAnsi="Arial"/>
          <w:sz w:val="18"/>
          <w:szCs w:val="18"/>
          <w:color w:val="auto"/>
        </w:rPr>
      </w:pPr>
    </w:p>
    <w:p>
      <w:pPr>
        <w:ind w:left="712" w:right="220" w:hanging="712"/>
        <w:spacing w:after="0" w:line="342" w:lineRule="auto"/>
        <w:tabs>
          <w:tab w:leader="none" w:pos="712"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Restricted Stock Unit Agreement</w:t>
      </w:r>
      <w:r>
        <w:rPr>
          <w:rFonts w:ascii="Arial" w:cs="Arial" w:eastAsia="Arial" w:hAnsi="Arial"/>
          <w:sz w:val="16"/>
          <w:szCs w:val="16"/>
          <w:color w:val="auto"/>
        </w:rPr>
        <w:t>. Each Restricted Stock Unit Award granted under this Plan shall be evidenced by an Award Agreement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which shall contain the terms and conditions set forth herein and shall otherwise be consistent with the provisions of this Plan.</w:t>
      </w:r>
    </w:p>
    <w:p>
      <w:pPr>
        <w:spacing w:after="0" w:line="123" w:lineRule="exact"/>
        <w:rPr>
          <w:rFonts w:ascii="Arial" w:cs="Arial" w:eastAsia="Arial" w:hAnsi="Arial"/>
          <w:sz w:val="16"/>
          <w:szCs w:val="16"/>
          <w:color w:val="auto"/>
        </w:rPr>
      </w:pPr>
    </w:p>
    <w:p>
      <w:pPr>
        <w:ind w:left="712" w:right="20" w:hanging="712"/>
        <w:spacing w:after="0" w:line="255" w:lineRule="auto"/>
        <w:tabs>
          <w:tab w:leader="none" w:pos="712"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Right to Dividend Equivalents. </w:t>
      </w:r>
      <w:r>
        <w:rPr>
          <w:rFonts w:ascii="Arial" w:cs="Arial" w:eastAsia="Arial" w:hAnsi="Arial"/>
          <w:sz w:val="18"/>
          <w:szCs w:val="18"/>
          <w:color w:val="auto"/>
        </w:rPr>
        <w:t>Each recipient of Restricted Stock Units under this Plan shall have the right, during the period when such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unless a Director has elected to defer receipt of such dividend equivalents pursuant to Section 11, pay such accumulated amounts without interest in December of each fiscal year, but no later than March 15 of the calendar year following the calendar year in which the related dividend is declared.</w:t>
      </w:r>
    </w:p>
    <w:p>
      <w:pPr>
        <w:spacing w:after="0" w:line="193" w:lineRule="exact"/>
        <w:rPr>
          <w:rFonts w:ascii="Arial" w:cs="Arial" w:eastAsia="Arial" w:hAnsi="Arial"/>
          <w:sz w:val="18"/>
          <w:szCs w:val="18"/>
          <w:color w:val="auto"/>
        </w:rPr>
      </w:pPr>
    </w:p>
    <w:p>
      <w:pPr>
        <w:ind w:left="712" w:right="300" w:hanging="712"/>
        <w:spacing w:after="0" w:line="277" w:lineRule="auto"/>
        <w:tabs>
          <w:tab w:leader="none" w:pos="712"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Issuance of Shares</w:t>
      </w:r>
      <w:r>
        <w:rPr>
          <w:rFonts w:ascii="Arial" w:cs="Arial" w:eastAsia="Arial" w:hAnsi="Arial"/>
          <w:sz w:val="18"/>
          <w:szCs w:val="18"/>
          <w:color w:val="auto"/>
        </w:rPr>
        <w:t>. A stock certificate or certificates shall be registered and issued or other indicia of ownership of shares shall be issued,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 or for</w:t>
      </w:r>
    </w:p>
    <w:p>
      <w:pPr>
        <w:spacing w:after="0" w:line="170" w:lineRule="exact"/>
        <w:rPr>
          <w:sz w:val="20"/>
          <w:szCs w:val="20"/>
          <w:color w:val="auto"/>
        </w:rPr>
      </w:pPr>
    </w:p>
    <w:p>
      <w:pPr>
        <w:ind w:left="73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91" w:name="page92"/>
    <w:bookmarkEnd w:id="91"/>
    <w:p>
      <w:pPr>
        <w:ind w:left="720"/>
        <w:spacing w:after="0" w:line="277" w:lineRule="auto"/>
        <w:rPr>
          <w:sz w:val="20"/>
          <w:szCs w:val="20"/>
          <w:color w:val="auto"/>
        </w:rPr>
      </w:pPr>
      <w:r>
        <w:rPr>
          <w:rFonts w:ascii="Arial" w:cs="Arial" w:eastAsia="Arial" w:hAnsi="Arial"/>
          <w:sz w:val="18"/>
          <w:szCs w:val="18"/>
          <w:color w:val="auto"/>
        </w:rPr>
        <w:t>the benefit of the holder of Restricted Stock Units and delivered to such holder as soon as practicable after such Restricted Stock Units have become payable or settleable in accordance with the terms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STOCK APPRECIATION RIGHTS (SARs).</w:t>
      </w:r>
    </w:p>
    <w:p>
      <w:pPr>
        <w:spacing w:after="0" w:line="229" w:lineRule="exact"/>
        <w:rPr>
          <w:sz w:val="20"/>
          <w:szCs w:val="20"/>
          <w:color w:val="auto"/>
        </w:rPr>
      </w:pPr>
    </w:p>
    <w:p>
      <w:pPr>
        <w:ind w:left="760" w:right="140" w:hanging="752"/>
        <w:spacing w:after="0" w:line="277" w:lineRule="auto"/>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SARs may be granted to Directors with such terms and conditions as the Administrator shall determine not inconsistent with the provisions of the Plan.</w:t>
      </w:r>
    </w:p>
    <w:p>
      <w:pPr>
        <w:spacing w:after="0" w:line="170" w:lineRule="exact"/>
        <w:rPr>
          <w:rFonts w:ascii="Arial" w:cs="Arial" w:eastAsia="Arial" w:hAnsi="Arial"/>
          <w:sz w:val="18"/>
          <w:szCs w:val="18"/>
          <w:color w:val="auto"/>
        </w:rPr>
      </w:pPr>
    </w:p>
    <w:p>
      <w:pPr>
        <w:ind w:left="760" w:hanging="752"/>
        <w:spacing w:after="0"/>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term of each SAR shall be fixed by the Administrator but shall not exceed 10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DEFERRED COMPENSATION.</w:t>
      </w:r>
    </w:p>
    <w:p>
      <w:pPr>
        <w:spacing w:after="0" w:line="229" w:lineRule="exact"/>
        <w:rPr>
          <w:sz w:val="20"/>
          <w:szCs w:val="20"/>
          <w:color w:val="auto"/>
        </w:rPr>
      </w:pPr>
    </w:p>
    <w:p>
      <w:pPr>
        <w:ind w:left="720" w:right="140" w:hanging="712"/>
        <w:spacing w:after="0" w:line="277" w:lineRule="auto"/>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Director may elect, with respect to any Year, that all or any percentage of his or her Eligible Compensation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this Plan.</w:t>
      </w:r>
    </w:p>
    <w:p>
      <w:pPr>
        <w:spacing w:after="0" w:line="170" w:lineRule="exact"/>
        <w:rPr>
          <w:rFonts w:ascii="Arial" w:cs="Arial" w:eastAsia="Arial" w:hAnsi="Arial"/>
          <w:sz w:val="18"/>
          <w:szCs w:val="18"/>
          <w:color w:val="auto"/>
        </w:rPr>
      </w:pPr>
    </w:p>
    <w:p>
      <w:pPr>
        <w:ind w:left="720" w:right="320" w:hanging="712"/>
        <w:spacing w:after="0" w:line="277" w:lineRule="auto"/>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Cash Compensation Investment Alternatives</w:t>
      </w:r>
      <w:r>
        <w:rPr>
          <w:rFonts w:ascii="Arial" w:cs="Arial" w:eastAsia="Arial" w:hAnsi="Arial"/>
          <w:sz w:val="18"/>
          <w:szCs w:val="18"/>
          <w:color w:val="auto"/>
        </w:rPr>
        <w:t>. Each Director may elect that his or her Deferred Cash Compensation for any Year be credited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Cash Account or a Stock Unit Account or to any combination thereof.</w:t>
      </w:r>
    </w:p>
    <w:p>
      <w:pPr>
        <w:spacing w:after="0" w:line="170" w:lineRule="exact"/>
        <w:rPr>
          <w:rFonts w:ascii="Arial" w:cs="Arial" w:eastAsia="Arial" w:hAnsi="Arial"/>
          <w:sz w:val="18"/>
          <w:szCs w:val="18"/>
          <w:color w:val="auto"/>
        </w:rPr>
      </w:pPr>
    </w:p>
    <w:p>
      <w:pPr>
        <w:ind w:left="1420" w:hanging="710"/>
        <w:spacing w:after="0"/>
        <w:tabs>
          <w:tab w:leader="none" w:pos="1420" w:val="left"/>
        </w:tabs>
        <w:numPr>
          <w:ilvl w:val="1"/>
          <w:numId w:val="93"/>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20" w:right="100" w:hanging="694"/>
        <w:spacing w:after="0" w:line="277" w:lineRule="auto"/>
        <w:tabs>
          <w:tab w:leader="none" w:pos="21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Company shall establish and maintain, as appropriate, separate unfunded Cash Accounts for each Director who has elected that any portion of his or her Deferred Cash Compensation be credited to a Cash Account.</w:t>
      </w:r>
    </w:p>
    <w:p>
      <w:pPr>
        <w:spacing w:after="0" w:line="170" w:lineRule="exact"/>
        <w:rPr>
          <w:rFonts w:ascii="Arial" w:cs="Arial" w:eastAsia="Arial" w:hAnsi="Arial"/>
          <w:sz w:val="18"/>
          <w:szCs w:val="18"/>
          <w:color w:val="auto"/>
        </w:rPr>
      </w:pPr>
    </w:p>
    <w:p>
      <w:pPr>
        <w:ind w:left="2120" w:right="300" w:hanging="694"/>
        <w:spacing w:after="0" w:line="264" w:lineRule="auto"/>
        <w:tabs>
          <w:tab w:leader="none" w:pos="21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As of the date on which any amount of a Director’s Deferred Cash Compensation becomes payable, his or her Cash Account shall be credited with an amount equal to that portion of such Deferred Cash Compensation as such Director has elected be credited to his or her Cash Account.</w:t>
      </w:r>
    </w:p>
    <w:p>
      <w:pPr>
        <w:spacing w:after="0" w:line="181" w:lineRule="exact"/>
        <w:rPr>
          <w:rFonts w:ascii="Arial" w:cs="Arial" w:eastAsia="Arial" w:hAnsi="Arial"/>
          <w:sz w:val="18"/>
          <w:szCs w:val="18"/>
          <w:color w:val="auto"/>
        </w:rPr>
      </w:pPr>
    </w:p>
    <w:p>
      <w:pPr>
        <w:ind w:left="2120" w:hanging="694"/>
        <w:spacing w:after="0" w:line="255" w:lineRule="auto"/>
        <w:tabs>
          <w:tab w:leader="none" w:pos="21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that would qualify as a "reasonable rate of interest" as defined by Section 409A of the Code, as may be determined by the G&amp;SR Committee for each Year.</w:t>
      </w:r>
    </w:p>
    <w:p>
      <w:pPr>
        <w:spacing w:after="0" w:line="193" w:lineRule="exact"/>
        <w:rPr>
          <w:rFonts w:ascii="Arial" w:cs="Arial" w:eastAsia="Arial" w:hAnsi="Arial"/>
          <w:sz w:val="18"/>
          <w:szCs w:val="18"/>
          <w:color w:val="auto"/>
        </w:rPr>
      </w:pPr>
    </w:p>
    <w:p>
      <w:pPr>
        <w:ind w:left="1420" w:hanging="710"/>
        <w:spacing w:after="0"/>
        <w:tabs>
          <w:tab w:leader="none" w:pos="1420" w:val="left"/>
        </w:tabs>
        <w:numPr>
          <w:ilvl w:val="1"/>
          <w:numId w:val="93"/>
        </w:numPr>
        <w:rPr>
          <w:rFonts w:ascii="Arial" w:cs="Arial" w:eastAsia="Arial" w:hAnsi="Arial"/>
          <w:sz w:val="18"/>
          <w:szCs w:val="18"/>
          <w:color w:val="auto"/>
        </w:rPr>
      </w:pPr>
      <w:r>
        <w:rPr>
          <w:rFonts w:ascii="Arial" w:cs="Arial" w:eastAsia="Arial" w:hAnsi="Arial"/>
          <w:sz w:val="18"/>
          <w:szCs w:val="18"/>
          <w:i w:val="1"/>
          <w:iCs w:val="1"/>
          <w:color w:val="auto"/>
        </w:rPr>
        <w:t>Stock Unit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20" w:right="240" w:hanging="694"/>
        <w:spacing w:after="0" w:line="308" w:lineRule="auto"/>
        <w:tabs>
          <w:tab w:leader="none" w:pos="2120" w:val="left"/>
        </w:tabs>
        <w:numPr>
          <w:ilvl w:val="2"/>
          <w:numId w:val="93"/>
        </w:numPr>
        <w:rPr>
          <w:rFonts w:ascii="Arial" w:cs="Arial" w:eastAsia="Arial" w:hAnsi="Arial"/>
          <w:sz w:val="17"/>
          <w:szCs w:val="17"/>
          <w:color w:val="auto"/>
        </w:rPr>
      </w:pPr>
      <w:r>
        <w:rPr>
          <w:rFonts w:ascii="Arial" w:cs="Arial" w:eastAsia="Arial" w:hAnsi="Arial"/>
          <w:sz w:val="17"/>
          <w:szCs w:val="17"/>
          <w:color w:val="auto"/>
        </w:rPr>
        <w:t>The Company shall establish and maintain, as appropriate, separate unfunded Stock Unit Accounts for each Director who has elected that any portion of his or her Deferred Cash Compensation be credited to a Stock Unit Account.</w:t>
      </w:r>
    </w:p>
    <w:p>
      <w:pPr>
        <w:spacing w:after="0" w:line="3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2" w:name="page93"/>
    <w:bookmarkEnd w:id="92"/>
    <w:p>
      <w:pPr>
        <w:ind w:left="2112" w:right="80" w:hanging="694"/>
        <w:spacing w:after="0" w:line="259" w:lineRule="auto"/>
        <w:tabs>
          <w:tab w:leader="none" w:pos="2112" w:val="left"/>
        </w:tabs>
        <w:numPr>
          <w:ilvl w:val="2"/>
          <w:numId w:val="94"/>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Cash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Cash Compensation as such Director has elected be credited to his or her Stock Unit Account.</w:t>
      </w:r>
    </w:p>
    <w:p>
      <w:pPr>
        <w:spacing w:after="0" w:line="186" w:lineRule="exact"/>
        <w:rPr>
          <w:rFonts w:ascii="Arial" w:cs="Arial" w:eastAsia="Arial" w:hAnsi="Arial"/>
          <w:sz w:val="18"/>
          <w:szCs w:val="18"/>
          <w:color w:val="auto"/>
        </w:rPr>
      </w:pPr>
    </w:p>
    <w:p>
      <w:pPr>
        <w:ind w:left="2112" w:right="20" w:hanging="694"/>
        <w:spacing w:after="0" w:line="302" w:lineRule="auto"/>
        <w:tabs>
          <w:tab w:leader="none" w:pos="2112" w:val="left"/>
        </w:tabs>
        <w:numPr>
          <w:ilvl w:val="2"/>
          <w:numId w:val="94"/>
        </w:numPr>
        <w:rPr>
          <w:rFonts w:ascii="Arial" w:cs="Arial" w:eastAsia="Arial" w:hAnsi="Arial"/>
          <w:sz w:val="16"/>
          <w:szCs w:val="16"/>
          <w:color w:val="auto"/>
        </w:rPr>
      </w:pPr>
      <w:r>
        <w:rPr>
          <w:rFonts w:ascii="Arial" w:cs="Arial" w:eastAsia="Arial" w:hAnsi="Arial"/>
          <w:sz w:val="16"/>
          <w:szCs w:val="16"/>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154" w:lineRule="exact"/>
        <w:rPr>
          <w:rFonts w:ascii="Arial" w:cs="Arial" w:eastAsia="Arial" w:hAnsi="Arial"/>
          <w:sz w:val="16"/>
          <w:szCs w:val="16"/>
          <w:color w:val="auto"/>
        </w:rPr>
      </w:pPr>
    </w:p>
    <w:p>
      <w:pPr>
        <w:ind w:left="712" w:hanging="712"/>
        <w:spacing w:after="0"/>
        <w:tabs>
          <w:tab w:leader="none" w:pos="712"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Each Director may elect to defer all or a portion of any Restricted Stock Unit Award.</w:t>
      </w:r>
    </w:p>
    <w:p>
      <w:pPr>
        <w:spacing w:after="0" w:line="225" w:lineRule="exact"/>
        <w:rPr>
          <w:rFonts w:ascii="Arial" w:cs="Arial" w:eastAsia="Arial" w:hAnsi="Arial"/>
          <w:sz w:val="18"/>
          <w:szCs w:val="18"/>
          <w:color w:val="auto"/>
        </w:rPr>
      </w:pPr>
    </w:p>
    <w:p>
      <w:pPr>
        <w:ind w:left="712" w:hanging="712"/>
        <w:spacing w:after="0"/>
        <w:tabs>
          <w:tab w:leader="none" w:pos="712"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Each Director may elect to defer all or a portion of any dividend equivalents paid on Restricted Stock Units.</w:t>
      </w:r>
    </w:p>
    <w:p>
      <w:pPr>
        <w:spacing w:after="0" w:line="225" w:lineRule="exact"/>
        <w:rPr>
          <w:rFonts w:ascii="Arial" w:cs="Arial" w:eastAsia="Arial" w:hAnsi="Arial"/>
          <w:sz w:val="18"/>
          <w:szCs w:val="18"/>
          <w:color w:val="auto"/>
        </w:rPr>
      </w:pPr>
    </w:p>
    <w:p>
      <w:pPr>
        <w:ind w:left="712" w:right="20" w:hanging="712"/>
        <w:spacing w:after="0" w:line="264" w:lineRule="auto"/>
        <w:tabs>
          <w:tab w:leader="none" w:pos="712"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Time of Election. </w:t>
      </w:r>
      <w:r>
        <w:rPr>
          <w:rFonts w:ascii="Arial" w:cs="Arial" w:eastAsia="Arial" w:hAnsi="Arial"/>
          <w:sz w:val="18"/>
          <w:szCs w:val="18"/>
          <w:color w:val="auto"/>
        </w:rPr>
        <w:t>An election to defer all or any portion of Eligible Compensation for any Year shall be made in writing in the form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Form”) prescribed by the Secretary. The Election Form shall contain the Participant's elections as to the time of distribution of any compensation so deferred.</w:t>
      </w:r>
    </w:p>
    <w:p>
      <w:pPr>
        <w:spacing w:after="0" w:line="181" w:lineRule="exact"/>
        <w:rPr>
          <w:rFonts w:ascii="Arial" w:cs="Arial" w:eastAsia="Arial" w:hAnsi="Arial"/>
          <w:sz w:val="18"/>
          <w:szCs w:val="18"/>
          <w:color w:val="auto"/>
        </w:rPr>
      </w:pPr>
    </w:p>
    <w:p>
      <w:pPr>
        <w:ind w:left="1412" w:hanging="710"/>
        <w:spacing w:after="0"/>
        <w:tabs>
          <w:tab w:leader="none" w:pos="1412"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Participant may elect that his or her Deferred Compensation be distributed at the time or times indicated below:</w:t>
      </w:r>
    </w:p>
    <w:p>
      <w:pPr>
        <w:spacing w:after="0" w:line="225" w:lineRule="exact"/>
        <w:rPr>
          <w:rFonts w:ascii="Arial" w:cs="Arial" w:eastAsia="Arial" w:hAnsi="Arial"/>
          <w:sz w:val="18"/>
          <w:szCs w:val="18"/>
          <w:color w:val="auto"/>
        </w:rPr>
      </w:pPr>
    </w:p>
    <w:p>
      <w:pPr>
        <w:ind w:left="2112" w:hanging="694"/>
        <w:spacing w:after="0"/>
        <w:tabs>
          <w:tab w:leader="none" w:pos="2112" w:val="left"/>
        </w:tabs>
        <w:numPr>
          <w:ilvl w:val="2"/>
          <w:numId w:val="95"/>
        </w:numPr>
        <w:rPr>
          <w:rFonts w:ascii="Arial" w:cs="Arial" w:eastAsia="Arial" w:hAnsi="Arial"/>
          <w:sz w:val="18"/>
          <w:szCs w:val="18"/>
          <w:color w:val="auto"/>
        </w:rPr>
      </w:pPr>
      <w:r>
        <w:rPr>
          <w:rFonts w:ascii="Arial" w:cs="Arial" w:eastAsia="Arial" w:hAnsi="Arial"/>
          <w:sz w:val="18"/>
          <w:szCs w:val="18"/>
          <w:color w:val="auto"/>
        </w:rPr>
        <w:t>Entire balance to be distributed immediately after Separation from Service for any reason other than death;</w:t>
      </w:r>
    </w:p>
    <w:p>
      <w:pPr>
        <w:spacing w:after="0" w:line="225" w:lineRule="exact"/>
        <w:rPr>
          <w:rFonts w:ascii="Arial" w:cs="Arial" w:eastAsia="Arial" w:hAnsi="Arial"/>
          <w:sz w:val="18"/>
          <w:szCs w:val="18"/>
          <w:color w:val="auto"/>
        </w:rPr>
      </w:pPr>
    </w:p>
    <w:p>
      <w:pPr>
        <w:ind w:left="2112" w:right="100" w:hanging="694"/>
        <w:spacing w:after="0" w:line="308" w:lineRule="auto"/>
        <w:tabs>
          <w:tab w:leader="none" w:pos="2112" w:val="left"/>
        </w:tabs>
        <w:numPr>
          <w:ilvl w:val="2"/>
          <w:numId w:val="95"/>
        </w:numPr>
        <w:rPr>
          <w:rFonts w:ascii="Arial" w:cs="Arial" w:eastAsia="Arial" w:hAnsi="Arial"/>
          <w:sz w:val="17"/>
          <w:szCs w:val="17"/>
          <w:color w:val="auto"/>
        </w:rPr>
      </w:pPr>
      <w:r>
        <w:rPr>
          <w:rFonts w:ascii="Arial" w:cs="Arial" w:eastAsia="Arial" w:hAnsi="Arial"/>
          <w:sz w:val="17"/>
          <w:szCs w:val="17"/>
          <w:color w:val="auto"/>
        </w:rPr>
        <w:t>Entire balance to be distributed a number of months, as specified by the Participant on the Election Form, after Separation from Service for any reason other than death, but not later than ten years following such Separation from Service;</w:t>
      </w:r>
    </w:p>
    <w:p>
      <w:pPr>
        <w:spacing w:after="0" w:line="146" w:lineRule="exact"/>
        <w:rPr>
          <w:rFonts w:ascii="Arial" w:cs="Arial" w:eastAsia="Arial" w:hAnsi="Arial"/>
          <w:sz w:val="17"/>
          <w:szCs w:val="17"/>
          <w:color w:val="auto"/>
        </w:rPr>
      </w:pPr>
    </w:p>
    <w:p>
      <w:pPr>
        <w:jc w:val="both"/>
        <w:ind w:left="2112" w:right="600" w:hanging="694"/>
        <w:spacing w:after="0" w:line="286" w:lineRule="auto"/>
        <w:tabs>
          <w:tab w:leader="none" w:pos="2112" w:val="left"/>
        </w:tabs>
        <w:numPr>
          <w:ilvl w:val="2"/>
          <w:numId w:val="95"/>
        </w:numPr>
        <w:rPr>
          <w:rFonts w:ascii="Arial" w:cs="Arial" w:eastAsia="Arial" w:hAnsi="Arial"/>
          <w:sz w:val="17"/>
          <w:szCs w:val="17"/>
          <w:color w:val="auto"/>
        </w:rPr>
      </w:pPr>
      <w:r>
        <w:rPr>
          <w:rFonts w:ascii="Arial" w:cs="Arial" w:eastAsia="Arial" w:hAnsi="Arial"/>
          <w:sz w:val="17"/>
          <w:szCs w:val="17"/>
          <w:color w:val="auto"/>
        </w:rPr>
        <w:t>Approximately equal monthly installments for a number of months, as specified by the Participant on the Election Form, commencing the month after Separation from Service for any reason other than death, provided that distribution shall be completed not later than ten years following such Separation from Service; or</w:t>
      </w:r>
    </w:p>
    <w:p>
      <w:pPr>
        <w:spacing w:after="0" w:line="165" w:lineRule="exact"/>
        <w:rPr>
          <w:rFonts w:ascii="Arial" w:cs="Arial" w:eastAsia="Arial" w:hAnsi="Arial"/>
          <w:sz w:val="17"/>
          <w:szCs w:val="17"/>
          <w:color w:val="auto"/>
        </w:rPr>
      </w:pPr>
    </w:p>
    <w:p>
      <w:pPr>
        <w:ind w:left="2112" w:hanging="694"/>
        <w:spacing w:after="0" w:line="286" w:lineRule="auto"/>
        <w:tabs>
          <w:tab w:leader="none" w:pos="2112" w:val="left"/>
        </w:tabs>
        <w:numPr>
          <w:ilvl w:val="2"/>
          <w:numId w:val="95"/>
        </w:numPr>
        <w:rPr>
          <w:rFonts w:ascii="Arial" w:cs="Arial" w:eastAsia="Arial" w:hAnsi="Arial"/>
          <w:sz w:val="17"/>
          <w:szCs w:val="17"/>
          <w:color w:val="auto"/>
        </w:rPr>
      </w:pPr>
      <w:r>
        <w:rPr>
          <w:rFonts w:ascii="Arial" w:cs="Arial" w:eastAsia="Arial" w:hAnsi="Arial"/>
          <w:sz w:val="17"/>
          <w:szCs w:val="17"/>
          <w:color w:val="auto"/>
        </w:rPr>
        <w:t>A percentage of the entire balance to be paid on certain dates, with such percentages and dates specified by the Participant on the Election Form, provided that distribution shall commence no earlier than Separation from Service for any reason other than death, and shall be completed not later than ten years following such Separation from Service.</w:t>
      </w:r>
    </w:p>
    <w:p>
      <w:pPr>
        <w:spacing w:after="0" w:line="382" w:lineRule="exact"/>
        <w:rPr>
          <w:sz w:val="20"/>
          <w:szCs w:val="20"/>
          <w:color w:val="auto"/>
        </w:rPr>
      </w:pPr>
    </w:p>
    <w:p>
      <w:pPr>
        <w:ind w:left="732"/>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93" w:name="page94"/>
    <w:bookmarkEnd w:id="93"/>
    <w:p>
      <w:pPr>
        <w:ind w:left="1180" w:right="140" w:hanging="699"/>
        <w:spacing w:after="0" w:line="277" w:lineRule="auto"/>
        <w:tabs>
          <w:tab w:leader="none" w:pos="11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Participant may revoke an election as to the time of distribution and substitute a new election therefore by submitting an Election Form to the Secretary in accordance with the following criteria:</w:t>
      </w:r>
    </w:p>
    <w:p>
      <w:pPr>
        <w:spacing w:after="0" w:line="170" w:lineRule="exact"/>
        <w:rPr>
          <w:rFonts w:ascii="Arial" w:cs="Arial" w:eastAsia="Arial" w:hAnsi="Arial"/>
          <w:sz w:val="18"/>
          <w:szCs w:val="18"/>
          <w:color w:val="auto"/>
        </w:rPr>
      </w:pPr>
    </w:p>
    <w:p>
      <w:pPr>
        <w:ind w:left="2140" w:right="260" w:hanging="943"/>
        <w:spacing w:after="0" w:line="259" w:lineRule="auto"/>
        <w:tabs>
          <w:tab w:leader="none" w:pos="2140" w:val="left"/>
        </w:tabs>
        <w:numPr>
          <w:ilvl w:val="3"/>
          <w:numId w:val="96"/>
        </w:numPr>
        <w:rPr>
          <w:rFonts w:ascii="Arial" w:cs="Arial" w:eastAsia="Arial" w:hAnsi="Arial"/>
          <w:sz w:val="18"/>
          <w:szCs w:val="18"/>
          <w:color w:val="auto"/>
        </w:rPr>
      </w:pPr>
      <w:r>
        <w:rPr>
          <w:rFonts w:ascii="Arial" w:cs="Arial" w:eastAsia="Arial" w:hAnsi="Arial"/>
          <w:sz w:val="18"/>
          <w:szCs w:val="18"/>
          <w:color w:val="auto"/>
        </w:rPr>
        <w:t>Any new election regarding the time of distribution must result in a minimum of five (5) years’ lapse between the currently applicable distribution date and the new date of distribution (as determined in accordance with the Regulations under Section 409A of the Code); and (B) the election must be made at least twelve (12) months prior to the date of distribution that would otherwise have been applicable.</w:t>
      </w:r>
    </w:p>
    <w:p>
      <w:pPr>
        <w:spacing w:after="0" w:line="186" w:lineRule="exact"/>
        <w:rPr>
          <w:rFonts w:ascii="Arial" w:cs="Arial" w:eastAsia="Arial" w:hAnsi="Arial"/>
          <w:sz w:val="18"/>
          <w:szCs w:val="18"/>
          <w:color w:val="auto"/>
        </w:rPr>
      </w:pPr>
    </w:p>
    <w:p>
      <w:pPr>
        <w:ind w:left="1180" w:right="260" w:hanging="699"/>
        <w:spacing w:after="0" w:line="255" w:lineRule="auto"/>
        <w:tabs>
          <w:tab w:leader="none" w:pos="11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Except as hereinafter provided, to be effective, an Election Form relating to payments for a Year, or to Restricted Stock Units that may be granted in such Year, must be received by the Secretary on or before December 31 of the preceding Year. In the case of a Director’s initial election to the Board, the initial Election Form must be received not more than 30 days following his or her election to the Board and, if received within such 30-day period, the Election Form shall be effective only for Eligible Compensation earned after the election becomes irrevocable pursuant to Section 11(f). The time of election and the time of distribution shall comply in all respects with the applicable requirements of Section 409A of the Code.</w:t>
      </w:r>
    </w:p>
    <w:p>
      <w:pPr>
        <w:spacing w:after="0" w:line="193" w:lineRule="exact"/>
        <w:rPr>
          <w:rFonts w:ascii="Arial" w:cs="Arial" w:eastAsia="Arial" w:hAnsi="Arial"/>
          <w:sz w:val="18"/>
          <w:szCs w:val="18"/>
          <w:color w:val="auto"/>
        </w:rPr>
      </w:pPr>
    </w:p>
    <w:p>
      <w:pPr>
        <w:jc w:val="both"/>
        <w:ind w:left="720" w:right="220" w:hanging="712"/>
        <w:spacing w:after="0" w:line="264" w:lineRule="auto"/>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Irrevocability of Election. </w:t>
      </w:r>
      <w:r>
        <w:rPr>
          <w:rFonts w:ascii="Arial" w:cs="Arial" w:eastAsia="Arial" w:hAnsi="Arial"/>
          <w:sz w:val="18"/>
          <w:szCs w:val="18"/>
          <w:color w:val="auto"/>
        </w:rPr>
        <w:t>A Director’s election to defer all or any portion of his or her Eligible Compensation for any Year and a revocation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substitution of an election regarding the time of distribution shall be irrevocable upon receipt by the Secretary of a completed Election Form from the Director.</w:t>
      </w:r>
    </w:p>
    <w:p>
      <w:pPr>
        <w:spacing w:after="0" w:line="181" w:lineRule="exact"/>
        <w:rPr>
          <w:rFonts w:ascii="Arial" w:cs="Arial" w:eastAsia="Arial" w:hAnsi="Arial"/>
          <w:sz w:val="18"/>
          <w:szCs w:val="18"/>
          <w:color w:val="auto"/>
        </w:rPr>
      </w:pPr>
    </w:p>
    <w:p>
      <w:pPr>
        <w:ind w:left="720" w:hanging="712"/>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Form of 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hanging="950"/>
        <w:spacing w:after="0"/>
        <w:tabs>
          <w:tab w:leader="none" w:pos="16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Distributions of amounts credited to each Participant’s Cash Account shall be made in cash.</w:t>
      </w:r>
    </w:p>
    <w:p>
      <w:pPr>
        <w:spacing w:after="0" w:line="225" w:lineRule="exact"/>
        <w:rPr>
          <w:sz w:val="20"/>
          <w:szCs w:val="20"/>
          <w:color w:val="auto"/>
        </w:rPr>
      </w:pPr>
    </w:p>
    <w:p>
      <w:pPr>
        <w:ind w:left="1660" w:right="200"/>
        <w:spacing w:after="0" w:line="277" w:lineRule="auto"/>
        <w:rPr>
          <w:sz w:val="20"/>
          <w:szCs w:val="20"/>
          <w:color w:val="auto"/>
        </w:rPr>
      </w:pPr>
      <w:r>
        <w:rPr>
          <w:rFonts w:ascii="Arial" w:cs="Arial" w:eastAsia="Arial" w:hAnsi="Arial"/>
          <w:sz w:val="18"/>
          <w:szCs w:val="18"/>
          <w:color w:val="auto"/>
        </w:rPr>
        <w:t>(ii)Distributions of units credited to each Participant’s Stock Unit Account shall be made by issuing to such Participant an equivalent number of Shares.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(iii)Distribution of Shares relating to vested Restricted Stock Units the</w:t>
      </w:r>
    </w:p>
    <w:p>
      <w:pPr>
        <w:spacing w:after="0" w:line="23" w:lineRule="exact"/>
        <w:rPr>
          <w:sz w:val="20"/>
          <w:szCs w:val="20"/>
          <w:color w:val="auto"/>
        </w:rPr>
      </w:pPr>
    </w:p>
    <w:p>
      <w:pPr>
        <w:ind w:left="1680"/>
        <w:spacing w:after="0" w:line="254" w:lineRule="auto"/>
        <w:rPr>
          <w:sz w:val="20"/>
          <w:szCs w:val="20"/>
          <w:color w:val="auto"/>
        </w:rPr>
      </w:pPr>
      <w:r>
        <w:rPr>
          <w:rFonts w:ascii="Arial" w:cs="Arial" w:eastAsia="Arial" w:hAnsi="Arial"/>
          <w:sz w:val="18"/>
          <w:szCs w:val="18"/>
          <w:color w:val="auto"/>
        </w:rPr>
        <w:t>Participant has elected to defer shall be made by issuing to such Participant the whole number of Shares attributable to such vested Restricted Stock Units. Notwithstanding the foregoing, no fractional shares will be issued and any fractional unit will be distributed by payment of cash in the amount represented by such fractional unit based on the Fair Market Value on the date preceding the date of payment.</w:t>
      </w:r>
    </w:p>
    <w:p>
      <w:pPr>
        <w:spacing w:after="0" w:line="190"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i w:val="1"/>
          <w:iCs w:val="1"/>
          <w:color w:val="auto"/>
        </w:rPr>
        <w:t>Time of Distributions.</w:t>
      </w:r>
    </w:p>
    <w:p>
      <w:pPr>
        <w:spacing w:after="0" w:line="225" w:lineRule="exact"/>
        <w:rPr>
          <w:sz w:val="20"/>
          <w:szCs w:val="20"/>
          <w:color w:val="auto"/>
        </w:rPr>
      </w:pPr>
    </w:p>
    <w:p>
      <w:pPr>
        <w:jc w:val="both"/>
        <w:ind w:left="1180" w:right="100" w:hanging="699"/>
        <w:spacing w:after="0" w:line="291" w:lineRule="auto"/>
        <w:tabs>
          <w:tab w:leader="none" w:pos="11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Normal Distributions. Except as otherwise hereinafter provided, distributions from a Participant's Deferred Compensation Account shall be made (Y) on the first day of the month following such Participant’s Separation from Service on the Board for any reason other than death, or</w:t>
      </w:r>
    </w:p>
    <w:p>
      <w:pPr>
        <w:ind w:left="1180"/>
        <w:spacing w:after="0"/>
        <w:rPr>
          <w:rFonts w:ascii="Arial" w:cs="Arial" w:eastAsia="Arial" w:hAnsi="Arial"/>
          <w:sz w:val="16"/>
          <w:szCs w:val="16"/>
          <w:color w:val="auto"/>
        </w:rPr>
      </w:pPr>
      <w:r>
        <w:rPr>
          <w:rFonts w:ascii="Arial" w:cs="Arial" w:eastAsia="Arial" w:hAnsi="Arial"/>
          <w:sz w:val="18"/>
          <w:szCs w:val="18"/>
          <w:color w:val="auto"/>
        </w:rPr>
        <w:t>(Z) at such later time as the Participant has elected on his or her Election Form in accordance with the terms of this Plan.</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ind w:left="1172" w:right="440"/>
        <w:spacing w:after="0" w:line="277" w:lineRule="auto"/>
        <w:rPr>
          <w:sz w:val="20"/>
          <w:szCs w:val="20"/>
          <w:color w:val="auto"/>
        </w:rPr>
      </w:pPr>
      <w:r>
        <w:rPr>
          <w:rFonts w:ascii="Arial" w:cs="Arial" w:eastAsia="Arial" w:hAnsi="Arial"/>
          <w:sz w:val="18"/>
          <w:szCs w:val="18"/>
          <w:color w:val="auto"/>
        </w:rPr>
        <w:t>Notwithstanding the foregoing, no distribution may be made to a Specified Employee before the date that is six months after the date of Separation from Service or, if earlier, the date of death.</w:t>
      </w:r>
    </w:p>
    <w:p>
      <w:pPr>
        <w:spacing w:after="0" w:line="170" w:lineRule="exact"/>
        <w:rPr>
          <w:sz w:val="20"/>
          <w:szCs w:val="20"/>
          <w:color w:val="auto"/>
        </w:rPr>
      </w:pPr>
    </w:p>
    <w:p>
      <w:pPr>
        <w:ind w:left="1172" w:right="120" w:hanging="699"/>
        <w:spacing w:after="0" w:line="257" w:lineRule="auto"/>
        <w:tabs>
          <w:tab w:leader="none" w:pos="1172"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 in Control. In the event a Participant experiences a Separation From Service (other than for cause) within 24 months after a Change in Control (Post-2010 Grant), then, to the extent permitted without additional tax or penalty by Section 409A of the Code, such Participant shall receive a distribution of the balances credited to the Participant’s Account which are attributable to amounts credited to the account beginning on or after January 1, 2010. See Section 9(c)(iii) for the effect of such Separation From Service on deferred Restricted Stock Units.</w:t>
      </w:r>
    </w:p>
    <w:p>
      <w:pPr>
        <w:spacing w:after="0" w:line="188" w:lineRule="exact"/>
        <w:rPr>
          <w:rFonts w:ascii="Arial" w:cs="Arial" w:eastAsia="Arial" w:hAnsi="Arial"/>
          <w:sz w:val="18"/>
          <w:szCs w:val="18"/>
          <w:color w:val="auto"/>
        </w:rPr>
      </w:pPr>
    </w:p>
    <w:p>
      <w:pPr>
        <w:ind w:left="1172" w:right="40"/>
        <w:spacing w:after="0" w:line="259" w:lineRule="auto"/>
        <w:rPr>
          <w:rFonts w:ascii="Arial" w:cs="Arial" w:eastAsia="Arial" w:hAnsi="Arial"/>
          <w:sz w:val="18"/>
          <w:szCs w:val="18"/>
          <w:color w:val="auto"/>
        </w:rPr>
      </w:pPr>
      <w:r>
        <w:rPr>
          <w:rFonts w:ascii="Arial" w:cs="Arial" w:eastAsia="Arial" w:hAnsi="Arial"/>
          <w:sz w:val="18"/>
          <w:szCs w:val="18"/>
          <w:color w:val="auto"/>
        </w:rPr>
        <w:t>The amounts to be distributed pursuant to this Section 11(h)(ii) shall be paid on, or as soon as practicable (but no later than 60 days) after, the Participant’s Separation from Service, provided, however, that if the Participant is a Specified Employee upon such Separation From Service, the balances credited to the Participant’s Account will be distributed on, or as soon as practicable (but no more than 10 days) after, the first day of the seventh month following such Separation From Service.</w:t>
      </w:r>
    </w:p>
    <w:p>
      <w:pPr>
        <w:spacing w:after="0" w:line="186" w:lineRule="exact"/>
        <w:rPr>
          <w:rFonts w:ascii="Arial" w:cs="Arial" w:eastAsia="Arial" w:hAnsi="Arial"/>
          <w:sz w:val="18"/>
          <w:szCs w:val="18"/>
          <w:color w:val="auto"/>
        </w:rPr>
      </w:pPr>
    </w:p>
    <w:p>
      <w:pPr>
        <w:jc w:val="both"/>
        <w:ind w:left="1172" w:right="300"/>
        <w:spacing w:after="0" w:line="264" w:lineRule="auto"/>
        <w:rPr>
          <w:rFonts w:ascii="Arial" w:cs="Arial" w:eastAsia="Arial" w:hAnsi="Arial"/>
          <w:sz w:val="18"/>
          <w:szCs w:val="18"/>
          <w:color w:val="auto"/>
        </w:rPr>
      </w:pPr>
      <w:r>
        <w:rPr>
          <w:rFonts w:ascii="Arial" w:cs="Arial" w:eastAsia="Arial" w:hAnsi="Arial"/>
          <w:sz w:val="18"/>
          <w:szCs w:val="18"/>
          <w:color w:val="auto"/>
        </w:rPr>
        <w:t>To the extent that distributions of amounts pursuant to this Section 11(h)(ii) are not permitted without additional tax or penalty by Section 409A of the Code, the affected Participant shall receive distribution of the amounts referred to in this Section 11(h)(ii) in accordance with Section 11(h)(i).</w:t>
      </w:r>
    </w:p>
    <w:p>
      <w:pPr>
        <w:spacing w:after="0" w:line="181" w:lineRule="exact"/>
        <w:rPr>
          <w:rFonts w:ascii="Arial" w:cs="Arial" w:eastAsia="Arial" w:hAnsi="Arial"/>
          <w:sz w:val="18"/>
          <w:szCs w:val="18"/>
          <w:color w:val="auto"/>
        </w:rPr>
      </w:pPr>
    </w:p>
    <w:p>
      <w:pPr>
        <w:ind w:left="1172" w:right="40" w:hanging="699"/>
        <w:spacing w:after="0" w:line="291" w:lineRule="auto"/>
        <w:tabs>
          <w:tab w:leader="none" w:pos="1172" w:val="left"/>
        </w:tabs>
        <w:numPr>
          <w:ilvl w:val="0"/>
          <w:numId w:val="99"/>
        </w:numPr>
        <w:rPr>
          <w:rFonts w:ascii="Arial" w:cs="Arial" w:eastAsia="Arial" w:hAnsi="Arial"/>
          <w:sz w:val="16"/>
          <w:szCs w:val="16"/>
          <w:color w:val="auto"/>
        </w:rPr>
      </w:pPr>
      <w:r>
        <w:rPr>
          <w:rFonts w:ascii="Arial" w:cs="Arial" w:eastAsia="Arial" w:hAnsi="Arial"/>
          <w:sz w:val="16"/>
          <w:szCs w:val="16"/>
          <w:color w:val="auto"/>
        </w:rPr>
        <w:t>Unforeseeable Emergency. An earlier distribution may be made upon a finding that the Participant is suffering from an Unforeseeable Emergency. A withdrawal on account of Unforeseeable Emergency may not be made to the extent that such emergency is or may be relieved</w:t>
      </w:r>
    </w:p>
    <w:p>
      <w:pPr>
        <w:ind w:left="1172" w:right="440"/>
        <w:spacing w:after="0" w:line="290" w:lineRule="auto"/>
        <w:rPr>
          <w:rFonts w:ascii="Arial" w:cs="Arial" w:eastAsia="Arial" w:hAnsi="Arial"/>
          <w:sz w:val="16"/>
          <w:szCs w:val="16"/>
          <w:color w:val="auto"/>
        </w:rPr>
      </w:pPr>
      <w:r>
        <w:rPr>
          <w:rFonts w:ascii="Arial" w:cs="Arial" w:eastAsia="Arial" w:hAnsi="Arial"/>
          <w:sz w:val="17"/>
          <w:szCs w:val="17"/>
          <w:color w:val="auto"/>
        </w:rPr>
        <w:t>(A) through reimbursement or compensation from insurance or otherwise, (B) by liquidation of the Participant’s assets, to the extent the liquidation of such assets would not cause severe financial hardship, or (C) by cessation of deferrals under the Plan.</w:t>
      </w:r>
    </w:p>
    <w:p>
      <w:pPr>
        <w:spacing w:after="0" w:line="162" w:lineRule="exact"/>
        <w:rPr>
          <w:sz w:val="20"/>
          <w:szCs w:val="20"/>
          <w:color w:val="auto"/>
        </w:rPr>
      </w:pPr>
    </w:p>
    <w:p>
      <w:pPr>
        <w:ind w:left="1172"/>
        <w:spacing w:after="0" w:line="273" w:lineRule="auto"/>
        <w:rPr>
          <w:sz w:val="20"/>
          <w:szCs w:val="20"/>
          <w:color w:val="auto"/>
        </w:rPr>
      </w:pPr>
      <w:r>
        <w:rPr>
          <w:rFonts w:ascii="Arial" w:cs="Arial" w:eastAsia="Arial" w:hAnsi="Arial"/>
          <w:sz w:val="17"/>
          <w:szCs w:val="17"/>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Administrator, in its sole discretion. The Participant must apply in writing for a payment upon an “Unforeseeable Emergency,” using the form prescribed by the Administrator. The Administrator retains the sole and absolute discretion to grant or deny a payment upon an Unforeseeable Emergency. In the event of approval of a payment upon an Unforeseeable Emergency, the Participant’s outstanding deferral elections under the Plan shall be cancelled.</w:t>
      </w:r>
    </w:p>
    <w:p>
      <w:pPr>
        <w:spacing w:after="0" w:line="178" w:lineRule="exact"/>
        <w:rPr>
          <w:sz w:val="20"/>
          <w:szCs w:val="20"/>
          <w:color w:val="auto"/>
        </w:rPr>
      </w:pPr>
    </w:p>
    <w:p>
      <w:pPr>
        <w:jc w:val="both"/>
        <w:ind w:left="712" w:hanging="712"/>
        <w:spacing w:after="0" w:line="264" w:lineRule="auto"/>
        <w:tabs>
          <w:tab w:leader="none" w:pos="712"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Death of Participant</w:t>
      </w:r>
      <w:r>
        <w:rPr>
          <w:rFonts w:ascii="Arial" w:cs="Arial" w:eastAsia="Arial" w:hAnsi="Arial"/>
          <w:sz w:val="18"/>
          <w:szCs w:val="18"/>
          <w:color w:val="auto"/>
        </w:rPr>
        <w:t>. Notwithstanding the foregoing, in the event of the death of a Participant prior to receipt by such Participant of the full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and number of shares to be distributed from his or her Deferred Compensation Account, all such cash and/or shares will be distributed to the beneficiary or</w:t>
      </w:r>
    </w:p>
    <w:p>
      <w:pPr>
        <w:spacing w:after="0" w:line="181" w:lineRule="exact"/>
        <w:rPr>
          <w:sz w:val="20"/>
          <w:szCs w:val="20"/>
          <w:color w:val="auto"/>
        </w:rPr>
      </w:pPr>
    </w:p>
    <w:p>
      <w:pPr>
        <w:ind w:left="732"/>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557" w:right="259" w:bottom="1440" w:gutter="0" w:footer="0" w:header="0"/>
        </w:sectPr>
      </w:pPr>
    </w:p>
    <w:bookmarkStart w:id="95" w:name="page96"/>
    <w:bookmarkEnd w:id="95"/>
    <w:p>
      <w:pPr>
        <w:ind w:left="720" w:right="180"/>
        <w:spacing w:after="0" w:line="286" w:lineRule="auto"/>
        <w:rPr>
          <w:sz w:val="20"/>
          <w:szCs w:val="20"/>
          <w:color w:val="auto"/>
        </w:rPr>
      </w:pPr>
      <w:r>
        <w:rPr>
          <w:rFonts w:ascii="Arial" w:cs="Arial" w:eastAsia="Arial" w:hAnsi="Arial"/>
          <w:sz w:val="17"/>
          <w:szCs w:val="17"/>
          <w:color w:val="auto"/>
        </w:rPr>
        <w:t>beneficiaries designated by the Participant, or if no beneficiary has been designated, to the Participant’s estate as soon as practicable following the month in which the death occurred. Shares to be distributed to the Participant in connection with deferred Restricted Stock Units shall also be distributed as described in the preceding sentence but in no event earlier than the fourth anniversary of the date of grant.</w:t>
      </w:r>
    </w:p>
    <w:p>
      <w:pPr>
        <w:spacing w:after="0" w:line="166" w:lineRule="exact"/>
        <w:rPr>
          <w:sz w:val="20"/>
          <w:szCs w:val="20"/>
          <w:color w:val="auto"/>
        </w:rPr>
      </w:pPr>
    </w:p>
    <w:p>
      <w:pPr>
        <w:ind w:left="720" w:hanging="712"/>
        <w:spacing w:after="0" w:line="276" w:lineRule="auto"/>
        <w:tabs>
          <w:tab w:leader="none" w:pos="72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Certain Rights Reserved by the Company</w:t>
      </w:r>
      <w:r>
        <w:rPr>
          <w:rFonts w:ascii="Arial" w:cs="Arial" w:eastAsia="Arial" w:hAnsi="Arial"/>
          <w:sz w:val="17"/>
          <w:szCs w:val="17"/>
          <w:color w:val="auto"/>
        </w:rPr>
        <w:t>. In the event that, pursuant to Section 13, the Company suspends, modifies or terminates this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have the right to distribute to each Participant all amounts in such Participant’s Cash Account or Shares equivalent to units in such Participant’s Stock Unit Account, including, in the case of Stock Unit Accounts, the right to distribute cash equivalent to the units in such Accounts and all Shares attributable to vested Restricted Stock Units that a Participant has elected to defer, provided that any such suspension, modification or termination may be effected without penalty under Section 409A of the Code.</w:t>
      </w:r>
    </w:p>
    <w:p>
      <w:pPr>
        <w:spacing w:after="0" w:line="172" w:lineRule="exact"/>
        <w:rPr>
          <w:rFonts w:ascii="Arial" w:cs="Arial" w:eastAsia="Arial" w:hAnsi="Arial"/>
          <w:sz w:val="17"/>
          <w:szCs w:val="17"/>
          <w:color w:val="auto"/>
        </w:rPr>
      </w:pPr>
    </w:p>
    <w:p>
      <w:pPr>
        <w:ind w:left="720" w:right="140" w:hanging="712"/>
        <w:spacing w:after="0" w:line="257"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Certain Affiliations</w:t>
      </w:r>
      <w:r>
        <w:rPr>
          <w:rFonts w:ascii="Arial" w:cs="Arial" w:eastAsia="Arial" w:hAnsi="Arial"/>
          <w:sz w:val="18"/>
          <w:szCs w:val="18"/>
          <w:color w:val="auto"/>
        </w:rPr>
        <w:t>. In the event that a Participant terminates his or her membership on the Board and becomes affiliated with a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agency, all amounts in such Participant’s Cash Account, shares equivalent to units in such Participant’s Stock Unit Account and Shares attributable to Restricted Stock Units that such Participant has elected to defer will be distributed to the Participant if such payment is necessary to avoid violation of any applicable federal, state, local or foreign ethics or conflict of interest law or if necessary to comply with an ethics agreement with the federal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OTHER STOCK-BASED AWARDS.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Administrator is hereby authorized to grant to Directors such other Awards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12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 The Company intends that such other Awards granted pursuant to this Section shall comply with Section 409A of the Code if applicable.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AMENDMENT AND 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or inconsistent with applicable law:</w:t>
      </w:r>
    </w:p>
    <w:p>
      <w:pPr>
        <w:spacing w:after="0" w:line="225" w:lineRule="exact"/>
        <w:rPr>
          <w:sz w:val="20"/>
          <w:szCs w:val="20"/>
          <w:color w:val="auto"/>
        </w:rPr>
      </w:pPr>
    </w:p>
    <w:p>
      <w:pPr>
        <w:ind w:left="720" w:right="20" w:hanging="712"/>
        <w:spacing w:after="0" w:line="264"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The Board may amend, alter, suspend, discontinue or terminate the Plan, including, without limitation, the number of shares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Awards granted pursuant to Sections 6, 7 and 10, without the consent of any stockholder, Participant, other holder or beneficiary of any Award, or other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amendment, alteration, suspension,</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6" w:name="page97"/>
    <w:bookmarkEnd w:id="96"/>
    <w:p>
      <w:pPr>
        <w:ind w:left="720"/>
        <w:spacing w:after="0" w:line="268" w:lineRule="auto"/>
        <w:rPr>
          <w:sz w:val="20"/>
          <w:szCs w:val="20"/>
          <w:color w:val="auto"/>
        </w:rPr>
      </w:pPr>
      <w:r>
        <w:rPr>
          <w:rFonts w:ascii="Arial" w:cs="Arial" w:eastAsia="Arial" w:hAnsi="Arial"/>
          <w:sz w:val="17"/>
          <w:szCs w:val="17"/>
          <w:color w:val="auto"/>
        </w:rPr>
        <w:t xml:space="preserve">discontinuation or termination shall be made without (i) stockholder approval if such approval is necessary to comply with the listing requirements of The NASDAQ Stock Market or (ii) the consent of the affected Participants, if such action would adversely affect the rights of such Participants under any outstanding Award;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such amendment or alteration shall increase the aggregate number of shares that may be issued under the Plan except as provided in Section 5(d). In addition, any such amendment shall be in compliance with Section 409A of the Code. The Administrator may modify any outstanding Awards to comply with Section 409A without consent from Participants. Notwithstanding any other provision of the Plan or any Award Agreement, no amendment, alteration, suspension, discontinuation or termination of the Plan or any Award Agreement shall be made that would (1) permit Options or SARs to be granted with a per Share exercise price of less than the Fair Market Value of a Share on the date of grant thereof or (2) except as provided in Section 5(d), (w) reduce the exercise price of any Option or SAR established at the time of grant thereof, (x) be treated as a repricing under U.S. generally accepted accounting principles (“GAAP”), (y) cancel an Option or SAR in exchange for another Option, SAR, restricted stock unit or any other Award, or (z) terminate an Option or SAR in exchange for a cash amount equal to or greater than the excess, if any, of the Fair Market Value of the underlying Shares on the date of cancellation over the exercise price times the number of Shares outstanding under the Award. A cancellation and exchange described in clause (y) of the immediately preceding sentence is prohibited regardless of whether the option, SAR, restricted stock unit or other equity is delivered simultaneously with the cancellation and regardless of whether the cancellation and exchange are treated as a repricing under GAAP or are voluntary on the part of the Participant.</w:t>
      </w:r>
    </w:p>
    <w:p>
      <w:pPr>
        <w:spacing w:after="0" w:line="183" w:lineRule="exact"/>
        <w:rPr>
          <w:sz w:val="20"/>
          <w:szCs w:val="20"/>
          <w:color w:val="auto"/>
        </w:rPr>
      </w:pPr>
    </w:p>
    <w:p>
      <w:pPr>
        <w:ind w:left="720" w:right="840" w:hanging="712"/>
        <w:spacing w:after="0" w:line="342" w:lineRule="auto"/>
        <w:tabs>
          <w:tab w:leader="none" w:pos="72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Correction of Defects, Omissions and Inconsistencies</w:t>
      </w:r>
      <w:r>
        <w:rPr>
          <w:rFonts w:ascii="Arial" w:cs="Arial" w:eastAsia="Arial" w:hAnsi="Arial"/>
          <w:sz w:val="16"/>
          <w:szCs w:val="16"/>
          <w:color w:val="auto"/>
        </w:rPr>
        <w:t>. The Administrator may correct any defect, supply any omission, or reconcile any</w:t>
      </w:r>
      <w:r>
        <w:rPr>
          <w:rFonts w:ascii="Arial" w:cs="Arial" w:eastAsia="Arial" w:hAnsi="Arial"/>
          <w:sz w:val="16"/>
          <w:szCs w:val="16"/>
          <w:i w:val="1"/>
          <w:iCs w:val="1"/>
          <w:color w:val="auto"/>
        </w:rPr>
        <w:t xml:space="preserve"> </w:t>
      </w:r>
      <w:r>
        <w:rPr>
          <w:rFonts w:ascii="Arial" w:cs="Arial" w:eastAsia="Arial" w:hAnsi="Arial"/>
          <w:sz w:val="16"/>
          <w:szCs w:val="16"/>
          <w:color w:val="auto"/>
        </w:rPr>
        <w:t>inconsistency in the Plan or any Award in the manner and to the extent it shall deem desirable to carry the Plan into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GENERAL PROVISIONS.</w:t>
      </w:r>
    </w:p>
    <w:p>
      <w:pPr>
        <w:spacing w:after="0" w:line="229" w:lineRule="exact"/>
        <w:rPr>
          <w:sz w:val="20"/>
          <w:szCs w:val="20"/>
          <w:color w:val="auto"/>
        </w:rPr>
      </w:pPr>
    </w:p>
    <w:p>
      <w:pPr>
        <w:ind w:left="720" w:right="140" w:hanging="712"/>
        <w:spacing w:after="0" w:line="264"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No Rights of Stockholders</w:t>
      </w:r>
      <w:r>
        <w:rPr>
          <w:rFonts w:ascii="Arial" w:cs="Arial" w:eastAsia="Arial" w:hAnsi="Arial"/>
          <w:sz w:val="18"/>
          <w:szCs w:val="18"/>
          <w:color w:val="auto"/>
        </w:rPr>
        <w:t>. Neither a Participant nor a Participant’s legal representative shall be, or have any of the rights and privileges of,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the Company in respect of any Shares issuable under the Plan in connection with any Award or Account, in whole or in part, unless and until certificates or other indicia of ownership of such shares shall have been issued.</w:t>
      </w:r>
    </w:p>
    <w:p>
      <w:pPr>
        <w:spacing w:after="0" w:line="181" w:lineRule="exact"/>
        <w:rPr>
          <w:rFonts w:ascii="Arial" w:cs="Arial" w:eastAsia="Arial" w:hAnsi="Arial"/>
          <w:sz w:val="18"/>
          <w:szCs w:val="18"/>
          <w:color w:val="auto"/>
        </w:rPr>
      </w:pPr>
    </w:p>
    <w:p>
      <w:pPr>
        <w:jc w:val="both"/>
        <w:ind w:left="720" w:right="60" w:hanging="712"/>
        <w:spacing w:after="0" w:line="286" w:lineRule="auto"/>
        <w:tabs>
          <w:tab w:leader="none" w:pos="72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 xml:space="preserve">Limits of Transfer of Awards. </w:t>
      </w:r>
      <w:r>
        <w:rPr>
          <w:rFonts w:ascii="Arial" w:cs="Arial" w:eastAsia="Arial" w:hAnsi="Arial"/>
          <w:sz w:val="17"/>
          <w:szCs w:val="17"/>
          <w:color w:val="auto"/>
        </w:rPr>
        <w:t>No Award and no right under any such Award, shall be assignable, alienable, saleable or transferable by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165" w:lineRule="exact"/>
        <w:rPr>
          <w:rFonts w:ascii="Arial" w:cs="Arial" w:eastAsia="Arial" w:hAnsi="Arial"/>
          <w:sz w:val="17"/>
          <w:szCs w:val="17"/>
          <w:color w:val="auto"/>
        </w:rPr>
      </w:pPr>
    </w:p>
    <w:p>
      <w:pPr>
        <w:ind w:left="720" w:right="220" w:hanging="712"/>
        <w:spacing w:after="0" w:line="342" w:lineRule="auto"/>
        <w:tabs>
          <w:tab w:leader="none" w:pos="72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No Limit on Other Compensation Arrangements</w:t>
      </w:r>
      <w:r>
        <w:rPr>
          <w:rFonts w:ascii="Arial" w:cs="Arial" w:eastAsia="Arial" w:hAnsi="Arial"/>
          <w:sz w:val="16"/>
          <w:szCs w:val="16"/>
          <w:color w:val="auto"/>
        </w:rPr>
        <w:t>. Nothing contained in the Plan shall prevent the Company from adopting or continuing in effect</w:t>
      </w:r>
      <w:r>
        <w:rPr>
          <w:rFonts w:ascii="Arial" w:cs="Arial" w:eastAsia="Arial" w:hAnsi="Arial"/>
          <w:sz w:val="16"/>
          <w:szCs w:val="16"/>
          <w:i w:val="1"/>
          <w:iCs w:val="1"/>
          <w:color w:val="auto"/>
        </w:rPr>
        <w:t xml:space="preserve"> </w:t>
      </w:r>
      <w:r>
        <w:rPr>
          <w:rFonts w:ascii="Arial" w:cs="Arial" w:eastAsia="Arial" w:hAnsi="Arial"/>
          <w:sz w:val="16"/>
          <w:szCs w:val="16"/>
          <w:color w:val="auto"/>
        </w:rPr>
        <w:t>other or additional compensation arrangements, and such arrangements may be either generally applicable or applicable only in specific cases.</w:t>
      </w:r>
    </w:p>
    <w:p>
      <w:pPr>
        <w:spacing w:after="0" w:line="3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7" w:name="page98"/>
    <w:bookmarkEnd w:id="97"/>
    <w:p>
      <w:pPr>
        <w:ind w:left="712" w:right="760" w:hanging="712"/>
        <w:spacing w:after="0" w:line="308" w:lineRule="auto"/>
        <w:tabs>
          <w:tab w:leader="none" w:pos="712"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Governing Law</w:t>
      </w:r>
      <w:r>
        <w:rPr>
          <w:rFonts w:ascii="Arial" w:cs="Arial" w:eastAsia="Arial" w:hAnsi="Arial"/>
          <w:sz w:val="17"/>
          <w:szCs w:val="17"/>
          <w:color w:val="auto"/>
        </w:rPr>
        <w:t>. The validity, construction, and effect of the Plan and any rules and regulations relating to the Plan shall be determined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laws of the State of Delaware without giving effect to the principles of conflict of laws thereof.</w:t>
      </w:r>
    </w:p>
    <w:p>
      <w:pPr>
        <w:spacing w:after="0" w:line="146" w:lineRule="exact"/>
        <w:rPr>
          <w:rFonts w:ascii="Arial" w:cs="Arial" w:eastAsia="Arial" w:hAnsi="Arial"/>
          <w:sz w:val="17"/>
          <w:szCs w:val="17"/>
          <w:color w:val="auto"/>
        </w:rPr>
      </w:pPr>
    </w:p>
    <w:p>
      <w:pPr>
        <w:ind w:left="712" w:right="100" w:hanging="712"/>
        <w:spacing w:after="0" w:line="297" w:lineRule="auto"/>
        <w:tabs>
          <w:tab w:leader="none" w:pos="712"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of the Plan or any Award Agreement is or becomes or is deemed to be invalid, illegal, or unenforceable in any</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or 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158" w:lineRule="exact"/>
        <w:rPr>
          <w:rFonts w:ascii="Arial" w:cs="Arial" w:eastAsia="Arial" w:hAnsi="Arial"/>
          <w:sz w:val="16"/>
          <w:szCs w:val="16"/>
          <w:color w:val="auto"/>
        </w:rPr>
      </w:pPr>
    </w:p>
    <w:p>
      <w:pPr>
        <w:ind w:left="712" w:hanging="712"/>
        <w:spacing w:after="0" w:line="259" w:lineRule="auto"/>
        <w:tabs>
          <w:tab w:leader="none" w:pos="712"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or Account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186" w:lineRule="exact"/>
        <w:rPr>
          <w:rFonts w:ascii="Arial" w:cs="Arial" w:eastAsia="Arial" w:hAnsi="Arial"/>
          <w:sz w:val="18"/>
          <w:szCs w:val="18"/>
          <w:color w:val="auto"/>
        </w:rPr>
      </w:pPr>
    </w:p>
    <w:p>
      <w:pPr>
        <w:ind w:left="712" w:right="60" w:hanging="712"/>
        <w:spacing w:after="0" w:line="259" w:lineRule="auto"/>
        <w:tabs>
          <w:tab w:leader="none" w:pos="712"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Accounts Unsecured</w:t>
      </w:r>
      <w:r>
        <w:rPr>
          <w:rFonts w:ascii="Arial" w:cs="Arial" w:eastAsia="Arial" w:hAnsi="Arial"/>
          <w:sz w:val="18"/>
          <w:szCs w:val="18"/>
          <w:color w:val="auto"/>
        </w:rPr>
        <w:t>. Until distributed, all amounts credited to any Cash Accounts or represented by units credited to any Stock Unit Account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property of the Company, available for the Company’s use, and subject to the claims of general creditors of the Company. The rights of any Participant or beneficiary to distributions under this Plan are not subject to anticipation, alienation, sale, transfer, assignment, or encumbrance, and shall not be subject to the debts or liabilities of any Participant or beneficiary.</w:t>
      </w:r>
    </w:p>
    <w:p>
      <w:pPr>
        <w:spacing w:after="0" w:line="186" w:lineRule="exact"/>
        <w:rPr>
          <w:rFonts w:ascii="Arial" w:cs="Arial" w:eastAsia="Arial" w:hAnsi="Arial"/>
          <w:sz w:val="18"/>
          <w:szCs w:val="18"/>
          <w:color w:val="auto"/>
        </w:rPr>
      </w:pPr>
    </w:p>
    <w:p>
      <w:pPr>
        <w:ind w:left="712" w:right="120" w:hanging="712"/>
        <w:spacing w:after="0" w:line="257" w:lineRule="auto"/>
        <w:tabs>
          <w:tab w:leader="none" w:pos="712"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The Company shall be authorized to withhold from any Awards granted or any transfer made under any Award or under the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from any 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of the Company for the payment of any such taxes.</w:t>
      </w:r>
    </w:p>
    <w:p>
      <w:pPr>
        <w:spacing w:after="0" w:line="188" w:lineRule="exact"/>
        <w:rPr>
          <w:rFonts w:ascii="Arial" w:cs="Arial" w:eastAsia="Arial" w:hAnsi="Arial"/>
          <w:sz w:val="18"/>
          <w:szCs w:val="18"/>
          <w:color w:val="auto"/>
        </w:rPr>
      </w:pPr>
    </w:p>
    <w:p>
      <w:pPr>
        <w:ind w:left="712" w:right="40" w:hanging="712"/>
        <w:spacing w:after="0" w:line="259" w:lineRule="auto"/>
        <w:tabs>
          <w:tab w:leader="none" w:pos="712"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 Participant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186" w:lineRule="exact"/>
        <w:rPr>
          <w:rFonts w:ascii="Arial" w:cs="Arial" w:eastAsia="Arial" w:hAnsi="Arial"/>
          <w:sz w:val="18"/>
          <w:szCs w:val="18"/>
          <w:color w:val="auto"/>
        </w:rPr>
      </w:pPr>
    </w:p>
    <w:p>
      <w:pPr>
        <w:ind w:left="712" w:right="780" w:hanging="712"/>
        <w:spacing w:after="0" w:line="277" w:lineRule="auto"/>
        <w:tabs>
          <w:tab w:leader="none" w:pos="712"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409A Compliance</w:t>
      </w:r>
      <w:r>
        <w:rPr>
          <w:rFonts w:ascii="Arial" w:cs="Arial" w:eastAsia="Arial" w:hAnsi="Arial"/>
          <w:sz w:val="18"/>
          <w:szCs w:val="18"/>
          <w:color w:val="auto"/>
        </w:rPr>
        <w:t>. The Company makes no representations or covenants that any Award granted or Deferred Compensation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under the Plan will comply with Section 409A of the Code.</w:t>
      </w:r>
    </w:p>
    <w:p>
      <w:pPr>
        <w:spacing w:after="0" w:line="387" w:lineRule="exact"/>
        <w:rPr>
          <w:sz w:val="20"/>
          <w:szCs w:val="20"/>
          <w:color w:val="auto"/>
        </w:rPr>
      </w:pPr>
    </w:p>
    <w:p>
      <w:pPr>
        <w:ind w:left="732"/>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SECTION 15. EFFECTIVE DATE OF THE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TERM OF THE PLAN.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 Award shall be granted or compensation deferred under the Plan after the tenth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and the Board under Section 12 to amend, alter, adjust, suspend, discontinue, or terminate any such Award or Account, or to waive any conditions or rights thereunder, shall extend beyond such date.</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337" w:right="37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u w:val="single" w:color="auto"/>
          <w:color w:val="auto"/>
        </w:rPr>
        <w:t>Exhibit 12</w:t>
      </w:r>
    </w:p>
    <w:p>
      <w:pPr>
        <w:spacing w:after="0" w:line="22" w:lineRule="exact"/>
        <w:rPr>
          <w:sz w:val="20"/>
          <w:szCs w:val="20"/>
          <w:color w:val="auto"/>
        </w:rPr>
      </w:pPr>
    </w:p>
    <w:p>
      <w:pPr>
        <w:jc w:val="center"/>
        <w:ind w:right="2220"/>
        <w:spacing w:after="0"/>
        <w:rPr>
          <w:sz w:val="20"/>
          <w:szCs w:val="20"/>
          <w:color w:val="auto"/>
        </w:rPr>
      </w:pPr>
      <w:r>
        <w:rPr>
          <w:rFonts w:ascii="Arial" w:cs="Arial" w:eastAsia="Arial" w:hAnsi="Arial"/>
          <w:sz w:val="16"/>
          <w:szCs w:val="16"/>
          <w:b w:val="1"/>
          <w:bCs w:val="1"/>
          <w:color w:val="auto"/>
        </w:rPr>
        <w:t>Texas Instruments Incorporated and Subsidiaries</w:t>
      </w:r>
    </w:p>
    <w:p>
      <w:pPr>
        <w:spacing w:after="0" w:line="186" w:lineRule="exact"/>
        <w:rPr>
          <w:sz w:val="20"/>
          <w:szCs w:val="20"/>
          <w:color w:val="auto"/>
        </w:rPr>
      </w:pPr>
    </w:p>
    <w:p>
      <w:pPr>
        <w:jc w:val="center"/>
        <w:ind w:right="2220"/>
        <w:spacing w:after="0"/>
        <w:rPr>
          <w:sz w:val="20"/>
          <w:szCs w:val="20"/>
          <w:color w:val="auto"/>
        </w:rPr>
      </w:pPr>
      <w:r>
        <w:rPr>
          <w:rFonts w:ascii="Arial" w:cs="Arial" w:eastAsia="Arial" w:hAnsi="Arial"/>
          <w:sz w:val="16"/>
          <w:szCs w:val="16"/>
          <w:b w:val="1"/>
          <w:bCs w:val="1"/>
          <w:color w:val="auto"/>
        </w:rPr>
        <w:t>Computation of Ratio of Earnings to Fixed Charges</w:t>
      </w:r>
    </w:p>
    <w:p>
      <w:pPr>
        <w:spacing w:after="0" w:line="194" w:lineRule="exact"/>
        <w:rPr>
          <w:sz w:val="20"/>
          <w:szCs w:val="20"/>
          <w:color w:val="auto"/>
        </w:rPr>
      </w:pPr>
    </w:p>
    <w:p>
      <w:pPr>
        <w:jc w:val="center"/>
        <w:ind w:right="2220"/>
        <w:spacing w:after="0"/>
        <w:rPr>
          <w:sz w:val="20"/>
          <w:szCs w:val="20"/>
          <w:color w:val="auto"/>
        </w:rPr>
      </w:pPr>
      <w:r>
        <w:rPr>
          <w:rFonts w:ascii="Arial" w:cs="Arial" w:eastAsia="Arial" w:hAnsi="Arial"/>
          <w:sz w:val="16"/>
          <w:szCs w:val="16"/>
          <w:b w:val="1"/>
          <w:bCs w:val="1"/>
          <w:color w:val="auto"/>
        </w:rPr>
        <w:t>(Millions of dollars)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8"/>
          </w:tcPr>
          <w:p>
            <w:pPr>
              <w:ind w:left="140"/>
              <w:spacing w:after="0"/>
              <w:rPr>
                <w:sz w:val="20"/>
                <w:szCs w:val="20"/>
                <w:color w:val="auto"/>
              </w:rPr>
            </w:pPr>
            <w:r>
              <w:rPr>
                <w:rFonts w:ascii="Arial" w:cs="Arial" w:eastAsia="Arial" w:hAnsi="Arial"/>
                <w:sz w:val="16"/>
                <w:szCs w:val="16"/>
                <w:b w:val="1"/>
                <w:bCs w:val="1"/>
                <w:color w:val="auto"/>
              </w:rPr>
              <w:t>For Years Ended December 31,</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3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40" w:type="dxa"/>
            <w:vAlign w:val="bottom"/>
            <w:shd w:val="clear" w:color="auto" w:fill="CFF0FC"/>
          </w:tcPr>
          <w:p>
            <w:pPr>
              <w:ind w:left="60"/>
              <w:spacing w:after="0"/>
              <w:rPr>
                <w:sz w:val="20"/>
                <w:szCs w:val="20"/>
                <w:color w:val="auto"/>
              </w:rPr>
            </w:pPr>
            <w:r>
              <w:rPr>
                <w:rFonts w:ascii="Arial" w:cs="Arial" w:eastAsia="Arial" w:hAnsi="Arial"/>
                <w:sz w:val="16"/>
                <w:szCs w:val="16"/>
                <w:b w:val="1"/>
                <w:bCs w:val="1"/>
                <w:color w:val="auto"/>
              </w:rPr>
              <w:t>Earnings:</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60"/>
              <w:spacing w:after="0"/>
              <w:rPr>
                <w:sz w:val="20"/>
                <w:szCs w:val="20"/>
                <w:color w:val="auto"/>
              </w:rPr>
            </w:pPr>
            <w:r>
              <w:rPr>
                <w:rFonts w:ascii="Arial" w:cs="Arial" w:eastAsia="Arial" w:hAnsi="Arial"/>
                <w:sz w:val="16"/>
                <w:szCs w:val="16"/>
                <w:color w:val="auto"/>
              </w:rPr>
              <w:t>Income before income tax</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4,930</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4,216</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3,874</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2,754</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60"/>
              <w:spacing w:after="0"/>
              <w:rPr>
                <w:sz w:val="20"/>
                <w:szCs w:val="20"/>
                <w:color w:val="auto"/>
              </w:rPr>
            </w:pPr>
            <w:r>
              <w:rPr>
                <w:rFonts w:ascii="Arial" w:cs="Arial" w:eastAsia="Arial" w:hAnsi="Arial"/>
                <w:sz w:val="16"/>
                <w:szCs w:val="16"/>
                <w:color w:val="auto"/>
              </w:rPr>
              <w:t>Equity method investments (gains) and losses</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(3)</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40" w:type="dxa"/>
            <w:vAlign w:val="bottom"/>
          </w:tcPr>
          <w:p>
            <w:pPr>
              <w:ind w:left="60"/>
              <w:spacing w:after="0"/>
              <w:rPr>
                <w:sz w:val="20"/>
                <w:szCs w:val="20"/>
                <w:color w:val="auto"/>
              </w:rPr>
            </w:pPr>
            <w:r>
              <w:rPr>
                <w:rFonts w:ascii="Arial" w:cs="Arial" w:eastAsia="Arial" w:hAnsi="Arial"/>
                <w:sz w:val="16"/>
                <w:szCs w:val="16"/>
                <w:color w:val="auto"/>
              </w:rPr>
              <w:t>Add: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Fixed charges (from below)</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240"/>
              <w:spacing w:after="0"/>
              <w:rPr>
                <w:sz w:val="20"/>
                <w:szCs w:val="20"/>
                <w:color w:val="auto"/>
              </w:rPr>
            </w:pPr>
            <w:r>
              <w:rPr>
                <w:rFonts w:ascii="Arial" w:cs="Arial" w:eastAsia="Arial" w:hAnsi="Arial"/>
                <w:sz w:val="16"/>
                <w:szCs w:val="16"/>
                <w:color w:val="auto"/>
              </w:rPr>
              <w:t>Amortization of capitalized interest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Distributed income from equity investees</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40" w:type="dxa"/>
            <w:vAlign w:val="bottom"/>
          </w:tcPr>
          <w:p>
            <w:pPr>
              <w:ind w:left="60"/>
              <w:spacing w:after="0"/>
              <w:rPr>
                <w:sz w:val="20"/>
                <w:szCs w:val="20"/>
                <w:color w:val="auto"/>
              </w:rPr>
            </w:pPr>
            <w:r>
              <w:rPr>
                <w:rFonts w:ascii="Arial" w:cs="Arial" w:eastAsia="Arial" w:hAnsi="Arial"/>
                <w:sz w:val="16"/>
                <w:szCs w:val="16"/>
                <w:color w:val="auto"/>
              </w:rPr>
              <w:t>Subtract: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Capitalized interest</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340" w:type="dxa"/>
            <w:vAlign w:val="bottom"/>
          </w:tcPr>
          <w:p>
            <w:pPr>
              <w:ind w:left="60"/>
              <w:spacing w:after="0"/>
              <w:rPr>
                <w:sz w:val="20"/>
                <w:szCs w:val="20"/>
                <w:color w:val="auto"/>
              </w:rPr>
            </w:pPr>
            <w:r>
              <w:rPr>
                <w:rFonts w:ascii="Arial" w:cs="Arial" w:eastAsia="Arial" w:hAnsi="Arial"/>
                <w:sz w:val="16"/>
                <w:szCs w:val="16"/>
                <w:color w:val="auto"/>
              </w:rPr>
              <w:t>Total earnings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5,016</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4,315</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3,981</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2,866</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60"/>
              <w:spacing w:after="0"/>
              <w:rPr>
                <w:sz w:val="20"/>
                <w:szCs w:val="20"/>
                <w:color w:val="auto"/>
              </w:rPr>
            </w:pPr>
            <w:r>
              <w:rPr>
                <w:rFonts w:ascii="Arial" w:cs="Arial" w:eastAsia="Arial" w:hAnsi="Arial"/>
                <w:sz w:val="16"/>
                <w:szCs w:val="16"/>
                <w:b w:val="1"/>
                <w:bCs w:val="1"/>
                <w:color w:val="auto"/>
              </w:rPr>
              <w:t>Fixed Charges: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60"/>
              <w:spacing w:after="0"/>
              <w:rPr>
                <w:sz w:val="20"/>
                <w:szCs w:val="20"/>
                <w:color w:val="auto"/>
              </w:rPr>
            </w:pPr>
            <w:r>
              <w:rPr>
                <w:rFonts w:ascii="Arial" w:cs="Arial" w:eastAsia="Arial" w:hAnsi="Arial"/>
                <w:sz w:val="16"/>
                <w:szCs w:val="16"/>
                <w:color w:val="auto"/>
              </w:rPr>
              <w:t>Total gross interest on debt (expensed)</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60"/>
              <w:spacing w:after="0"/>
              <w:rPr>
                <w:sz w:val="20"/>
                <w:szCs w:val="20"/>
                <w:color w:val="auto"/>
              </w:rPr>
            </w:pPr>
            <w:r>
              <w:rPr>
                <w:rFonts w:ascii="Arial" w:cs="Arial" w:eastAsia="Arial" w:hAnsi="Arial"/>
                <w:sz w:val="16"/>
                <w:szCs w:val="16"/>
                <w:color w:val="auto"/>
              </w:rPr>
              <w:t>Capitalized interest</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60"/>
              <w:spacing w:after="0"/>
              <w:rPr>
                <w:sz w:val="20"/>
                <w:szCs w:val="20"/>
                <w:color w:val="auto"/>
              </w:rPr>
            </w:pPr>
            <w:r>
              <w:rPr>
                <w:rFonts w:ascii="Arial" w:cs="Arial" w:eastAsia="Arial" w:hAnsi="Arial"/>
                <w:sz w:val="16"/>
                <w:szCs w:val="16"/>
                <w:color w:val="auto"/>
              </w:rPr>
              <w:t>Amortization of debt premium and debt issuance costs</w:t>
            </w: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60"/>
              <w:spacing w:after="0"/>
              <w:rPr>
                <w:sz w:val="20"/>
                <w:szCs w:val="20"/>
                <w:color w:val="auto"/>
              </w:rPr>
            </w:pPr>
            <w:r>
              <w:rPr>
                <w:rFonts w:ascii="Arial" w:cs="Arial" w:eastAsia="Arial" w:hAnsi="Arial"/>
                <w:sz w:val="16"/>
                <w:szCs w:val="16"/>
                <w:color w:val="auto"/>
              </w:rPr>
              <w:t>Estimated interest element of rental and lease expense</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340" w:type="dxa"/>
            <w:vAlign w:val="bottom"/>
          </w:tcPr>
          <w:p>
            <w:pPr>
              <w:ind w:left="60"/>
              <w:spacing w:after="0"/>
              <w:rPr>
                <w:sz w:val="20"/>
                <w:szCs w:val="20"/>
                <w:color w:val="auto"/>
              </w:rPr>
            </w:pPr>
            <w:r>
              <w:rPr>
                <w:rFonts w:ascii="Arial" w:cs="Arial" w:eastAsia="Arial" w:hAnsi="Arial"/>
                <w:sz w:val="16"/>
                <w:szCs w:val="16"/>
                <w:color w:val="auto"/>
              </w:rPr>
              <w:t>Total fixed charges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60"/>
              <w:spacing w:after="0"/>
              <w:rPr>
                <w:sz w:val="20"/>
                <w:szCs w:val="20"/>
                <w:color w:val="auto"/>
              </w:rPr>
            </w:pPr>
            <w:r>
              <w:rPr>
                <w:rFonts w:ascii="Arial" w:cs="Arial" w:eastAsia="Arial" w:hAnsi="Arial"/>
                <w:sz w:val="16"/>
                <w:szCs w:val="16"/>
                <w:color w:val="auto"/>
              </w:rPr>
              <w:t>Ratio of earnings to fixed charges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56.4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6" w:right="239" w:bottom="1440" w:gutter="0" w:footer="0" w:header="0"/>
        </w:sectPr>
      </w:pPr>
    </w:p>
    <w:bookmarkStart w:id="100" w:name="page101"/>
    <w:bookmarkEnd w:id="100"/>
    <w:p>
      <w:pPr>
        <w:ind w:left="10660"/>
        <w:spacing w:after="0"/>
        <w:rPr>
          <w:sz w:val="20"/>
          <w:szCs w:val="20"/>
          <w:color w:val="auto"/>
        </w:rPr>
      </w:pPr>
      <w:r>
        <w:rPr>
          <w:rFonts w:ascii="Arial" w:cs="Arial" w:eastAsia="Arial" w:hAnsi="Arial"/>
          <w:sz w:val="17"/>
          <w:szCs w:val="17"/>
          <w:u w:val="single" w:color="auto"/>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TEXAS INSTRUMENTS INCORPORATED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LIST OF SUBSIDIARIES OF THE 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The following are subsidiaries of the Registrant as of December 31, 2016.</w:t>
            </w:r>
          </w:p>
        </w:tc>
        <w:tc>
          <w:tcPr>
            <w:tcW w:w="13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0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Subsidiary and Name Under Which Business is Done</w:t>
            </w:r>
          </w:p>
        </w:tc>
        <w:tc>
          <w:tcPr>
            <w:tcW w:w="392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Where Organized</w:t>
            </w:r>
          </w:p>
        </w:tc>
        <w:tc>
          <w:tcPr>
            <w:tcW w:w="2060" w:type="dxa"/>
            <w:vAlign w:val="bottom"/>
          </w:tcPr>
          <w:p>
            <w:pPr>
              <w:spacing w:after="0"/>
              <w:rPr>
                <w:sz w:val="24"/>
                <w:szCs w:val="24"/>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rPr>
              <w:t>ActSolar, Inc.</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Algorex Inc.</w:t>
            </w:r>
          </w:p>
        </w:tc>
        <w:tc>
          <w:tcPr>
            <w:tcW w:w="344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ASIC II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Hawaii</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Energy Recommerce Inc.</w:t>
            </w:r>
          </w:p>
        </w:tc>
        <w:tc>
          <w:tcPr>
            <w:tcW w:w="344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innoCOMM wireless</w:t>
            </w:r>
          </w:p>
        </w:tc>
        <w:tc>
          <w:tcPr>
            <w:tcW w:w="344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344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Mediamatics, Inc.</w:t>
            </w:r>
          </w:p>
        </w:tc>
        <w:tc>
          <w:tcPr>
            <w:tcW w:w="344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Acquisition Sub, Inc.</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Semiconductor (I.C.)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Semiconductor (Maine), Inc.</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Semiconductor Corporation</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Semiconductor Germany AG</w:t>
            </w:r>
          </w:p>
        </w:tc>
        <w:tc>
          <w:tcPr>
            <w:tcW w:w="34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Semiconductor GmbH</w:t>
            </w:r>
          </w:p>
        </w:tc>
        <w:tc>
          <w:tcPr>
            <w:tcW w:w="34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Semiconductor Holding Sdn. Bhd.</w:t>
            </w:r>
          </w:p>
        </w:tc>
        <w:tc>
          <w:tcPr>
            <w:tcW w:w="34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B.V.</w:t>
            </w:r>
          </w:p>
        </w:tc>
        <w:tc>
          <w:tcPr>
            <w:tcW w:w="34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Hong Kong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Inc.</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Semiconductor Labuan Ltd.</w:t>
            </w:r>
          </w:p>
        </w:tc>
        <w:tc>
          <w:tcPr>
            <w:tcW w:w="34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Semiconductor Malaysia LLC</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National Semiconductor (Pte)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(Philippines) LLC</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(Shanghai) Co., Ltd.</w:t>
            </w:r>
          </w:p>
        </w:tc>
        <w:tc>
          <w:tcPr>
            <w:tcW w:w="3440" w:type="dxa"/>
            <w:vAlign w:val="bottom"/>
            <w:gridSpan w:val="2"/>
          </w:tcPr>
          <w:p>
            <w:pPr>
              <w:spacing w:after="0"/>
              <w:rPr>
                <w:sz w:val="20"/>
                <w:szCs w:val="20"/>
                <w:color w:val="auto"/>
              </w:rPr>
            </w:pPr>
            <w:r>
              <w:rPr>
                <w:rFonts w:ascii="Arial" w:cs="Arial" w:eastAsia="Arial" w:hAnsi="Arial"/>
                <w:sz w:val="18"/>
                <w:szCs w:val="18"/>
                <w:color w:val="auto"/>
              </w:rPr>
              <w:t>PRC</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(U.K.) Holdings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(U.K.)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(U.K.) Pension Trust Company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Austin Incorporated</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Benelux B.V.</w:t>
            </w:r>
          </w:p>
        </w:tc>
        <w:tc>
          <w:tcPr>
            <w:tcW w:w="344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34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Canada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China Incorporated</w:t>
            </w:r>
          </w:p>
        </w:tc>
        <w:tc>
          <w:tcPr>
            <w:tcW w:w="34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China Sales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China Trading Limited</w:t>
            </w:r>
          </w:p>
        </w:tc>
        <w:tc>
          <w:tcPr>
            <w:tcW w:w="34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CZ, s.r.o.</w:t>
            </w:r>
          </w:p>
        </w:tc>
        <w:tc>
          <w:tcPr>
            <w:tcW w:w="344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de Mexico, S. de R.L. de C.V.</w:t>
            </w:r>
          </w:p>
        </w:tc>
        <w:tc>
          <w:tcPr>
            <w:tcW w:w="34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Denmark A/S</w:t>
            </w:r>
          </w:p>
        </w:tc>
        <w:tc>
          <w:tcPr>
            <w:tcW w:w="344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Deutschland GmbH</w:t>
            </w:r>
          </w:p>
        </w:tc>
        <w:tc>
          <w:tcPr>
            <w:tcW w:w="34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Education Technology GmbH</w:t>
            </w:r>
          </w:p>
        </w:tc>
        <w:tc>
          <w:tcPr>
            <w:tcW w:w="34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Electronics Malaysia Sdn. Bhd.</w:t>
            </w:r>
          </w:p>
        </w:tc>
        <w:tc>
          <w:tcPr>
            <w:tcW w:w="34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Texas Instruments EMEA Sales GmbH</w:t>
            </w:r>
          </w:p>
        </w:tc>
        <w:tc>
          <w:tcPr>
            <w:tcW w:w="34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115"/>
        </w:trPr>
        <w:tc>
          <w:tcPr>
            <w:tcW w:w="408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Texas Instruments España, S.A. Unipersonal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Finland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Gesellschaft 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Holland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Hungary Korlatolt Felelossegu Tarsasag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International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International Capital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International Holding Company S.à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International Management Company S.à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International Trade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Ireland Trading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Israel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Japan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Japan Semiconductor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Korea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Lehigh Valley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Low Power Wireless San Diego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Management GmbH &amp; Co. 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Northern Virginia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Norway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Palo Alto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Richardson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Santa Rosa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Semiconductor Manufacturing (Chengdu)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Semiconductor Technologies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Semiconductor Trading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Semiconductores e Tecnologias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Singapore (Pte)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Sunnyvale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Sweden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Taiwan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Tucson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(Philippines),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Verwaltungs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Unitrode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Unitrode-Maine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ectPr>
          <w:pgSz w:w="11900" w:h="16838" w:orient="portrait"/>
          <w:cols w:equalWidth="0" w:num="2">
            <w:col w:w="7280" w:space="720"/>
            <w:col w:w="2219"/>
          </w:cols>
          <w:pgMar w:left="240" w:top="125"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consent to the incorporation by reference in the following registration statements of Texas Instruments Incorporated and in the related prospectuses of our reports dated February 23, 2017, with respect to the consolidated financial statements of Texas Instruments Incorporated, and the effectiveness of internal control over financial reporting of Texas Instruments Incorporated, included in this Annual Report on Form 10-K for the year ended December 31, 2016: Registration Statements (Forms S-8) No. 333-158933, No. 333-158934, No. 33-42172, No. 33-54615, No. 33-61154, No. 333-07127 (as amended), No. 333-41913, No. 333-41919, No. 333-31321 (as amended), No. 333-31323, No. 333-48389, No. 333-44662, No. 333-107759, No. 333-107760, No. 333-107761, No. 333-127021, No. 333-177235, No. 333-195692 and No. 333-211111; Registration Statements (Forms S-3) No. 333-165045, No. 333-186803 and No.</w:t>
      </w:r>
    </w:p>
    <w:p>
      <w:pPr>
        <w:spacing w:after="0" w:line="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333-209678; and Registration Statements (Forms S-4) No. 333-89433 (as amended), No. 333-87199, No. 333-80157 (as amended), and No. 333-41030 (as amended).</w:t>
      </w:r>
    </w:p>
    <w:p>
      <w:pPr>
        <w:spacing w:after="0" w:line="200" w:lineRule="exact"/>
        <w:rPr>
          <w:sz w:val="20"/>
          <w:szCs w:val="20"/>
          <w:color w:val="auto"/>
        </w:rPr>
      </w:pPr>
    </w:p>
    <w:p>
      <w:pPr>
        <w:spacing w:after="0" w:line="25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31750</wp:posOffset>
            </wp:positionV>
            <wp:extent cx="29159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600" w:hanging="592"/>
        <w:spacing w:after="0"/>
        <w:tabs>
          <w:tab w:leader="none" w:pos="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92"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600" w:right="340" w:hanging="592"/>
        <w:spacing w:after="0" w:line="264" w:lineRule="auto"/>
        <w:tabs>
          <w:tab w:leader="none" w:pos="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540" w:right="60" w:firstLine="4"/>
        <w:spacing w:after="0" w:line="264" w:lineRule="auto"/>
        <w:tabs>
          <w:tab w:leader="none" w:pos="178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80" w:firstLine="4"/>
        <w:spacing w:after="0" w:line="264" w:lineRule="auto"/>
        <w:tabs>
          <w:tab w:leader="none" w:pos="179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80" w:firstLine="4"/>
        <w:spacing w:after="0" w:line="264" w:lineRule="auto"/>
        <w:tabs>
          <w:tab w:leader="none" w:pos="178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280" w:firstLine="4"/>
        <w:spacing w:after="0" w:line="264" w:lineRule="auto"/>
        <w:tabs>
          <w:tab w:leader="none" w:pos="179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40" w:hanging="592"/>
        <w:spacing w:after="0" w:line="308" w:lineRule="auto"/>
        <w:tabs>
          <w:tab w:leader="none" w:pos="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right="140" w:firstLine="4"/>
        <w:spacing w:after="0" w:line="308" w:lineRule="auto"/>
        <w:tabs>
          <w:tab w:leader="none" w:pos="1785"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right="420" w:firstLine="4"/>
        <w:spacing w:after="0" w:line="277" w:lineRule="auto"/>
        <w:tabs>
          <w:tab w:leader="none" w:pos="179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39"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-130810</wp:posOffset>
            </wp:positionV>
            <wp:extent cx="27787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Chairman, President and</w:t>
      </w:r>
    </w:p>
    <w:p>
      <w:pPr>
        <w:spacing w:after="0" w:line="9"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25" w:lineRule="exact"/>
        <w:rPr>
          <w:sz w:val="20"/>
          <w:szCs w:val="20"/>
          <w:color w:val="auto"/>
        </w:rPr>
      </w:pPr>
    </w:p>
    <w:p>
      <w:pPr>
        <w:ind w:left="600" w:hanging="592"/>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6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600" w:right="340" w:hanging="592"/>
        <w:spacing w:after="0" w:line="264"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540" w:right="60" w:firstLine="4"/>
        <w:spacing w:after="0" w:line="264" w:lineRule="auto"/>
        <w:tabs>
          <w:tab w:leader="none" w:pos="178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80" w:firstLine="4"/>
        <w:spacing w:after="0" w:line="264" w:lineRule="auto"/>
        <w:tabs>
          <w:tab w:leader="none" w:pos="179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80" w:firstLine="4"/>
        <w:spacing w:after="0" w:line="264" w:lineRule="auto"/>
        <w:tabs>
          <w:tab w:leader="none" w:pos="178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280" w:firstLine="4"/>
        <w:spacing w:after="0" w:line="264" w:lineRule="auto"/>
        <w:tabs>
          <w:tab w:leader="none" w:pos="179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40" w:hanging="592"/>
        <w:spacing w:after="0" w:line="308" w:lineRule="auto"/>
        <w:tabs>
          <w:tab w:leader="none" w:pos="6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right="140" w:firstLine="4"/>
        <w:spacing w:after="0" w:line="308" w:lineRule="auto"/>
        <w:tabs>
          <w:tab w:leader="none" w:pos="1785"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right="420" w:firstLine="4"/>
        <w:spacing w:after="0" w:line="277" w:lineRule="auto"/>
        <w:tabs>
          <w:tab w:leader="none" w:pos="179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39"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-130810</wp:posOffset>
            </wp:positionV>
            <wp:extent cx="27787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Senior Vice President and</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chairman, president and chief executive officer of Texas Instruments Incorporated (the “Company”), hereby certifies that, to his knowledge:</w:t>
      </w:r>
    </w:p>
    <w:p>
      <w:pPr>
        <w:spacing w:after="0" w:line="124" w:lineRule="exact"/>
        <w:rPr>
          <w:sz w:val="20"/>
          <w:szCs w:val="20"/>
          <w:color w:val="auto"/>
        </w:rPr>
      </w:pPr>
    </w:p>
    <w:p>
      <w:pPr>
        <w:ind w:left="660" w:right="100" w:firstLine="6"/>
        <w:spacing w:after="0" w:line="342" w:lineRule="auto"/>
        <w:tabs>
          <w:tab w:leader="none" w:pos="87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2016,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940" w:hanging="274"/>
        <w:spacing w:after="0"/>
        <w:tabs>
          <w:tab w:leader="none" w:pos="9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2017</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Chairman, President and</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Kevin P. March, senior vice president and principal financial officer of Texas Instruments Incorporated (the “Company”), hereby certifies that, to his knowledge:</w:t>
      </w:r>
    </w:p>
    <w:p>
      <w:pPr>
        <w:spacing w:after="0" w:line="147" w:lineRule="exact"/>
        <w:rPr>
          <w:sz w:val="20"/>
          <w:szCs w:val="20"/>
          <w:color w:val="auto"/>
        </w:rPr>
      </w:pPr>
    </w:p>
    <w:p>
      <w:pPr>
        <w:ind w:left="660" w:right="100" w:firstLine="6"/>
        <w:spacing w:after="0" w:line="342" w:lineRule="auto"/>
        <w:tabs>
          <w:tab w:leader="none" w:pos="87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2016,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940" w:hanging="274"/>
        <w:spacing w:after="0"/>
        <w:tabs>
          <w:tab w:leader="none" w:pos="9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2017</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 Kevin P. March</w:t>
      </w:r>
    </w:p>
    <w:p>
      <w:pPr>
        <w:spacing w:after="0" w:line="9"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Senior Vice President and</w:t>
      </w:r>
    </w:p>
    <w:p>
      <w:pPr>
        <w:spacing w:after="0" w:line="9"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1)"/>
      <w:numFmt w:val="decimal"/>
      <w:start w:val="1"/>
    </w:lvl>
  </w:abstractNum>
  <w:abstractNum w:abstractNumId="8">
    <w:nsid w:val="354FE9F9"/>
    <w:multiLevelType w:val="hybridMultilevel"/>
    <w:lvl w:ilvl="0">
      <w:lvlJc w:val="left"/>
      <w:lvlText w:val="(%1)"/>
      <w:numFmt w:val="lowerLetter"/>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lvl w:ilvl="1">
      <w:lvlJc w:val="left"/>
      <w:lvlText w:val="o"/>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1)"/>
      <w:numFmt w:val="lowerLetter"/>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1."/>
      <w:numFmt w:val="decimal"/>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1)"/>
      <w:numFmt w:val="lowerLetter"/>
      <w:start w:val="1"/>
    </w:lvl>
  </w:abstractNum>
  <w:abstractNum w:abstractNumId="18">
    <w:nsid w:val="310C50B3"/>
    <w:multiLevelType w:val="hybridMultilevel"/>
    <w:lvl w:ilvl="0">
      <w:lvlJc w:val="left"/>
      <w:lvlText w:val="(%1)"/>
      <w:numFmt w:val="lowerLetter"/>
      <w:start w:val="1"/>
    </w:lvl>
  </w:abstractNum>
  <w:abstractNum w:abstractNumId="19">
    <w:nsid w:val="5FF87E05"/>
    <w:multiLevelType w:val="hybridMultilevel"/>
    <w:lvl w:ilvl="0">
      <w:lvlJc w:val="left"/>
      <w:lvlText w:val="%1."/>
      <w:numFmt w:val="decimal"/>
      <w:start w:val="2"/>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1."/>
      <w:numFmt w:val="decimal"/>
      <w:start w:val="3"/>
    </w:lvl>
  </w:abstractNum>
  <w:abstractNum w:abstractNumId="23">
    <w:nsid w:val="4AD084E9"/>
    <w:multiLevelType w:val="hybridMultilevel"/>
    <w:lvl w:ilvl="0">
      <w:lvlJc w:val="left"/>
      <w:lvlText w:val="(%1)"/>
      <w:numFmt w:val="lowerLetter"/>
      <w:start w:val="1"/>
    </w:lvl>
  </w:abstractNum>
  <w:abstractNum w:abstractNumId="24">
    <w:nsid w:val="1F48EAA1"/>
    <w:multiLevelType w:val="hybridMultilevel"/>
    <w:lvl w:ilvl="0">
      <w:lvlJc w:val="left"/>
      <w:lvlText w:val="(%1)"/>
      <w:numFmt w:val="lowerLetter"/>
      <w:start w:val="1"/>
    </w:lvl>
  </w:abstractNum>
  <w:abstractNum w:abstractNumId="25">
    <w:nsid w:val="1381823A"/>
    <w:multiLevelType w:val="hybridMultilevel"/>
    <w:lvl w:ilvl="0">
      <w:lvlJc w:val="left"/>
      <w:lvlText w:val="%1."/>
      <w:numFmt w:val="decimal"/>
      <w:start w:val="4"/>
    </w:lvl>
  </w:abstractNum>
  <w:abstractNum w:abstractNumId="26">
    <w:nsid w:val="5DB70AE5"/>
    <w:multiLevelType w:val="hybridMultilevel"/>
    <w:lvl w:ilvl="0">
      <w:lvlJc w:val="left"/>
      <w:lvlText w:val="(%1)"/>
      <w:numFmt w:val="lowerLetter"/>
      <w:start w:val="1"/>
    </w:lvl>
  </w:abstractNum>
  <w:abstractNum w:abstractNumId="27">
    <w:nsid w:val="100F8FCA"/>
    <w:multiLevelType w:val="hybridMultilevel"/>
    <w:lvl w:ilvl="0">
      <w:lvlJc w:val="left"/>
      <w:lvlText w:val="(%1)"/>
      <w:numFmt w:val="lowerLetter"/>
      <w:start w:val="1"/>
    </w:lvl>
  </w:abstractNum>
  <w:abstractNum w:abstractNumId="28">
    <w:nsid w:val="6590700B"/>
    <w:multiLevelType w:val="hybridMultilevel"/>
    <w:lvl w:ilvl="0">
      <w:lvlJc w:val="left"/>
      <w:lvlText w:val="(%1)"/>
      <w:numFmt w:val="lowerLetter"/>
      <w:start w:val="1"/>
    </w:lvl>
  </w:abstractNum>
  <w:abstractNum w:abstractNumId="29">
    <w:nsid w:val="15014ACB"/>
    <w:multiLevelType w:val="hybridMultilevel"/>
    <w:lvl w:ilvl="0">
      <w:lvlJc w:val="left"/>
      <w:lvlText w:val="%1."/>
      <w:numFmt w:val="decimal"/>
      <w:start w:val="5"/>
    </w:lvl>
  </w:abstractNum>
  <w:abstractNum w:abstractNumId="30">
    <w:nsid w:val="5F5E7FD0"/>
    <w:multiLevelType w:val="hybridMultilevel"/>
    <w:lvl w:ilvl="0">
      <w:lvlJc w:val="left"/>
      <w:lvlText w:val="%1."/>
      <w:numFmt w:val="decimal"/>
      <w:start w:val="6"/>
    </w:lvl>
  </w:abstractNum>
  <w:abstractNum w:abstractNumId="31">
    <w:nsid w:val="98A3148"/>
    <w:multiLevelType w:val="hybridMultilevel"/>
    <w:lvl w:ilvl="0">
      <w:lvlJc w:val="left"/>
      <w:lvlText w:val="(%1)"/>
      <w:numFmt w:val="lowerLetter"/>
      <w:start w:val="1"/>
    </w:lvl>
  </w:abstractNum>
  <w:abstractNum w:abstractNumId="32">
    <w:nsid w:val="799D0247"/>
    <w:multiLevelType w:val="hybridMultilevel"/>
    <w:lvl w:ilvl="0">
      <w:lvlJc w:val="left"/>
      <w:lvlText w:val="%1."/>
      <w:numFmt w:val="decimal"/>
      <w:start w:val="7"/>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1."/>
      <w:numFmt w:val="decimal"/>
      <w:start w:val="9"/>
    </w:lvl>
  </w:abstractNum>
  <w:abstractNum w:abstractNumId="35">
    <w:nsid w:val="168E121F"/>
    <w:multiLevelType w:val="hybridMultilevel"/>
    <w:lvl w:ilvl="0">
      <w:lvlJc w:val="left"/>
      <w:lvlText w:val="%1."/>
      <w:numFmt w:val="decimal"/>
      <w:start w:val="10"/>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Letter"/>
      <w:start w:val="1"/>
    </w:lvl>
  </w:abstractNum>
  <w:abstractNum w:abstractNumId="38">
    <w:nsid w:val="5DC79EA8"/>
    <w:multiLevelType w:val="hybridMultilevel"/>
    <w:lvl w:ilvl="0">
      <w:lvlJc w:val="left"/>
      <w:lvlText w:val="%1."/>
      <w:numFmt w:val="decimal"/>
      <w:start w:val="11"/>
    </w:lvl>
  </w:abstractNum>
  <w:abstractNum w:abstractNumId="39">
    <w:nsid w:val="540A471C"/>
    <w:multiLevelType w:val="hybridMultilevel"/>
    <w:lvl w:ilvl="0">
      <w:lvlJc w:val="left"/>
      <w:lvlText w:val="%1."/>
      <w:numFmt w:val="decimal"/>
      <w:start w:val="12"/>
    </w:lvl>
  </w:abstractNum>
  <w:abstractNum w:abstractNumId="40">
    <w:nsid w:val="7BD3EE7B"/>
    <w:multiLevelType w:val="hybridMultilevel"/>
    <w:lvl w:ilvl="0">
      <w:lvlJc w:val="left"/>
      <w:lvlText w:val="%1."/>
      <w:numFmt w:val="decimal"/>
      <w:start w:val="13"/>
    </w:lvl>
  </w:abstractNum>
  <w:abstractNum w:abstractNumId="41">
    <w:nsid w:val="51D9C564"/>
    <w:multiLevelType w:val="hybridMultilevel"/>
    <w:lvl w:ilvl="0">
      <w:lvlJc w:val="left"/>
      <w:lvlText w:val="(%1)"/>
      <w:numFmt w:val="lowerLetter"/>
      <w:start w:val="1"/>
    </w:lvl>
  </w:abstractNum>
  <w:abstractNum w:abstractNumId="42">
    <w:nsid w:val="613EFDC5"/>
    <w:multiLevelType w:val="hybridMultilevel"/>
    <w:lvl w:ilvl="0">
      <w:lvlJc w:val="left"/>
      <w:lvlText w:val="%1."/>
      <w:numFmt w:val="decimal"/>
      <w:start w:val="14"/>
    </w:lvl>
  </w:abstractNum>
  <w:abstractNum w:abstractNumId="43">
    <w:nsid w:val="BF72B14"/>
    <w:multiLevelType w:val="hybridMultilevel"/>
    <w:lvl w:ilvl="0">
      <w:lvlJc w:val="left"/>
      <w:lvlText w:val="(%1)"/>
      <w:numFmt w:val="decimal"/>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1."/>
      <w:numFmt w:val="decimal"/>
      <w:start w:val="1"/>
    </w:lvl>
  </w:abstractNum>
  <w:abstractNum w:abstractNumId="47">
    <w:nsid w:val="8F2B15E"/>
    <w:multiLevelType w:val="hybridMultilevel"/>
    <w:lvl w:ilvl="0">
      <w:lvlJc w:val="left"/>
      <w:lvlText w:val="(%1)"/>
      <w:numFmt w:val="lowerLetter"/>
      <w:start w:val="1"/>
    </w:lvl>
  </w:abstractNum>
  <w:abstractNum w:abstractNumId="48">
    <w:nsid w:val="1A32234B"/>
    <w:multiLevelType w:val="hybridMultilevel"/>
    <w:lvl w:ilvl="0">
      <w:lvlJc w:val="left"/>
      <w:lvlText w:val="(%1)"/>
      <w:numFmt w:val="lowerLetter"/>
      <w:start w:val="2"/>
    </w:lvl>
    <w:lvl w:ilvl="1">
      <w:lvlJc w:val="left"/>
      <w:lvlText w:val="(%2)"/>
      <w:numFmt w:val="lowerRoman"/>
      <w:start w:val="1"/>
    </w:lvl>
  </w:abstractNum>
  <w:abstractNum w:abstractNumId="49">
    <w:nsid w:val="3B0FD379"/>
    <w:multiLevelType w:val="hybridMultilevel"/>
    <w:lvl w:ilvl="0">
      <w:lvlJc w:val="left"/>
      <w:lvlText w:val="(%1)"/>
      <w:numFmt w:val="lowerRoman"/>
      <w:start w:val="4"/>
    </w:lvl>
  </w:abstractNum>
  <w:abstractNum w:abstractNumId="50">
    <w:nsid w:val="68EB2F63"/>
    <w:multiLevelType w:val="hybridMultilevel"/>
    <w:lvl w:ilvl="0">
      <w:lvlJc w:val="left"/>
      <w:lvlText w:val="(%1)"/>
      <w:numFmt w:val="lowerRoman"/>
      <w:start w:val="5"/>
    </w:lvl>
  </w:abstractNum>
  <w:abstractNum w:abstractNumId="51">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52">
    <w:nsid w:val="60B6DF7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3">
    <w:nsid w:val="6A5EE6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4">
    <w:nsid w:val="14330624"/>
    <w:multiLevelType w:val="hybridMultilevel"/>
    <w:lvl w:ilvl="0">
      <w:lvlJc w:val="left"/>
      <w:lvlText w:val="(%1)"/>
      <w:numFmt w:val="lowerLetter"/>
      <w:start w:val="2"/>
    </w:lvl>
  </w:abstractNum>
  <w:abstractNum w:abstractNumId="55">
    <w:nsid w:val="7FFFCA11"/>
    <w:multiLevelType w:val="hybridMultilevel"/>
    <w:lvl w:ilvl="0">
      <w:lvlJc w:val="left"/>
      <w:lvlText w:val="%1"/>
      <w:numFmt w:val="decimal"/>
      <w:start w:val="1"/>
    </w:lvl>
    <w:lvl w:ilvl="1">
      <w:lvlJc w:val="left"/>
      <w:lvlText w:val="(%2)"/>
      <w:numFmt w:val="lowerLetter"/>
      <w:start w:val="5"/>
    </w:lvl>
  </w:abstractNum>
  <w:abstractNum w:abstractNumId="56">
    <w:nsid w:val="1A27709E"/>
    <w:multiLevelType w:val="hybridMultilevel"/>
    <w:lvl w:ilvl="0">
      <w:lvlJc w:val="left"/>
      <w:lvlText w:val="%1."/>
      <w:numFmt w:val="decimal"/>
      <w:start w:val="7"/>
    </w:lvl>
    <w:lvl w:ilvl="1">
      <w:lvlJc w:val="left"/>
      <w:lvlText w:val="(%2)"/>
      <w:numFmt w:val="lowerLetter"/>
      <w:start w:val="1"/>
    </w:lvl>
  </w:abstractNum>
  <w:abstractNum w:abstractNumId="57">
    <w:nsid w:val="71EA1109"/>
    <w:multiLevelType w:val="hybridMultilevel"/>
    <w:lvl w:ilvl="0">
      <w:lvlJc w:val="left"/>
      <w:lvlText w:val="(%1)"/>
      <w:numFmt w:val="lowerLetter"/>
      <w:start w:val="2"/>
    </w:lvl>
    <w:lvl w:ilvl="1">
      <w:lvlJc w:val="left"/>
      <w:lvlText w:val="(%2)"/>
      <w:numFmt w:val="lowerRoman"/>
      <w:start w:val="1"/>
    </w:lvl>
  </w:abstractNum>
  <w:abstractNum w:abstractNumId="58">
    <w:nsid w:val="100F59DC"/>
    <w:multiLevelType w:val="hybridMultilevel"/>
    <w:lvl w:ilvl="0">
      <w:lvlJc w:val="left"/>
      <w:lvlText w:val="%1."/>
      <w:numFmt w:val="decimal"/>
      <w:start w:val="10"/>
    </w:lvl>
  </w:abstractNum>
  <w:abstractNum w:abstractNumId="59">
    <w:nsid w:val="7FB7E0AA"/>
    <w:multiLevelType w:val="hybridMultilevel"/>
    <w:lvl w:ilvl="0">
      <w:lvlJc w:val="left"/>
      <w:lvlText w:val="%1."/>
      <w:numFmt w:val="decimal"/>
      <w:start w:val="11"/>
    </w:lvl>
  </w:abstractNum>
  <w:abstractNum w:abstractNumId="60">
    <w:nsid w:val="6EB5BD4"/>
    <w:multiLevelType w:val="hybridMultilevel"/>
    <w:lvl w:ilvl="0">
      <w:lvlJc w:val="left"/>
      <w:lvlText w:val="%1."/>
      <w:numFmt w:val="decimal"/>
      <w:start w:val="1"/>
    </w:lvl>
    <w:lvl w:ilvl="1">
      <w:lvlJc w:val="left"/>
      <w:lvlText w:val="(%2)"/>
      <w:numFmt w:val="lowerLetter"/>
      <w:start w:val="1"/>
    </w:lvl>
  </w:abstractNum>
  <w:abstractNum w:abstractNumId="61">
    <w:nsid w:val="6F6DD9AC"/>
    <w:multiLevelType w:val="hybridMultilevel"/>
    <w:lvl w:ilvl="0">
      <w:lvlJc w:val="left"/>
      <w:lvlText w:val="%1."/>
      <w:numFmt w:val="decimal"/>
      <w:start w:val="3"/>
    </w:lvl>
    <w:lvl w:ilvl="1">
      <w:lvlJc w:val="left"/>
      <w:lvlText w:val="(%2)"/>
      <w:numFmt w:val="lowerLetter"/>
      <w:start w:val="1"/>
    </w:lvl>
  </w:abstractNum>
  <w:abstractNum w:abstractNumId="62">
    <w:nsid w:val="94211F2"/>
    <w:multiLevelType w:val="hybridMultilevel"/>
    <w:lvl w:ilvl="0">
      <w:lvlJc w:val="left"/>
      <w:lvlText w:val="(%1)"/>
      <w:numFmt w:val="lowerLetter"/>
      <w:start w:val="3"/>
    </w:lvl>
  </w:abstractNum>
  <w:abstractNum w:abstractNumId="63">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64">
    <w:nsid w:val="76272110"/>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1"/>
    </w:lvl>
  </w:abstractNum>
  <w:abstractNum w:abstractNumId="65">
    <w:nsid w:val="4C04A8AF"/>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66">
    <w:nsid w:val="1716703B"/>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67">
    <w:nsid w:val="14E17E33"/>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abstractNum>
  <w:abstractNum w:abstractNumId="68">
    <w:nsid w:val="3222E7CD"/>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1"/>
    </w:lvl>
  </w:abstractNum>
  <w:abstractNum w:abstractNumId="69">
    <w:nsid w:val="74DE0EE3"/>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70">
    <w:nsid w:val="68EBC550"/>
    <w:multiLevelType w:val="hybridMultilevel"/>
    <w:lvl w:ilvl="0">
      <w:lvlJc w:val="left"/>
      <w:lvlText w:val="(%1)"/>
      <w:numFmt w:val="lowerLetter"/>
      <w:start w:val="1"/>
    </w:lvl>
  </w:abstractNum>
  <w:abstractNum w:abstractNumId="71">
    <w:nsid w:val="2DF6D648"/>
    <w:multiLevelType w:val="hybridMultilevel"/>
    <w:lvl w:ilvl="0">
      <w:lvlJc w:val="left"/>
      <w:lvlText w:val="(%1)"/>
      <w:numFmt w:val="lowerRoman"/>
      <w:start w:val="1"/>
    </w:lvl>
  </w:abstractNum>
  <w:abstractNum w:abstractNumId="72">
    <w:nsid w:val="46B7D447"/>
    <w:multiLevelType w:val="hybridMultilevel"/>
    <w:lvl w:ilvl="0">
      <w:lvlJc w:val="left"/>
      <w:lvlText w:val="(%1)"/>
      <w:numFmt w:val="lowerRoman"/>
      <w:start w:val="2"/>
    </w:lvl>
    <w:lvl w:ilvl="1">
      <w:lvlJc w:val="left"/>
      <w:lvlText w:val="(%2)"/>
      <w:numFmt w:val="upperLetter"/>
      <w:start w:val="1"/>
    </w:lvl>
  </w:abstractNum>
  <w:abstractNum w:abstractNumId="73">
    <w:nsid w:val="4A2AC315"/>
    <w:multiLevelType w:val="hybridMultilevel"/>
    <w:lvl w:ilvl="0">
      <w:lvlJc w:val="left"/>
      <w:lvlText w:val="%1"/>
      <w:numFmt w:val="lowerLetter"/>
      <w:start w:val="1"/>
    </w:lvl>
    <w:lvl w:ilvl="1">
      <w:lvlJc w:val="left"/>
      <w:lvlText w:val="(%2)"/>
      <w:numFmt w:val="upperLetter"/>
      <w:start w:val="4"/>
    </w:lvl>
    <w:lvl w:ilvl="2">
      <w:lvlJc w:val="left"/>
      <w:lvlText w:val="(%3)"/>
      <w:numFmt w:val="decimal"/>
      <w:start w:val="1"/>
    </w:lvl>
  </w:abstractNum>
  <w:abstractNum w:abstractNumId="74">
    <w:nsid w:val="39EE015C"/>
    <w:multiLevelType w:val="hybridMultilevel"/>
    <w:lvl w:ilvl="0">
      <w:lvlJc w:val="left"/>
      <w:lvlText w:val="(%1)"/>
      <w:numFmt w:val="lowerLetter"/>
      <w:start w:val="8"/>
    </w:lvl>
    <w:lvl w:ilvl="1">
      <w:lvlJc w:val="left"/>
      <w:lvlText w:val="%2"/>
      <w:numFmt w:val="upperLetter"/>
      <w:start w:val="1"/>
    </w:lvl>
    <w:lvl w:ilvl="2">
      <w:lvlJc w:val="left"/>
      <w:lvlText w:val="%3"/>
      <w:numFmt w:val="decimal"/>
      <w:start w:val="1"/>
    </w:lvl>
  </w:abstractNum>
  <w:abstractNum w:abstractNumId="75">
    <w:nsid w:val="57FC4FBB"/>
    <w:multiLevelType w:val="hybridMultilevel"/>
    <w:lvl w:ilvl="0">
      <w:lvlJc w:val="left"/>
      <w:lvlText w:val="(%1)"/>
      <w:numFmt w:val="lowerLetter"/>
      <w:start w:val="16"/>
    </w:lvl>
    <w:lvl w:ilvl="1">
      <w:lvlJc w:val="left"/>
      <w:lvlText w:val="(%2)"/>
      <w:numFmt w:val="lowerRoman"/>
      <w:start w:val="1"/>
    </w:lvl>
  </w:abstractNum>
  <w:abstractNum w:abstractNumId="76">
    <w:nsid w:val="CC1016F"/>
    <w:multiLevelType w:val="hybridMultilevel"/>
    <w:lvl w:ilvl="0">
      <w:lvlJc w:val="left"/>
      <w:lvlText w:val="%1"/>
      <w:numFmt w:val="lowerLetter"/>
      <w:start w:val="1"/>
    </w:lvl>
    <w:lvl w:ilvl="1">
      <w:lvlJc w:val="left"/>
      <w:lvlText w:val="(%2)"/>
      <w:numFmt w:val="lowerRoman"/>
      <w:start w:val="2"/>
    </w:lvl>
  </w:abstractNum>
  <w:abstractNum w:abstractNumId="77">
    <w:nsid w:val="43F18422"/>
    <w:multiLevelType w:val="hybridMultilevel"/>
    <w:lvl w:ilvl="0">
      <w:lvlJc w:val="left"/>
      <w:lvlText w:val="(%1)"/>
      <w:numFmt w:val="lowerLetter"/>
      <w:start w:val="25"/>
    </w:lvl>
    <w:lvl w:ilvl="1">
      <w:lvlJc w:val="left"/>
      <w:lvlText w:val="(%2)"/>
      <w:numFmt w:val="lowerRoman"/>
      <w:start w:val="1"/>
    </w:lvl>
  </w:abstractNum>
  <w:abstractNum w:abstractNumId="78">
    <w:nsid w:val="60EF0119"/>
    <w:multiLevelType w:val="hybridMultilevel"/>
    <w:lvl w:ilvl="0">
      <w:lvlJc w:val="left"/>
      <w:lvlText w:val="(%1)"/>
      <w:numFmt w:val="lowerLetter"/>
      <w:start w:val="27"/>
    </w:lvl>
  </w:abstractNum>
  <w:abstractNum w:abstractNumId="79">
    <w:nsid w:val="26F324BA"/>
    <w:multiLevelType w:val="hybridMultilevel"/>
    <w:lvl w:ilvl="0">
      <w:lvlJc w:val="left"/>
      <w:lvlText w:val="(%1)"/>
      <w:numFmt w:val="lowerLetter"/>
      <w:start w:val="29"/>
    </w:lvl>
  </w:abstractNum>
  <w:abstractNum w:abstractNumId="80">
    <w:nsid w:val="7F01579B"/>
    <w:multiLevelType w:val="hybridMultilevel"/>
    <w:lvl w:ilvl="0">
      <w:lvlJc w:val="left"/>
      <w:lvlText w:val="(%1)"/>
      <w:numFmt w:val="lowerLetter"/>
      <w:start w:val="1"/>
    </w:lvl>
  </w:abstractNum>
  <w:abstractNum w:abstractNumId="81">
    <w:nsid w:val="49DA307D"/>
    <w:multiLevelType w:val="hybridMultilevel"/>
    <w:lvl w:ilvl="0">
      <w:lvlJc w:val="left"/>
      <w:lvlText w:val="(%1)"/>
      <w:numFmt w:val="lowerLetter"/>
      <w:start w:val="3"/>
    </w:lvl>
  </w:abstractNum>
  <w:abstractNum w:abstractNumId="82">
    <w:nsid w:val="7055A5F5"/>
    <w:multiLevelType w:val="hybridMultilevel"/>
    <w:lvl w:ilvl="0">
      <w:lvlJc w:val="left"/>
      <w:lvlText w:val="(%1)"/>
      <w:numFmt w:val="lowerLetter"/>
      <w:start w:val="1"/>
    </w:lvl>
  </w:abstractNum>
  <w:abstractNum w:abstractNumId="83">
    <w:nsid w:val="5FB8370B"/>
    <w:multiLevelType w:val="hybridMultilevel"/>
    <w:lvl w:ilvl="0">
      <w:lvlJc w:val="left"/>
      <w:lvlText w:val="(%1)"/>
      <w:numFmt w:val="lowerLetter"/>
      <w:start w:val="1"/>
    </w:lvl>
  </w:abstractNum>
  <w:abstractNum w:abstractNumId="84">
    <w:nsid w:val="50801EE1"/>
    <w:multiLevelType w:val="hybridMultilevel"/>
    <w:lvl w:ilvl="0">
      <w:lvlJc w:val="left"/>
      <w:lvlText w:val="(%1)"/>
      <w:numFmt w:val="lowerLetter"/>
      <w:start w:val="3"/>
    </w:lvl>
  </w:abstractNum>
  <w:abstractNum w:abstractNumId="85">
    <w:nsid w:val="488AC1A"/>
    <w:multiLevelType w:val="hybridMultilevel"/>
    <w:lvl w:ilvl="0">
      <w:lvlJc w:val="left"/>
      <w:lvlText w:val="(%1)"/>
      <w:numFmt w:val="lowerLetter"/>
      <w:start w:val="1"/>
    </w:lvl>
    <w:lvl w:ilvl="1">
      <w:lvlJc w:val="left"/>
      <w:lvlText w:val="(%2)"/>
      <w:numFmt w:val="lowerRoman"/>
      <w:start w:val="1"/>
    </w:lvl>
  </w:abstractNum>
  <w:abstractNum w:abstractNumId="86">
    <w:nsid w:val="5FB8011C"/>
    <w:multiLevelType w:val="hybridMultilevel"/>
    <w:lvl w:ilvl="0">
      <w:lvlJc w:val="left"/>
      <w:lvlText w:val="%1"/>
      <w:numFmt w:val="lowerLetter"/>
      <w:start w:val="1"/>
    </w:lvl>
    <w:lvl w:ilvl="1">
      <w:lvlJc w:val="left"/>
      <w:lvlText w:val="(%2)"/>
      <w:numFmt w:val="lowerLetter"/>
      <w:start w:val="22"/>
    </w:lvl>
  </w:abstractNum>
  <w:abstractNum w:abstractNumId="87">
    <w:nsid w:val="6AA78F7F"/>
    <w:multiLevelType w:val="hybridMultilevel"/>
    <w:lvl w:ilvl="0">
      <w:lvlJc w:val="left"/>
      <w:lvlText w:val="(%1)"/>
      <w:numFmt w:val="lowerLetter"/>
      <w:start w:val="5"/>
    </w:lvl>
    <w:lvl w:ilvl="1">
      <w:lvlJc w:val="left"/>
      <w:lvlText w:val="%2"/>
      <w:numFmt w:val="lowerLetter"/>
      <w:start w:val="1"/>
    </w:lvl>
  </w:abstractNum>
  <w:abstractNum w:abstractNumId="88">
    <w:nsid w:val="7672BD23"/>
    <w:multiLevelType w:val="hybridMultilevel"/>
    <w:lvl w:ilvl="0">
      <w:lvlJc w:val="left"/>
      <w:lvlText w:val="(%1)"/>
      <w:numFmt w:val="lowerLetter"/>
      <w:start w:val="1"/>
    </w:lvl>
    <w:lvl w:ilvl="1">
      <w:lvlJc w:val="left"/>
      <w:lvlText w:val="(%2)"/>
      <w:numFmt w:val="lowerRoman"/>
      <w:start w:val="1"/>
    </w:lvl>
  </w:abstractNum>
  <w:abstractNum w:abstractNumId="89">
    <w:nsid w:val="6FC75AF8"/>
    <w:multiLevelType w:val="hybridMultilevel"/>
    <w:lvl w:ilvl="0">
      <w:lvlJc w:val="left"/>
      <w:lvlText w:val="%1"/>
      <w:numFmt w:val="lowerLetter"/>
      <w:start w:val="1"/>
    </w:lvl>
    <w:lvl w:ilvl="1">
      <w:lvlJc w:val="left"/>
      <w:lvlText w:val="(%2)"/>
      <w:numFmt w:val="lowerRoman"/>
      <w:start w:val="4"/>
    </w:lvl>
  </w:abstractNum>
  <w:abstractNum w:abstractNumId="90">
    <w:nsid w:val="6A5F7029"/>
    <w:multiLevelType w:val="hybridMultilevel"/>
    <w:lvl w:ilvl="0">
      <w:lvlJc w:val="left"/>
      <w:lvlText w:val="(%1)"/>
      <w:numFmt w:val="lowerLetter"/>
      <w:start w:val="4"/>
    </w:lvl>
    <w:lvl w:ilvl="1">
      <w:lvlJc w:val="left"/>
      <w:lvlText w:val="%2"/>
      <w:numFmt w:val="lowerRoman"/>
      <w:start w:val="1"/>
    </w:lvl>
  </w:abstractNum>
  <w:abstractNum w:abstractNumId="91">
    <w:nsid w:val="7D5E18F8"/>
    <w:multiLevelType w:val="hybridMultilevel"/>
    <w:lvl w:ilvl="0">
      <w:lvlJc w:val="left"/>
      <w:lvlText w:val="(%1)"/>
      <w:numFmt w:val="lowerLetter"/>
      <w:start w:val="1"/>
    </w:lvl>
  </w:abstractNum>
  <w:abstractNum w:abstractNumId="92">
    <w:nsid w:val="5F3534A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3">
    <w:nsid w:val="73A182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94">
    <w:nsid w:val="7DE67713"/>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95">
    <w:nsid w:val="555C55B5"/>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lvl w:ilvl="3">
      <w:lvlJc w:val="left"/>
      <w:lvlText w:val="(%4)"/>
      <w:numFmt w:val="upperLetter"/>
      <w:start w:val="1"/>
    </w:lvl>
  </w:abstractNum>
  <w:abstractNum w:abstractNumId="96">
    <w:nsid w:val="3FA62ACA"/>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9"/>
    </w:lvl>
    <w:lvl w:ilvl="3">
      <w:lvlJc w:val="left"/>
      <w:lvlText w:val="%4"/>
      <w:numFmt w:val="upperLetter"/>
      <w:start w:val="1"/>
    </w:lvl>
  </w:abstractNum>
  <w:abstractNum w:abstractNumId="97">
    <w:nsid w:val="14FCE74E"/>
    <w:multiLevelType w:val="hybridMultilevel"/>
    <w:lvl w:ilvl="0">
      <w:lvlJc w:val="left"/>
      <w:lvlText w:val="(%1)"/>
      <w:numFmt w:val="lowerRoman"/>
      <w:start w:val="1"/>
    </w:lvl>
  </w:abstractNum>
  <w:abstractNum w:abstractNumId="98">
    <w:nsid w:val="6A3DD3E8"/>
    <w:multiLevelType w:val="hybridMultilevel"/>
    <w:lvl w:ilvl="0">
      <w:lvlJc w:val="left"/>
      <w:lvlText w:val="(%1)"/>
      <w:numFmt w:val="lowerRoman"/>
      <w:start w:val="2"/>
    </w:lvl>
  </w:abstractNum>
  <w:abstractNum w:abstractNumId="99">
    <w:nsid w:val="71C91298"/>
    <w:multiLevelType w:val="hybridMultilevel"/>
    <w:lvl w:ilvl="0">
      <w:lvlJc w:val="left"/>
      <w:lvlText w:val="(%1)"/>
      <w:numFmt w:val="lowerRoman"/>
      <w:start w:val="1"/>
    </w:lvl>
  </w:abstractNum>
  <w:abstractNum w:abstractNumId="100">
    <w:nsid w:val="9DAF632"/>
    <w:multiLevelType w:val="hybridMultilevel"/>
    <w:lvl w:ilvl="0">
      <w:lvlJc w:val="left"/>
      <w:lvlText w:val="(%1)"/>
      <w:numFmt w:val="lowerLetter"/>
      <w:start w:val="10"/>
    </w:lvl>
  </w:abstractNum>
  <w:abstractNum w:abstractNumId="101">
    <w:nsid w:val="53299938"/>
    <w:multiLevelType w:val="hybridMultilevel"/>
    <w:lvl w:ilvl="0">
      <w:lvlJc w:val="left"/>
      <w:lvlText w:val="(%1)"/>
      <w:numFmt w:val="lowerLetter"/>
      <w:start w:val="1"/>
    </w:lvl>
  </w:abstractNum>
  <w:abstractNum w:abstractNumId="102">
    <w:nsid w:val="1FBFE8E0"/>
    <w:multiLevelType w:val="hybridMultilevel"/>
    <w:lvl w:ilvl="0">
      <w:lvlJc w:val="left"/>
      <w:lvlText w:val="(%1)"/>
      <w:numFmt w:val="lowerLetter"/>
      <w:start w:val="2"/>
    </w:lvl>
  </w:abstractNum>
  <w:abstractNum w:abstractNumId="103">
    <w:nsid w:val="5092CA79"/>
    <w:multiLevelType w:val="hybridMultilevel"/>
    <w:lvl w:ilvl="0">
      <w:lvlJc w:val="left"/>
      <w:lvlText w:val="(%1)"/>
      <w:numFmt w:val="lowerLetter"/>
      <w:start w:val="1"/>
    </w:lvl>
  </w:abstractNum>
  <w:abstractNum w:abstractNumId="104">
    <w:nsid w:val="1D545C4D"/>
    <w:multiLevelType w:val="hybridMultilevel"/>
    <w:lvl w:ilvl="0">
      <w:lvlJc w:val="left"/>
      <w:lvlText w:val="(%1)"/>
      <w:numFmt w:val="lowerLetter"/>
      <w:start w:val="4"/>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lowerRoman"/>
      <w:start w:val="1"/>
    </w:lvl>
  </w:abstractNum>
  <w:abstractNum w:abstractNumId="108">
    <w:nsid w:val="1D9F6E5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2019-12-05T07:45:29Z</dcterms:created>
  <dcterms:modified xsi:type="dcterms:W3CDTF">2019-12-05T07:45:29Z</dcterms:modified>
</cp:coreProperties>
</file>