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137160</wp:posOffset>
            </wp:positionH>
            <wp:positionV relativeFrom="page">
              <wp:posOffset>105410</wp:posOffset>
            </wp:positionV>
            <wp:extent cx="728726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31750"/>
                    </a:xfrm>
                    <a:prstGeom prst="rect">
                      <a:avLst/>
                    </a:prstGeom>
                    <a:noFill/>
                  </pic:spPr>
                </pic:pic>
              </a:graphicData>
            </a:graphic>
          </wp:anchor>
        </w:drawing>
        <w:t>UNITED STATES</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2726055</wp:posOffset>
            </wp:positionH>
            <wp:positionV relativeFrom="paragraph">
              <wp:posOffset>167640</wp:posOffset>
            </wp:positionV>
            <wp:extent cx="1830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070" cy="635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10-Q</w:t>
      </w:r>
    </w:p>
    <w:p>
      <w:pPr>
        <w:spacing w:after="0" w:line="342" w:lineRule="exact"/>
        <w:rPr>
          <w:sz w:val="24"/>
          <w:szCs w:val="24"/>
          <w:color w:val="auto"/>
        </w:rPr>
      </w:pPr>
    </w:p>
    <w:p>
      <w:pPr>
        <w:ind w:left="480" w:hanging="479"/>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UNDER SECTION 13 or 15(d) OF THE SECURITIES EXCHANGE ACT OF 1934</w:t>
      </w:r>
    </w:p>
    <w:p>
      <w:pPr>
        <w:spacing w:after="0" w:line="164"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September 30, 2009</w:t>
      </w:r>
    </w:p>
    <w:p>
      <w:pPr>
        <w:spacing w:after="0" w:line="164" w:lineRule="exact"/>
        <w:rPr>
          <w:sz w:val="24"/>
          <w:szCs w:val="24"/>
          <w:color w:val="auto"/>
        </w:rPr>
      </w:pPr>
    </w:p>
    <w:p>
      <w:pPr>
        <w:ind w:left="480" w:hanging="479"/>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47"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178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420" w:type="dxa"/>
            <w:vAlign w:val="bottom"/>
          </w:tcPr>
          <w:p>
            <w:pPr>
              <w:spacing w:after="0"/>
              <w:rPr>
                <w:sz w:val="14"/>
                <w:szCs w:val="14"/>
                <w:color w:val="auto"/>
              </w:rPr>
            </w:pPr>
          </w:p>
        </w:tc>
        <w:tc>
          <w:tcPr>
            <w:tcW w:w="4080" w:type="dxa"/>
            <w:vAlign w:val="bottom"/>
            <w:gridSpan w:val="3"/>
          </w:tcPr>
          <w:p>
            <w:pPr>
              <w:ind w:left="20"/>
              <w:spacing w:after="0"/>
              <w:rPr>
                <w:sz w:val="20"/>
                <w:szCs w:val="20"/>
                <w:color w:val="auto"/>
              </w:rPr>
            </w:pPr>
            <w:r>
              <w:rPr>
                <w:rFonts w:ascii="Arial" w:cs="Arial" w:eastAsia="Arial" w:hAnsi="Arial"/>
                <w:sz w:val="14"/>
                <w:szCs w:val="14"/>
                <w:b w:val="1"/>
                <w:bCs w:val="1"/>
                <w:color w:val="auto"/>
              </w:rPr>
              <w:t>to</w:t>
            </w:r>
          </w:p>
        </w:tc>
      </w:tr>
      <w:tr>
        <w:trPr>
          <w:trHeight w:val="335"/>
        </w:trPr>
        <w:tc>
          <w:tcPr>
            <w:tcW w:w="17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500" w:type="dxa"/>
            <w:vAlign w:val="bottom"/>
          </w:tcPr>
          <w:p>
            <w:pPr>
              <w:ind w:left="1400"/>
              <w:spacing w:after="0"/>
              <w:rPr>
                <w:sz w:val="20"/>
                <w:szCs w:val="20"/>
                <w:color w:val="auto"/>
              </w:rPr>
            </w:pPr>
            <w:r>
              <w:rPr>
                <w:rFonts w:ascii="Arial" w:cs="Arial" w:eastAsia="Arial" w:hAnsi="Arial"/>
                <w:sz w:val="14"/>
                <w:szCs w:val="14"/>
                <w:b w:val="1"/>
                <w:bCs w:val="1"/>
                <w:color w:val="auto"/>
                <w:w w:val="86"/>
              </w:rPr>
              <w:t>Commission File Number 001-03761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2726055</wp:posOffset>
            </wp:positionH>
            <wp:positionV relativeFrom="paragraph">
              <wp:posOffset>52070</wp:posOffset>
            </wp:positionV>
            <wp:extent cx="18300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070" cy="6350"/>
                    </a:xfrm>
                    <a:prstGeom prst="rect">
                      <a:avLst/>
                    </a:prstGeom>
                    <a:noFill/>
                  </pic:spPr>
                </pic:pic>
              </a:graphicData>
            </a:graphic>
          </wp:anchor>
        </w:drawing>
      </w:r>
    </w:p>
    <w:p>
      <w:pPr>
        <w:spacing w:after="0" w:line="12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tbl>
      <w:tblPr>
        <w:tblLayout w:type="fixed"/>
        <w:tblInd w:w="1380" w:type="dxa"/>
        <w:tblCellMar>
          <w:top w:w="0" w:type="dxa"/>
          <w:left w:w="0" w:type="dxa"/>
          <w:bottom w:w="0" w:type="dxa"/>
          <w:right w:w="0" w:type="dxa"/>
        </w:tblCellMar>
      </w:tblPr>
      <w:tr>
        <w:trPr>
          <w:trHeight w:val="175"/>
        </w:trPr>
        <w:tc>
          <w:tcPr>
            <w:tcW w:w="6060" w:type="dxa"/>
            <w:vAlign w:val="bottom"/>
            <w:gridSpan w:val="3"/>
          </w:tcPr>
          <w:p>
            <w:pPr>
              <w:ind w:left="280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2200" w:type="dxa"/>
            <w:vAlign w:val="bottom"/>
          </w:tcPr>
          <w:p>
            <w:pPr>
              <w:spacing w:after="0"/>
              <w:rPr>
                <w:sz w:val="15"/>
                <w:szCs w:val="15"/>
                <w:color w:val="auto"/>
              </w:rPr>
            </w:pPr>
          </w:p>
        </w:tc>
      </w:tr>
      <w:tr>
        <w:trPr>
          <w:trHeight w:val="68"/>
        </w:trPr>
        <w:tc>
          <w:tcPr>
            <w:tcW w:w="2920" w:type="dxa"/>
            <w:vAlign w:val="bottom"/>
          </w:tcPr>
          <w:p>
            <w:pPr>
              <w:spacing w:after="0"/>
              <w:rPr>
                <w:sz w:val="5"/>
                <w:szCs w:val="5"/>
                <w:color w:val="auto"/>
              </w:rPr>
            </w:pPr>
          </w:p>
        </w:tc>
        <w:tc>
          <w:tcPr>
            <w:tcW w:w="28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200" w:type="dxa"/>
            <w:vAlign w:val="bottom"/>
          </w:tcPr>
          <w:p>
            <w:pPr>
              <w:spacing w:after="0"/>
              <w:rPr>
                <w:sz w:val="5"/>
                <w:szCs w:val="5"/>
                <w:color w:val="auto"/>
              </w:rPr>
            </w:pPr>
          </w:p>
        </w:tc>
      </w:tr>
      <w:tr>
        <w:trPr>
          <w:trHeight w:val="383"/>
        </w:trPr>
        <w:tc>
          <w:tcPr>
            <w:tcW w:w="6060" w:type="dxa"/>
            <w:vAlign w:val="bottom"/>
            <w:gridSpan w:val="3"/>
          </w:tcPr>
          <w:p>
            <w:pPr>
              <w:jc w:val="center"/>
              <w:ind w:right="3080"/>
              <w:spacing w:after="0"/>
              <w:rPr>
                <w:sz w:val="20"/>
                <w:szCs w:val="20"/>
                <w:color w:val="auto"/>
              </w:rPr>
            </w:pPr>
            <w:r>
              <w:rPr>
                <w:rFonts w:ascii="Arial" w:cs="Arial" w:eastAsia="Arial" w:hAnsi="Arial"/>
                <w:sz w:val="14"/>
                <w:szCs w:val="14"/>
                <w:b w:val="1"/>
                <w:bCs w:val="1"/>
                <w:color w:val="auto"/>
                <w:w w:val="87"/>
              </w:rPr>
              <w:t>Delaware</w:t>
            </w:r>
          </w:p>
        </w:tc>
        <w:tc>
          <w:tcPr>
            <w:tcW w:w="220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75-0289970</w:t>
            </w:r>
          </w:p>
        </w:tc>
      </w:tr>
      <w:tr>
        <w:trPr>
          <w:trHeight w:val="175"/>
        </w:trPr>
        <w:tc>
          <w:tcPr>
            <w:tcW w:w="6060" w:type="dxa"/>
            <w:vAlign w:val="bottom"/>
            <w:gridSpan w:val="3"/>
          </w:tcPr>
          <w:p>
            <w:pPr>
              <w:jc w:val="center"/>
              <w:ind w:right="3080"/>
              <w:spacing w:after="0"/>
              <w:rPr>
                <w:sz w:val="20"/>
                <w:szCs w:val="20"/>
                <w:color w:val="auto"/>
              </w:rPr>
            </w:pPr>
            <w:r>
              <w:rPr>
                <w:rFonts w:ascii="Arial" w:cs="Arial" w:eastAsia="Arial" w:hAnsi="Arial"/>
                <w:sz w:val="14"/>
                <w:szCs w:val="14"/>
                <w:b w:val="1"/>
                <w:bCs w:val="1"/>
                <w:color w:val="auto"/>
                <w:w w:val="89"/>
              </w:rPr>
              <w:t>(State of Incorporation)</w:t>
            </w:r>
          </w:p>
        </w:tc>
        <w:tc>
          <w:tcPr>
            <w:tcW w:w="2200" w:type="dxa"/>
            <w:vAlign w:val="bottom"/>
          </w:tcPr>
          <w:p>
            <w:pPr>
              <w:jc w:val="center"/>
              <w:ind w:left="5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75"/>
        </w:trPr>
        <w:tc>
          <w:tcPr>
            <w:tcW w:w="6060" w:type="dxa"/>
            <w:vAlign w:val="bottom"/>
            <w:gridSpan w:val="3"/>
          </w:tcPr>
          <w:p>
            <w:pPr>
              <w:jc w:val="center"/>
              <w:ind w:right="3080"/>
              <w:spacing w:after="0"/>
              <w:rPr>
                <w:sz w:val="20"/>
                <w:szCs w:val="20"/>
                <w:color w:val="auto"/>
              </w:rPr>
            </w:pPr>
            <w:r>
              <w:rPr>
                <w:rFonts w:ascii="Arial" w:cs="Arial" w:eastAsia="Arial" w:hAnsi="Arial"/>
                <w:sz w:val="14"/>
                <w:szCs w:val="14"/>
                <w:b w:val="1"/>
                <w:bCs w:val="1"/>
                <w:color w:val="auto"/>
                <w:w w:val="87"/>
              </w:rPr>
              <w:t>12500 TI Boulevard, P.O. Box 660199, Dallas, Texas</w:t>
            </w:r>
          </w:p>
        </w:tc>
        <w:tc>
          <w:tcPr>
            <w:tcW w:w="220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75266-0199</w:t>
            </w:r>
          </w:p>
        </w:tc>
      </w:tr>
      <w:tr>
        <w:trPr>
          <w:trHeight w:val="175"/>
        </w:trPr>
        <w:tc>
          <w:tcPr>
            <w:tcW w:w="6060" w:type="dxa"/>
            <w:vAlign w:val="bottom"/>
            <w:gridSpan w:val="3"/>
          </w:tcPr>
          <w:p>
            <w:pPr>
              <w:jc w:val="center"/>
              <w:ind w:right="31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0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(Zip Code)</w:t>
            </w:r>
          </w:p>
        </w:tc>
      </w:tr>
    </w:tbl>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2726055</wp:posOffset>
            </wp:positionH>
            <wp:positionV relativeFrom="paragraph">
              <wp:posOffset>176530</wp:posOffset>
            </wp:positionV>
            <wp:extent cx="18300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070" cy="635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300"/>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342" w:lineRule="exact"/>
        <w:rPr>
          <w:sz w:val="24"/>
          <w:szCs w:val="24"/>
          <w:color w:val="auto"/>
        </w:rPr>
      </w:pPr>
    </w:p>
    <w:p>
      <w:pPr>
        <w:ind w:right="220"/>
        <w:spacing w:after="0" w:line="29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o</w:t>
      </w:r>
    </w:p>
    <w:p>
      <w:pPr>
        <w:ind w:left="10760"/>
        <w:spacing w:after="0"/>
        <w:tabs>
          <w:tab w:leader="none" w:pos="11220" w:val="left"/>
        </w:tabs>
        <w:rPr>
          <w:sz w:val="20"/>
          <w:szCs w:val="20"/>
          <w:color w:val="auto"/>
        </w:rPr>
      </w:pPr>
      <w:r>
        <w:rPr>
          <w:rFonts w:ascii="Arial" w:cs="Arial" w:eastAsia="Arial" w:hAnsi="Arial"/>
          <w:sz w:val="14"/>
          <w:szCs w:val="14"/>
          <w:color w:val="auto"/>
        </w:rPr>
        <w:t>Yes S</w:t>
      </w:r>
      <w:r>
        <w:rPr>
          <w:sz w:val="20"/>
          <w:szCs w:val="20"/>
          <w:color w:val="auto"/>
        </w:rPr>
        <w:tab/>
      </w:r>
      <w:r>
        <w:rPr>
          <w:rFonts w:ascii="Arial" w:cs="Arial" w:eastAsia="Arial" w:hAnsi="Arial"/>
          <w:sz w:val="12"/>
          <w:szCs w:val="12"/>
          <w:color w:val="auto"/>
        </w:rPr>
        <w:t>No</w:t>
      </w:r>
    </w:p>
    <w:p>
      <w:pPr>
        <w:spacing w:after="0" w:line="174" w:lineRule="exact"/>
        <w:rPr>
          <w:sz w:val="24"/>
          <w:szCs w:val="24"/>
          <w:color w:val="auto"/>
        </w:rPr>
      </w:pPr>
    </w:p>
    <w:p>
      <w:pPr>
        <w:ind w:right="1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20" w:top="432" w:right="27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 S</w:t>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 o</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197" w:lineRule="exact"/>
        <w:rPr>
          <w:sz w:val="24"/>
          <w:szCs w:val="24"/>
          <w:color w:val="auto"/>
        </w:rPr>
      </w:pPr>
    </w:p>
    <w:p>
      <w:pPr>
        <w:sectPr>
          <w:pgSz w:w="11900" w:h="16838" w:orient="portrait"/>
          <w:cols w:equalWidth="0" w:num="3">
            <w:col w:w="2280" w:space="720"/>
            <w:col w:w="3960" w:space="720"/>
            <w:col w:w="3720"/>
          </w:cols>
          <w:pgMar w:left="220" w:top="432" w:right="279" w:bottom="1440" w:gutter="0" w:footer="0" w:header="0"/>
          <w:type w:val="continuous"/>
        </w:sect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 S</w:t>
      </w:r>
    </w:p>
    <w:p>
      <w:pPr>
        <w:spacing w:after="0" w:line="35" w:lineRule="exact"/>
        <w:rPr>
          <w:sz w:val="24"/>
          <w:szCs w:val="24"/>
          <w:color w:val="auto"/>
        </w:rPr>
      </w:pPr>
    </w:p>
    <w:p>
      <w:pPr>
        <w:sectPr>
          <w:pgSz w:w="11900" w:h="16838" w:orient="portrait"/>
          <w:cols w:equalWidth="0" w:num="3">
            <w:col w:w="6140" w:space="100"/>
            <w:col w:w="200" w:space="180"/>
            <w:col w:w="4780"/>
          </w:cols>
          <w:pgMar w:left="220" w:top="432" w:right="279" w:bottom="1440" w:gutter="0" w:footer="0" w:header="0"/>
          <w:type w:val="continuous"/>
        </w:sectPr>
      </w:pPr>
    </w:p>
    <w:p>
      <w:pPr>
        <w:ind w:left="2940"/>
        <w:spacing w:after="0"/>
        <w:rPr>
          <w:sz w:val="20"/>
          <w:szCs w:val="20"/>
          <w:color w:val="auto"/>
        </w:rPr>
      </w:pPr>
      <w:r>
        <w:rPr>
          <w:rFonts w:ascii="Arial" w:cs="Arial" w:eastAsia="Arial" w:hAnsi="Arial"/>
          <w:sz w:val="16"/>
          <w:szCs w:val="16"/>
          <w:color w:val="auto"/>
        </w:rPr>
        <w:t>&amp; #160;</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1,252,873,398</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Number of shares of Registrant’s common stock outstanding as of</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7287260"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532765</wp:posOffset>
            </wp:positionV>
            <wp:extent cx="728726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00"/>
          </w:cols>
          <w:pgMar w:left="220" w:top="432"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TEXAS INSTRUMENTS INCORPORATED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 except share and per-share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Three Months Ended Sept. 30,</w:t>
            </w:r>
          </w:p>
        </w:tc>
        <w:tc>
          <w:tcPr>
            <w:tcW w:w="200" w:type="dxa"/>
            <w:vAlign w:val="bottom"/>
          </w:tcPr>
          <w:p>
            <w:pPr>
              <w:spacing w:after="0"/>
              <w:rPr>
                <w:sz w:val="15"/>
                <w:szCs w:val="15"/>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Nine Months Ended Sept. 30,</w:t>
            </w:r>
          </w:p>
        </w:tc>
      </w:tr>
      <w:tr>
        <w:trPr>
          <w:trHeight w:val="163"/>
        </w:trPr>
        <w:tc>
          <w:tcPr>
            <w:tcW w:w="60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2,880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3,387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7,422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10,010</w:t>
            </w:r>
          </w:p>
        </w:tc>
      </w:tr>
      <w:tr>
        <w:trPr>
          <w:trHeight w:val="163"/>
        </w:trPr>
        <w:tc>
          <w:tcPr>
            <w:tcW w:w="6080" w:type="dxa"/>
            <w:vAlign w:val="bottom"/>
          </w:tcPr>
          <w:p>
            <w:pPr>
              <w:spacing w:after="0"/>
              <w:rPr>
                <w:sz w:val="20"/>
                <w:szCs w:val="20"/>
                <w:color w:val="auto"/>
              </w:rPr>
            </w:pPr>
            <w:r>
              <w:rPr>
                <w:rFonts w:ascii="Arial" w:cs="Arial" w:eastAsia="Arial" w:hAnsi="Arial"/>
                <w:sz w:val="14"/>
                <w:szCs w:val="14"/>
                <w:color w:val="auto"/>
              </w:rPr>
              <w:t>Cost of revenue (COR)</w:t>
            </w: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1,399</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1,481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1,643</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3,410</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Research and development (R&amp;D)</w:t>
            </w: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368</w:t>
            </w:r>
          </w:p>
        </w:tc>
        <w:tc>
          <w:tcPr>
            <w:tcW w:w="3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507</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1,122</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 (SG&amp;A)</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340</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972</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14"/>
                <w:szCs w:val="14"/>
                <w:color w:val="auto"/>
              </w:rPr>
            </w:pPr>
          </w:p>
        </w:tc>
      </w:tr>
      <w:tr>
        <w:trPr>
          <w:trHeight w:val="163"/>
        </w:trPr>
        <w:tc>
          <w:tcPr>
            <w:tcW w:w="6080" w:type="dxa"/>
            <w:vAlign w:val="bottom"/>
          </w:tcPr>
          <w:p>
            <w:pPr>
              <w:spacing w:after="0"/>
              <w:rPr>
                <w:sz w:val="20"/>
                <w:szCs w:val="20"/>
                <w:color w:val="auto"/>
              </w:rPr>
            </w:pPr>
            <w:r>
              <w:rPr>
                <w:rFonts w:ascii="Arial" w:cs="Arial" w:eastAsia="Arial" w:hAnsi="Arial"/>
                <w:sz w:val="14"/>
                <w:szCs w:val="14"/>
                <w:color w:val="auto"/>
              </w:rPr>
              <w:t>Restructuring expense</w:t>
            </w: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763</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746</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1,116</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765</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1,136</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227</w:t>
            </w:r>
          </w:p>
        </w:tc>
        <w:tc>
          <w:tcPr>
            <w:tcW w:w="3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193</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321</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632</w:t>
            </w:r>
          </w:p>
        </w:tc>
      </w:tr>
      <w:tr>
        <w:trPr>
          <w:trHeight w:val="20"/>
        </w:trPr>
        <w:tc>
          <w:tcPr>
            <w:tcW w:w="6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538</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815</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100" w:type="dxa"/>
            <w:vAlign w:val="bottom"/>
            <w:shd w:val="clear" w:color="auto" w:fill="CCEEFF"/>
          </w:tcPr>
          <w:p>
            <w:pPr>
              <w:spacing w:after="0"/>
              <w:rPr>
                <w:sz w:val="17"/>
                <w:szCs w:val="17"/>
                <w:color w:val="auto"/>
              </w:rPr>
            </w:pPr>
          </w:p>
        </w:tc>
      </w:tr>
      <w:tr>
        <w:trPr>
          <w:trHeight w:val="143"/>
        </w:trPr>
        <w:tc>
          <w:tcPr>
            <w:tcW w:w="608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Earnings per common share:</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Basic</w:t>
            </w:r>
          </w:p>
        </w:tc>
        <w:tc>
          <w:tcPr>
            <w:tcW w:w="820" w:type="dxa"/>
            <w:vAlign w:val="bottom"/>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40" w:type="dxa"/>
            <w:vAlign w:val="bottom"/>
          </w:tcPr>
          <w:p>
            <w:pPr>
              <w:spacing w:after="0"/>
              <w:rPr>
                <w:sz w:val="14"/>
                <w:szCs w:val="14"/>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.43</w:t>
            </w:r>
          </w:p>
        </w:tc>
        <w:tc>
          <w:tcPr>
            <w:tcW w:w="200" w:type="dxa"/>
            <w:vAlign w:val="bottom"/>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.64</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r>
      <w:tr>
        <w:trPr>
          <w:trHeight w:val="20"/>
        </w:trPr>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Diluted</w:t>
            </w:r>
          </w:p>
        </w:tc>
        <w:tc>
          <w:tcPr>
            <w:tcW w:w="820" w:type="dxa"/>
            <w:vAlign w:val="bottom"/>
            <w:shd w:val="clear" w:color="auto" w:fill="CCEEFF"/>
          </w:tcPr>
          <w:p>
            <w:pPr>
              <w:jc w:val="right"/>
              <w:ind w:right="672"/>
              <w:spacing w:after="0" w:line="143"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b w:val="1"/>
                <w:bCs w:val="1"/>
                <w:color w:val="auto"/>
              </w:rPr>
              <w:t>.63</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1.35</w:t>
            </w:r>
          </w:p>
        </w:tc>
      </w:tr>
      <w:tr>
        <w:trPr>
          <w:trHeight w:val="143"/>
        </w:trPr>
        <w:tc>
          <w:tcPr>
            <w:tcW w:w="608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Average shares outstanding (millions):</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Basic</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1,255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1,304</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1,266</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Diluted</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91"/>
              </w:rPr>
              <w:t>1,268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1,315</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b w:val="1"/>
                <w:bCs w:val="1"/>
                <w:color w:val="auto"/>
              </w:rPr>
              <w:t>1,272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r>
      <w:tr>
        <w:trPr>
          <w:trHeight w:val="143"/>
        </w:trPr>
        <w:tc>
          <w:tcPr>
            <w:tcW w:w="608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2"/>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dividends declared per share of common stock</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728726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TEXAS INSTRUMENTS INCORPORATED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 Sept.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For Nine Months Ended Sept. 30,</w:t>
            </w:r>
          </w:p>
        </w:tc>
      </w:tr>
      <w:tr>
        <w:trPr>
          <w:trHeight w:val="163"/>
        </w:trPr>
        <w:tc>
          <w:tcPr>
            <w:tcW w:w="60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538</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563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815</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available-for-sale investments: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ind w:left="240"/>
              <w:spacing w:after="0"/>
              <w:rPr>
                <w:sz w:val="20"/>
                <w:szCs w:val="20"/>
                <w:color w:val="auto"/>
              </w:rPr>
            </w:pPr>
            <w:r>
              <w:rPr>
                <w:rFonts w:ascii="Arial" w:cs="Arial" w:eastAsia="Arial" w:hAnsi="Arial"/>
                <w:sz w:val="14"/>
                <w:szCs w:val="14"/>
                <w:color w:val="auto"/>
              </w:rPr>
              <w:t>Adjustment, net of taxes</w:t>
            </w:r>
          </w:p>
        </w:tc>
        <w:tc>
          <w:tcPr>
            <w:tcW w:w="8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(19)</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17</w:t>
            </w:r>
          </w:p>
        </w:tc>
        <w:tc>
          <w:tcPr>
            <w:tcW w:w="2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62"/>
        </w:trPr>
        <w:tc>
          <w:tcPr>
            <w:tcW w:w="6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Recognized in net income, net of taxes</w:t>
            </w: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w:t>
            </w:r>
          </w:p>
        </w:tc>
        <w:tc>
          <w:tcPr>
            <w:tcW w:w="9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Changes in unrecognized net actuarial loss of defined benefit plans: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(22)</w:t>
            </w:r>
          </w:p>
        </w:tc>
        <w:tc>
          <w:tcPr>
            <w:tcW w:w="9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r>
      <w:tr>
        <w:trPr>
          <w:trHeight w:val="162"/>
        </w:trPr>
        <w:tc>
          <w:tcPr>
            <w:tcW w:w="6080" w:type="dxa"/>
            <w:vAlign w:val="bottom"/>
          </w:tcPr>
          <w:p>
            <w:pPr>
              <w:ind w:left="240"/>
              <w:spacing w:after="0"/>
              <w:rPr>
                <w:sz w:val="20"/>
                <w:szCs w:val="20"/>
                <w:color w:val="auto"/>
              </w:rPr>
            </w:pPr>
            <w:r>
              <w:rPr>
                <w:rFonts w:ascii="Arial" w:cs="Arial" w:eastAsia="Arial" w:hAnsi="Arial"/>
                <w:sz w:val="14"/>
                <w:szCs w:val="14"/>
                <w:color w:val="auto"/>
              </w:rPr>
              <w:t>Recognized in net income, net of taxes</w:t>
            </w: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39</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unrecognized prior service cost of defined benefit plans: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ind w:left="240"/>
              <w:spacing w:after="0"/>
              <w:rPr>
                <w:sz w:val="20"/>
                <w:szCs w:val="20"/>
                <w:color w:val="auto"/>
              </w:rPr>
            </w:pPr>
            <w:r>
              <w:rPr>
                <w:rFonts w:ascii="Arial" w:cs="Arial" w:eastAsia="Arial" w:hAnsi="Arial"/>
                <w:sz w:val="14"/>
                <w:szCs w:val="14"/>
                <w:color w:val="auto"/>
              </w:rPr>
              <w:t>Adjustment, net of taxes</w:t>
            </w:r>
          </w:p>
        </w:tc>
        <w:tc>
          <w:tcPr>
            <w:tcW w:w="88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w:t>
            </w:r>
          </w:p>
        </w:tc>
        <w:tc>
          <w:tcPr>
            <w:tcW w:w="94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r>
      <w:tr>
        <w:trPr>
          <w:trHeight w:val="162"/>
        </w:trPr>
        <w:tc>
          <w:tcPr>
            <w:tcW w:w="6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Recognized in net income, net of taxes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w:t>
            </w:r>
          </w:p>
        </w:tc>
        <w:tc>
          <w:tcPr>
            <w:tcW w:w="9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(11)</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112</w:t>
            </w:r>
          </w:p>
        </w:tc>
        <w:tc>
          <w:tcPr>
            <w:tcW w:w="2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r>
      <w:tr>
        <w:trPr>
          <w:trHeight w:val="20"/>
        </w:trPr>
        <w:tc>
          <w:tcPr>
            <w:tcW w:w="6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Total comprehensive income</w:t>
            </w: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534</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552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927</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5"/>
                <w:szCs w:val="15"/>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728726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TEXAS INSTRUMENTS INCORPORATED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 except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w w:val="90"/>
              </w:rPr>
              <w:t>Sept. 30, 2009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w w:val="90"/>
              </w:rPr>
              <w:t>Dec. 31, 2008</w:t>
            </w:r>
          </w:p>
        </w:tc>
        <w:tc>
          <w:tcPr>
            <w:tcW w:w="0" w:type="dxa"/>
            <w:vAlign w:val="bottom"/>
          </w:tcPr>
          <w:p>
            <w:pPr>
              <w:spacing w:after="0"/>
              <w:rPr>
                <w:sz w:val="1"/>
                <w:szCs w:val="1"/>
                <w:color w:val="auto"/>
              </w:rPr>
            </w:pPr>
          </w:p>
        </w:tc>
      </w:tr>
      <w:tr>
        <w:trPr>
          <w:trHeight w:val="162"/>
        </w:trPr>
        <w:tc>
          <w:tcPr>
            <w:tcW w:w="87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1,294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Short-term investments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1,533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Accounts receivable, net of allowances of ($22) and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1,435</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Raw materials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Work in process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767</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Pr>
          <w:p>
            <w:pPr>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592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63"/>
        </w:trPr>
        <w:tc>
          <w:tcPr>
            <w:tcW w:w="872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6,138</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Property, plant and equipment at 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6,599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(3,654)</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(4,017)</w:t>
            </w:r>
          </w:p>
        </w:tc>
        <w:tc>
          <w:tcPr>
            <w:tcW w:w="0" w:type="dxa"/>
            <w:vAlign w:val="bottom"/>
          </w:tcPr>
          <w:p>
            <w:pPr>
              <w:spacing w:after="0"/>
              <w:rPr>
                <w:sz w:val="1"/>
                <w:szCs w:val="1"/>
                <w:color w:val="auto"/>
              </w:rPr>
            </w:pPr>
          </w:p>
        </w:tc>
      </w:tr>
      <w:tr>
        <w:trPr>
          <w:trHeight w:val="163"/>
        </w:trPr>
        <w:tc>
          <w:tcPr>
            <w:tcW w:w="87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2,945</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627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926</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Acquisition-related intangibles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138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928</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Capitalized software licenses, net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124</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Overfunded retirement 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Total assets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11,903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Accounts payable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467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959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Income taxes payable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Accrued profit sharing and retirement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Underfunded retirement plans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464</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credits and other liabilities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720" w:type="dxa"/>
            <w:vAlign w:val="bottom"/>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2,465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Preferred stock, $25 par value. Authorized – 10,000,000 shares. Participating cumulative preferred. None issued.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7"/>
              </w:rPr>
              <w:t>Common stock, $1 par value. Authorized – 2,400,000,000 shares. Shares issued: September 30, 2009 – 1,739,770,537; December 31, 2008 – 1,739,718,073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1,740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12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1,071</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21,562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21,168</w:t>
            </w:r>
          </w:p>
        </w:tc>
        <w:tc>
          <w:tcPr>
            <w:tcW w:w="0" w:type="dxa"/>
            <w:vAlign w:val="bottom"/>
          </w:tcPr>
          <w:p>
            <w:pPr>
              <w:spacing w:after="0"/>
              <w:rPr>
                <w:sz w:val="1"/>
                <w:szCs w:val="1"/>
                <w:color w:val="auto"/>
              </w:rPr>
            </w:pPr>
          </w:p>
        </w:tc>
      </w:tr>
      <w:tr>
        <w:trPr>
          <w:trHeight w:val="152"/>
        </w:trPr>
        <w:tc>
          <w:tcPr>
            <w:tcW w:w="8720" w:type="dxa"/>
            <w:vAlign w:val="bottom"/>
          </w:tcPr>
          <w:p>
            <w:pPr>
              <w:ind w:left="120"/>
              <w:spacing w:after="0" w:line="151" w:lineRule="exact"/>
              <w:rPr>
                <w:sz w:val="20"/>
                <w:szCs w:val="20"/>
                <w:color w:val="auto"/>
              </w:rPr>
            </w:pPr>
            <w:r>
              <w:rPr>
                <w:rFonts w:ascii="Arial" w:cs="Arial" w:eastAsia="Arial" w:hAnsi="Arial"/>
                <w:sz w:val="14"/>
                <w:szCs w:val="14"/>
                <w:color w:val="auto"/>
              </w:rPr>
              <w:t>Less treasury common stock at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(14,257)</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720" w:type="dxa"/>
            <w:vAlign w:val="bottom"/>
          </w:tcPr>
          <w:p>
            <w:pPr>
              <w:ind w:left="120"/>
              <w:spacing w:after="0"/>
              <w:rPr>
                <w:sz w:val="20"/>
                <w:szCs w:val="20"/>
                <w:color w:val="auto"/>
              </w:rPr>
            </w:pPr>
            <w:r>
              <w:rPr>
                <w:rFonts w:ascii="Arial" w:cs="Arial" w:eastAsia="Arial" w:hAnsi="Arial"/>
                <w:sz w:val="14"/>
                <w:szCs w:val="14"/>
                <w:color w:val="auto"/>
              </w:rPr>
              <w:t>Shares: September 30, 2009 – 486,897,139; December 31, 2008 – 461,822,215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(13,814)</w:t>
            </w:r>
          </w:p>
        </w:tc>
        <w:tc>
          <w:tcPr>
            <w:tcW w:w="0" w:type="dxa"/>
            <w:vAlign w:val="bottom"/>
          </w:tcPr>
          <w:p>
            <w:pPr>
              <w:spacing w:after="0"/>
              <w:rPr>
                <w:sz w:val="1"/>
                <w:szCs w:val="1"/>
                <w:color w:val="auto"/>
              </w:rPr>
            </w:pPr>
          </w:p>
        </w:tc>
      </w:tr>
      <w:tr>
        <w:trPr>
          <w:trHeight w:val="163"/>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income (loss), net of taxes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(678)</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63"/>
        </w:trPr>
        <w:tc>
          <w:tcPr>
            <w:tcW w:w="872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9,438</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9,326</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11,903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728726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6320" w:type="dxa"/>
            <w:vAlign w:val="bottom"/>
            <w:gridSpan w:val="2"/>
          </w:tcPr>
          <w:p>
            <w:pPr>
              <w:jc w:val="center"/>
              <w:ind w:right="1332"/>
              <w:spacing w:after="0"/>
              <w:rPr>
                <w:sz w:val="20"/>
                <w:szCs w:val="20"/>
                <w:color w:val="auto"/>
              </w:rPr>
            </w:pPr>
            <w:r>
              <w:rPr>
                <w:rFonts w:ascii="Arial" w:cs="Arial" w:eastAsia="Arial" w:hAnsi="Arial"/>
                <w:sz w:val="14"/>
                <w:szCs w:val="14"/>
                <w:b w:val="1"/>
                <w:bCs w:val="1"/>
                <w:color w:val="auto"/>
                <w:w w:val="96"/>
              </w:rPr>
              <w:t>TEXAS INSTRUMENTS INCORPORATED AND SUBSIDIARIES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6320" w:type="dxa"/>
            <w:vAlign w:val="bottom"/>
            <w:gridSpan w:val="2"/>
          </w:tcPr>
          <w:p>
            <w:pPr>
              <w:jc w:val="center"/>
              <w:ind w:right="1332"/>
              <w:spacing w:after="0"/>
              <w:rPr>
                <w:sz w:val="20"/>
                <w:szCs w:val="20"/>
                <w:color w:val="auto"/>
              </w:rPr>
            </w:pPr>
            <w:r>
              <w:rPr>
                <w:rFonts w:ascii="Arial" w:cs="Arial" w:eastAsia="Arial" w:hAnsi="Arial"/>
                <w:sz w:val="14"/>
                <w:szCs w:val="14"/>
                <w:b w:val="1"/>
                <w:bCs w:val="1"/>
                <w:color w:val="auto"/>
                <w:w w:val="85"/>
              </w:rPr>
              <w:t>Consolidated Statements of Cash Flows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280" w:type="dxa"/>
            <w:vAlign w:val="bottom"/>
          </w:tcPr>
          <w:p>
            <w:pPr>
              <w:spacing w:after="0"/>
              <w:rPr>
                <w:sz w:val="15"/>
                <w:szCs w:val="15"/>
                <w:color w:val="auto"/>
              </w:rPr>
            </w:pPr>
          </w:p>
        </w:tc>
        <w:tc>
          <w:tcPr>
            <w:tcW w:w="6320" w:type="dxa"/>
            <w:vAlign w:val="bottom"/>
            <w:gridSpan w:val="2"/>
          </w:tcPr>
          <w:p>
            <w:pPr>
              <w:jc w:val="center"/>
              <w:ind w:right="1352"/>
              <w:spacing w:after="0"/>
              <w:rPr>
                <w:sz w:val="20"/>
                <w:szCs w:val="20"/>
                <w:color w:val="auto"/>
              </w:rPr>
            </w:pPr>
            <w:r>
              <w:rPr>
                <w:rFonts w:ascii="Arial" w:cs="Arial" w:eastAsia="Arial" w:hAnsi="Arial"/>
                <w:sz w:val="14"/>
                <w:szCs w:val="14"/>
                <w:b w:val="1"/>
                <w:bCs w:val="1"/>
                <w:color w:val="auto"/>
                <w:w w:val="88"/>
              </w:rPr>
              <w:t>(Millions of dollars)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3280" w:type="dxa"/>
            <w:vAlign w:val="bottom"/>
            <w:tcBorders>
              <w:bottom w:val="single" w:sz="8" w:color="CCEEFF"/>
            </w:tcBorders>
            <w:shd w:val="clear" w:color="auto" w:fill="CCEEFF"/>
          </w:tcPr>
          <w:p>
            <w:pPr>
              <w:spacing w:after="0"/>
              <w:rPr>
                <w:sz w:val="14"/>
                <w:szCs w:val="14"/>
                <w:color w:val="auto"/>
              </w:rPr>
            </w:pPr>
          </w:p>
        </w:tc>
        <w:tc>
          <w:tcPr>
            <w:tcW w:w="5560" w:type="dxa"/>
            <w:vAlign w:val="bottom"/>
            <w:tcBorders>
              <w:bottom w:val="single" w:sz="8" w:color="CCEEFF"/>
            </w:tcBorders>
            <w:shd w:val="clear" w:color="auto" w:fill="CCEEFF"/>
          </w:tcPr>
          <w:p>
            <w:pPr>
              <w:spacing w:after="0"/>
              <w:rPr>
                <w:sz w:val="14"/>
                <w:szCs w:val="14"/>
                <w:color w:val="auto"/>
              </w:rPr>
            </w:pPr>
          </w:p>
        </w:tc>
        <w:tc>
          <w:tcPr>
            <w:tcW w:w="2520" w:type="dxa"/>
            <w:vAlign w:val="bottom"/>
            <w:tcBorders>
              <w:bottom w:val="single" w:sz="8" w:color="auto"/>
            </w:tcBorders>
            <w:gridSpan w:val="5"/>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For Nine Months Ended Sept. 30,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3280" w:type="dxa"/>
            <w:vAlign w:val="bottom"/>
          </w:tcPr>
          <w:p>
            <w:pPr>
              <w:spacing w:after="0"/>
              <w:rPr>
                <w:sz w:val="14"/>
                <w:szCs w:val="14"/>
                <w:color w:val="auto"/>
              </w:rPr>
            </w:pPr>
          </w:p>
        </w:tc>
        <w:tc>
          <w:tcPr>
            <w:tcW w:w="6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r>
              <w:rPr>
                <w:rFonts w:ascii="Arial" w:cs="Arial" w:eastAsia="Arial" w:hAnsi="Arial"/>
                <w:sz w:val="14"/>
                <w:szCs w:val="14"/>
                <w:color w:val="auto"/>
              </w:rPr>
              <w:t>:</w:t>
            </w:r>
          </w:p>
        </w:tc>
        <w:tc>
          <w:tcPr>
            <w:tcW w:w="55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63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815</w:t>
            </w:r>
          </w:p>
        </w:tc>
        <w:tc>
          <w:tcPr>
            <w:tcW w:w="220" w:type="dxa"/>
            <w:vAlign w:val="bottom"/>
          </w:tcPr>
          <w:p>
            <w:pPr>
              <w:spacing w:after="0"/>
              <w:rPr>
                <w:sz w:val="14"/>
                <w:szCs w:val="14"/>
                <w:color w:val="auto"/>
              </w:rPr>
            </w:pPr>
          </w:p>
        </w:tc>
        <w:tc>
          <w:tcPr>
            <w:tcW w:w="260" w:type="dxa"/>
            <w:vAlign w:val="bottom"/>
          </w:tcPr>
          <w:p>
            <w:pPr>
              <w:jc w:val="right"/>
              <w:ind w:right="14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net income:</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738</w:t>
            </w:r>
          </w:p>
        </w:tc>
      </w:tr>
      <w:tr>
        <w:trPr>
          <w:trHeight w:val="162"/>
        </w:trPr>
        <w:tc>
          <w:tcPr>
            <w:tcW w:w="3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w:t>
            </w:r>
          </w:p>
        </w:tc>
      </w:tr>
      <w:tr>
        <w:trPr>
          <w:trHeight w:val="162"/>
        </w:trPr>
        <w:tc>
          <w:tcPr>
            <w:tcW w:w="3280" w:type="dxa"/>
            <w:vAlign w:val="bottom"/>
          </w:tcPr>
          <w:p>
            <w:pPr>
              <w:ind w:left="240"/>
              <w:spacing w:after="0"/>
              <w:rPr>
                <w:sz w:val="20"/>
                <w:szCs w:val="20"/>
                <w:color w:val="auto"/>
              </w:rPr>
            </w:pPr>
            <w:r>
              <w:rPr>
                <w:rFonts w:ascii="Arial" w:cs="Arial" w:eastAsia="Arial" w:hAnsi="Arial"/>
                <w:sz w:val="14"/>
                <w:szCs w:val="14"/>
                <w:color w:val="auto"/>
              </w:rPr>
              <w:t>Amortization of acquisition-related intangibles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w:t>
            </w: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Increase (decrease) from changes in:</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(520)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32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(157)</w:t>
            </w:r>
          </w:p>
        </w:tc>
      </w:tr>
      <w:tr>
        <w:trPr>
          <w:trHeight w:val="162"/>
        </w:trPr>
        <w:tc>
          <w:tcPr>
            <w:tcW w:w="3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r>
      <w:tr>
        <w:trPr>
          <w:trHeight w:val="162"/>
        </w:trPr>
        <w:tc>
          <w:tcPr>
            <w:tcW w:w="32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(171)</w:t>
            </w:r>
          </w:p>
        </w:tc>
      </w:tr>
      <w:tr>
        <w:trPr>
          <w:trHeight w:val="162"/>
        </w:trPr>
        <w:tc>
          <w:tcPr>
            <w:tcW w:w="3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payable</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ind w:left="240"/>
              <w:spacing w:after="0"/>
              <w:rPr>
                <w:sz w:val="20"/>
                <w:szCs w:val="20"/>
                <w:color w:val="auto"/>
              </w:rPr>
            </w:pPr>
            <w:r>
              <w:rPr>
                <w:rFonts w:ascii="Arial" w:cs="Arial" w:eastAsia="Arial" w:hAnsi="Arial"/>
                <w:sz w:val="14"/>
                <w:szCs w:val="14"/>
                <w:color w:val="auto"/>
              </w:rPr>
              <w:t>Accrued profit sharing and retirement</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(43)</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(74)</w:t>
            </w:r>
          </w:p>
        </w:tc>
      </w:tr>
      <w:tr>
        <w:trPr>
          <w:trHeight w:val="16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55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5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(317)</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(686)</w:t>
            </w: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Purchases of short-term investments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(1,442)</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(362)</w:t>
            </w: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maturities of short-term investments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1,118</w:t>
            </w: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Purchases of long-term investments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Redemptions and sales of long-term investments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Acquisitions, net of cash acquired</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(155)</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r>
      <w:tr>
        <w:trPr>
          <w:trHeight w:val="20"/>
        </w:trPr>
        <w:tc>
          <w:tcPr>
            <w:tcW w:w="32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investing activities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(445)</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Borders>
              <w:top w:val="single" w:sz="8" w:color="CCEEFF"/>
            </w:tcBorders>
          </w:tcPr>
          <w:p>
            <w:pPr>
              <w:spacing w:after="0"/>
              <w:rPr>
                <w:sz w:val="14"/>
                <w:szCs w:val="14"/>
                <w:color w:val="auto"/>
              </w:rPr>
            </w:pPr>
          </w:p>
        </w:tc>
        <w:tc>
          <w:tcPr>
            <w:tcW w:w="556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2"/>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r>
              <w:rPr>
                <w:rFonts w:ascii="Arial" w:cs="Arial" w:eastAsia="Arial" w:hAnsi="Arial"/>
                <w:sz w:val="14"/>
                <w:szCs w:val="14"/>
                <w:color w:val="auto"/>
              </w:rPr>
              <w:t>:</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Dividends paid</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(418)</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(396)</w:t>
            </w: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other common stock transactions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Excess tax benefit from share-based payments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repurchases</w:t>
            </w:r>
          </w:p>
        </w:tc>
        <w:tc>
          <w:tcPr>
            <w:tcW w:w="5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(602)</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(1,736)</w:t>
            </w:r>
          </w:p>
        </w:tc>
      </w:tr>
      <w:tr>
        <w:trPr>
          <w:trHeight w:val="20"/>
        </w:trPr>
        <w:tc>
          <w:tcPr>
            <w:tcW w:w="32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3"/>
        </w:trPr>
        <w:tc>
          <w:tcPr>
            <w:tcW w:w="3280" w:type="dxa"/>
            <w:vAlign w:val="bottom"/>
          </w:tcPr>
          <w:p>
            <w:pPr>
              <w:spacing w:after="0"/>
              <w:rPr>
                <w:sz w:val="20"/>
                <w:szCs w:val="20"/>
                <w:color w:val="auto"/>
              </w:rPr>
            </w:pPr>
            <w:r>
              <w:rPr>
                <w:rFonts w:ascii="Arial" w:cs="Arial" w:eastAsia="Arial" w:hAnsi="Arial"/>
                <w:sz w:val="14"/>
                <w:szCs w:val="14"/>
                <w:color w:val="auto"/>
              </w:rPr>
              <w:t>Net cash used in financing activities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(949)</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(1,920)</w:t>
            </w:r>
          </w:p>
        </w:tc>
      </w:tr>
      <w:tr>
        <w:trPr>
          <w:trHeight w:val="162"/>
        </w:trPr>
        <w:tc>
          <w:tcPr>
            <w:tcW w:w="3280" w:type="dxa"/>
            <w:vAlign w:val="bottom"/>
            <w:shd w:val="clear" w:color="auto" w:fill="CCEEFF"/>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387</w:t>
            </w:r>
          </w:p>
        </w:tc>
      </w:tr>
      <w:tr>
        <w:trPr>
          <w:trHeight w:val="16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55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63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1,294</w:t>
            </w:r>
          </w:p>
        </w:tc>
        <w:tc>
          <w:tcPr>
            <w:tcW w:w="220" w:type="dxa"/>
            <w:vAlign w:val="bottom"/>
          </w:tcPr>
          <w:p>
            <w:pPr>
              <w:spacing w:after="0"/>
              <w:rPr>
                <w:sz w:val="14"/>
                <w:szCs w:val="14"/>
                <w:color w:val="auto"/>
              </w:rPr>
            </w:pPr>
          </w:p>
        </w:tc>
        <w:tc>
          <w:tcPr>
            <w:tcW w:w="26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4"/>
                <w:szCs w:val="14"/>
                <w:color w:val="auto"/>
              </w:rPr>
            </w:pPr>
          </w:p>
        </w:tc>
      </w:tr>
      <w:tr>
        <w:trPr>
          <w:trHeight w:val="20"/>
        </w:trPr>
        <w:tc>
          <w:tcPr>
            <w:tcW w:w="32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728726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TEXAS INSTRUMENTS INCORPORATED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w:t>
      </w:r>
    </w:p>
    <w:p>
      <w:pPr>
        <w:spacing w:after="0" w:line="174" w:lineRule="exact"/>
        <w:rPr>
          <w:sz w:val="20"/>
          <w:szCs w:val="20"/>
          <w:color w:val="auto"/>
        </w:rPr>
      </w:pPr>
    </w:p>
    <w:p>
      <w:pPr>
        <w:ind w:left="380" w:right="60" w:hanging="375"/>
        <w:spacing w:after="0" w:line="259"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Description of business and significant accounting policies and practices</w:t>
      </w:r>
      <w:r>
        <w:rPr>
          <w:rFonts w:ascii="Arial" w:cs="Arial" w:eastAsia="Arial" w:hAnsi="Arial"/>
          <w:sz w:val="14"/>
          <w:szCs w:val="14"/>
          <w:color w:val="auto"/>
        </w:rPr>
        <w:t>. Texas Instruments (TI) makes, markets and sells high-technology components; about 80,000 customers all over the world buy our products.</w:t>
      </w:r>
    </w:p>
    <w:p>
      <w:pPr>
        <w:spacing w:after="0" w:line="159" w:lineRule="exact"/>
        <w:rPr>
          <w:rFonts w:ascii="Arial" w:cs="Arial" w:eastAsia="Arial" w:hAnsi="Arial"/>
          <w:sz w:val="14"/>
          <w:szCs w:val="14"/>
          <w:color w:val="auto"/>
        </w:rPr>
      </w:pPr>
    </w:p>
    <w:p>
      <w:pPr>
        <w:ind w:left="360"/>
        <w:spacing w:after="0" w:line="289" w:lineRule="auto"/>
        <w:rPr>
          <w:rFonts w:ascii="Arial" w:cs="Arial" w:eastAsia="Arial" w:hAnsi="Arial"/>
          <w:sz w:val="14"/>
          <w:szCs w:val="14"/>
          <w:color w:val="auto"/>
        </w:rPr>
      </w:pPr>
      <w:r>
        <w:rPr>
          <w:rFonts w:ascii="Arial" w:cs="Arial" w:eastAsia="Arial" w:hAnsi="Arial"/>
          <w:sz w:val="12"/>
          <w:szCs w:val="12"/>
          <w:i w:val="1"/>
          <w:iCs w:val="1"/>
          <w:color w:val="auto"/>
        </w:rPr>
        <w:t xml:space="preserve">Basis of Presentation - </w:t>
      </w:r>
      <w:r>
        <w:rPr>
          <w:rFonts w:ascii="Arial" w:cs="Arial" w:eastAsia="Arial" w:hAnsi="Arial"/>
          <w:sz w:val="12"/>
          <w:szCs w:val="12"/>
          <w:color w:val="auto"/>
        </w:rPr>
        <w:t>The consolidated financial statements have been prepared in accordance with accounting principles generally accepted in the U.S. (US GAAP) and except for new accounting</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standards on business combinations, fair value measurements and earnings per share, on the same basis as the audited financial statements included in our annual report on Form 10-K for the year ended December 31, 2008</w:t>
      </w:r>
      <w:r>
        <w:rPr>
          <w:rFonts w:ascii="Arial" w:cs="Arial" w:eastAsia="Arial" w:hAnsi="Arial"/>
          <w:sz w:val="12"/>
          <w:szCs w:val="12"/>
          <w:b w:val="1"/>
          <w:bCs w:val="1"/>
          <w:color w:val="auto"/>
        </w:rPr>
        <w:t>.</w:t>
      </w:r>
      <w:r>
        <w:rPr>
          <w:rFonts w:ascii="Arial" w:cs="Arial" w:eastAsia="Arial" w:hAnsi="Arial"/>
          <w:sz w:val="12"/>
          <w:szCs w:val="12"/>
          <w:color w:val="auto"/>
        </w:rPr>
        <w:t xml:space="preserve"> The consolidated statements of income, statements of comprehensive income and statements of cash flows for the periods ended September 30, 2009 and 2008, and the balance sheet as of September 30, 2009, are not audited but reflect all adjustments that are of a normal recurring nature and are necessary for a fair statement of the results of the periods shown. The consolidated balance sheet as of December 31, 2008,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2008. The results for the nine-month period are not necessarily indicative of a full year’s results.</w:t>
      </w:r>
    </w:p>
    <w:p>
      <w:pPr>
        <w:spacing w:after="0" w:line="127"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The consolidated financial statements include the accounts of all subsidiaries. All intercompany balances and transactions have been eliminated in consolidation.</w:t>
      </w:r>
    </w:p>
    <w:p>
      <w:pPr>
        <w:spacing w:after="0" w:line="183"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All dollar amounts in the financial statements and tables in the notes, except share and per-share amounts, are stated in millions of U.S. dollars unless otherwise indicated.</w:t>
      </w:r>
    </w:p>
    <w:p>
      <w:pPr>
        <w:spacing w:after="0" w:line="183" w:lineRule="exact"/>
        <w:rPr>
          <w:rFonts w:ascii="Arial" w:cs="Arial" w:eastAsia="Arial" w:hAnsi="Arial"/>
          <w:sz w:val="14"/>
          <w:szCs w:val="14"/>
          <w:color w:val="auto"/>
        </w:rPr>
      </w:pPr>
    </w:p>
    <w:p>
      <w:pPr>
        <w:jc w:val="both"/>
        <w:ind w:left="360" w:right="20"/>
        <w:spacing w:after="0" w:line="250" w:lineRule="auto"/>
        <w:rPr>
          <w:rFonts w:ascii="Arial" w:cs="Arial" w:eastAsia="Arial" w:hAnsi="Arial"/>
          <w:sz w:val="14"/>
          <w:szCs w:val="14"/>
          <w:color w:val="auto"/>
        </w:rPr>
      </w:pPr>
      <w:r>
        <w:rPr>
          <w:rFonts w:ascii="Arial" w:cs="Arial" w:eastAsia="Arial" w:hAnsi="Arial"/>
          <w:sz w:val="14"/>
          <w:szCs w:val="14"/>
          <w:i w:val="1"/>
          <w:iCs w:val="1"/>
          <w:color w:val="auto"/>
        </w:rPr>
        <w:t xml:space="preserve">Acquisitions </w:t>
      </w:r>
      <w:r>
        <w:rPr>
          <w:rFonts w:ascii="Arial" w:cs="Arial" w:eastAsia="Arial" w:hAnsi="Arial"/>
          <w:sz w:val="14"/>
          <w:szCs w:val="14"/>
          <w:color w:val="auto"/>
        </w:rPr>
        <w:t>– In the second quarter of 2009, we expanded our microcontroller portfolio by acquiring Luminary Micro for net cash of $51 million and other consideration of $7 million. We recognized $15</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of goodwill, which is not expected to be deductible for tax purposes, $41 million of intangible assets, and $2 million of other net assets and liabilities. The former Luminary Micro operations were integrated into our Embedded Processing segment.</w:t>
      </w:r>
    </w:p>
    <w:p>
      <w:pPr>
        <w:spacing w:after="0" w:line="166" w:lineRule="exact"/>
        <w:rPr>
          <w:rFonts w:ascii="Arial" w:cs="Arial" w:eastAsia="Arial" w:hAnsi="Arial"/>
          <w:sz w:val="14"/>
          <w:szCs w:val="14"/>
          <w:color w:val="auto"/>
        </w:rPr>
      </w:pPr>
    </w:p>
    <w:p>
      <w:pPr>
        <w:ind w:left="360" w:right="220"/>
        <w:spacing w:after="0" w:line="247" w:lineRule="auto"/>
        <w:rPr>
          <w:rFonts w:ascii="Arial" w:cs="Arial" w:eastAsia="Arial" w:hAnsi="Arial"/>
          <w:sz w:val="14"/>
          <w:szCs w:val="14"/>
          <w:color w:val="auto"/>
        </w:rPr>
      </w:pPr>
      <w:r>
        <w:rPr>
          <w:rFonts w:ascii="Arial" w:cs="Arial" w:eastAsia="Arial" w:hAnsi="Arial"/>
          <w:sz w:val="14"/>
          <w:szCs w:val="14"/>
          <w:color w:val="auto"/>
        </w:rPr>
        <w:t>In the first quarter of 2009, we acquired CICLON Semiconductor Device Corporation (CICLON), a designer of high-frequency, high-efficiency power management semiconductors for net cash of $104 million and other consideration of $7 million. This acquisition expands our ability to help customers improve energy efficiency in end-equipment designs, such as high-power computing and server systems. We recognized $70 million of goodwill, which is not expected to be deductible for tax purposes, $40 million of intangible assets, and $1 million of other net assets and liabilities. The former CICLON operations were integrated into our Analog segment.</w:t>
      </w:r>
    </w:p>
    <w:p>
      <w:pPr>
        <w:spacing w:after="0" w:line="169" w:lineRule="exact"/>
        <w:rPr>
          <w:rFonts w:ascii="Arial" w:cs="Arial" w:eastAsia="Arial" w:hAnsi="Arial"/>
          <w:sz w:val="14"/>
          <w:szCs w:val="14"/>
          <w:color w:val="auto"/>
        </w:rPr>
      </w:pPr>
    </w:p>
    <w:p>
      <w:pPr>
        <w:ind w:left="360" w:right="220"/>
        <w:spacing w:after="0" w:line="259" w:lineRule="auto"/>
        <w:rPr>
          <w:rFonts w:ascii="Arial" w:cs="Arial" w:eastAsia="Arial" w:hAnsi="Arial"/>
          <w:sz w:val="14"/>
          <w:szCs w:val="14"/>
          <w:color w:val="auto"/>
        </w:rPr>
      </w:pPr>
      <w:r>
        <w:rPr>
          <w:rFonts w:ascii="Arial" w:cs="Arial" w:eastAsia="Arial" w:hAnsi="Arial"/>
          <w:sz w:val="14"/>
          <w:szCs w:val="14"/>
          <w:color w:val="auto"/>
        </w:rPr>
        <w:t>The results of operations of these acquisitions have been included in our financial statements from their respective acquisition dates and were not significant for either the three or nine month periods of 2009. Pro forma information for the comparable periods of 2008 to reflect these acquisitions would not be materially different from amounts reported.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Use of Derivatives and Hedging - </w:t>
      </w:r>
      <w:r>
        <w:rPr>
          <w:rFonts w:ascii="Arial" w:cs="Arial" w:eastAsia="Arial" w:hAnsi="Arial"/>
          <w:sz w:val="12"/>
          <w:szCs w:val="12"/>
          <w:color w:val="auto"/>
        </w:rPr>
        <w:t>We use derivative financial instruments to manage exposure to foreign exchange risk. We do not apply hedge accounting to our foreign currency derivative</w:t>
      </w:r>
    </w:p>
    <w:p>
      <w:pPr>
        <w:spacing w:after="0" w:line="35" w:lineRule="exact"/>
        <w:rPr>
          <w:sz w:val="20"/>
          <w:szCs w:val="20"/>
          <w:color w:val="auto"/>
        </w:rPr>
      </w:pPr>
    </w:p>
    <w:p>
      <w:pPr>
        <w:ind w:left="360" w:right="40"/>
        <w:spacing w:after="0" w:line="303" w:lineRule="auto"/>
        <w:rPr>
          <w:sz w:val="20"/>
          <w:szCs w:val="20"/>
          <w:color w:val="auto"/>
        </w:rPr>
      </w:pPr>
      <w:r>
        <w:rPr>
          <w:rFonts w:ascii="Arial" w:cs="Arial" w:eastAsia="Arial" w:hAnsi="Arial"/>
          <w:sz w:val="12"/>
          <w:szCs w:val="12"/>
          <w:color w:val="auto"/>
        </w:rPr>
        <w:t>instruments.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 financial instruments for speculative or trading purposes.</w:t>
      </w:r>
    </w:p>
    <w:p>
      <w:pPr>
        <w:spacing w:after="0" w:line="137" w:lineRule="exact"/>
        <w:rPr>
          <w:sz w:val="20"/>
          <w:szCs w:val="20"/>
          <w:color w:val="auto"/>
        </w:rPr>
      </w:pPr>
    </w:p>
    <w:p>
      <w:pPr>
        <w:ind w:left="360" w:right="40" w:firstLine="41"/>
        <w:spacing w:after="0" w:line="250" w:lineRule="auto"/>
        <w:rPr>
          <w:sz w:val="20"/>
          <w:szCs w:val="20"/>
          <w:color w:val="auto"/>
        </w:rPr>
      </w:pPr>
      <w:r>
        <w:rPr>
          <w:rFonts w:ascii="Arial" w:cs="Arial" w:eastAsia="Arial" w:hAnsi="Arial"/>
          <w:sz w:val="14"/>
          <w:szCs w:val="14"/>
          <w:i w:val="1"/>
          <w:iCs w:val="1"/>
          <w:color w:val="auto"/>
        </w:rPr>
        <w:t xml:space="preserve">Fair Values of Financial Instruments </w:t>
      </w:r>
      <w:r>
        <w:rPr>
          <w:rFonts w:ascii="Arial" w:cs="Arial" w:eastAsia="Arial" w:hAnsi="Arial"/>
          <w:sz w:val="14"/>
          <w:szCs w:val="14"/>
          <w:color w:val="auto"/>
        </w:rPr>
        <w:t>– The fair values of our derivative financial instruments were not significant at September 30, 2009. Our investments in cash equivalents, short-term investments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long-term investments are carried at fair value and are disclosed in Note 5. The carrying values for other current financial assets and liabilities, such as accounts receivable and accounts payable, approximate fair value due to the short maturity of such instruments.</w:t>
      </w:r>
    </w:p>
    <w:p>
      <w:pPr>
        <w:spacing w:after="0" w:line="167" w:lineRule="exact"/>
        <w:rPr>
          <w:sz w:val="20"/>
          <w:szCs w:val="20"/>
          <w:color w:val="auto"/>
        </w:rPr>
      </w:pPr>
    </w:p>
    <w:p>
      <w:pPr>
        <w:ind w:left="360" w:right="260"/>
        <w:spacing w:after="0" w:line="288" w:lineRule="auto"/>
        <w:rPr>
          <w:sz w:val="20"/>
          <w:szCs w:val="20"/>
          <w:color w:val="auto"/>
        </w:rPr>
      </w:pPr>
      <w:r>
        <w:rPr>
          <w:rFonts w:ascii="Arial" w:cs="Arial" w:eastAsia="Arial" w:hAnsi="Arial"/>
          <w:sz w:val="12"/>
          <w:szCs w:val="12"/>
          <w:i w:val="1"/>
          <w:iCs w:val="1"/>
          <w:color w:val="auto"/>
        </w:rPr>
        <w:t xml:space="preserve">Changes in Accounting Standards – </w:t>
      </w:r>
      <w:r>
        <w:rPr>
          <w:rFonts w:ascii="Arial" w:cs="Arial" w:eastAsia="Arial" w:hAnsi="Arial"/>
          <w:sz w:val="12"/>
          <w:szCs w:val="12"/>
          <w:color w:val="auto"/>
        </w:rPr>
        <w:t>In June 2009, the Financial Accounting Standards Board (FASB) Accounting Standards Codification™ (Codification) became the single source of authoritative US</w:t>
      </w:r>
      <w:r>
        <w:rPr>
          <w:rFonts w:ascii="Arial" w:cs="Arial" w:eastAsia="Arial" w:hAnsi="Arial"/>
          <w:sz w:val="12"/>
          <w:szCs w:val="12"/>
          <w:i w:val="1"/>
          <w:iCs w:val="1"/>
          <w:color w:val="auto"/>
        </w:rPr>
        <w:t xml:space="preserve"> </w:t>
      </w:r>
      <w:r>
        <w:rPr>
          <w:rFonts w:ascii="Arial" w:cs="Arial" w:eastAsia="Arial" w:hAnsi="Arial"/>
          <w:sz w:val="12"/>
          <w:szCs w:val="12"/>
          <w:color w:val="auto"/>
        </w:rPr>
        <w:t>GAAP. The Codification did not create any new GAAP standards but incorporated existing accounting and reporting standards into a new topical structure with a new referencing system to identify authoritative accounting standards, replacing the prior references to Statement of Financial Accounting Standards (SFAS), Emerging Issues Task Force (EITF), FASB Staff Position (FSP),</w:t>
      </w:r>
    </w:p>
    <w:p>
      <w:pPr>
        <w:ind w:left="360" w:right="40"/>
        <w:spacing w:after="0" w:line="243" w:lineRule="auto"/>
        <w:rPr>
          <w:sz w:val="20"/>
          <w:szCs w:val="20"/>
          <w:color w:val="auto"/>
        </w:rPr>
      </w:pPr>
      <w:r>
        <w:rPr>
          <w:rFonts w:ascii="Arial" w:cs="Arial" w:eastAsia="Arial" w:hAnsi="Arial"/>
          <w:sz w:val="14"/>
          <w:szCs w:val="14"/>
          <w:color w:val="auto"/>
        </w:rPr>
        <w:t>etc. Authoritative standards included in the Codification are designated by their Accounting Standards Codification (ASC) topical reference, and new standards will be designated as Accounting Standards Updates (ASU), with a year and assigned sequence number. Beginning with this interim report for the third quarter of 2009, references to prior standards have been updated to reflect the new referencing system.</w:t>
      </w:r>
    </w:p>
    <w:p>
      <w:pPr>
        <w:spacing w:after="0" w:line="170" w:lineRule="exact"/>
        <w:rPr>
          <w:sz w:val="20"/>
          <w:szCs w:val="20"/>
          <w:color w:val="auto"/>
        </w:rPr>
      </w:pPr>
    </w:p>
    <w:p>
      <w:pPr>
        <w:ind w:left="360"/>
        <w:spacing w:after="0" w:line="247" w:lineRule="auto"/>
        <w:rPr>
          <w:sz w:val="20"/>
          <w:szCs w:val="20"/>
          <w:color w:val="auto"/>
        </w:rPr>
      </w:pPr>
      <w:r>
        <w:rPr>
          <w:rFonts w:ascii="Arial" w:cs="Arial" w:eastAsia="Arial" w:hAnsi="Arial"/>
          <w:sz w:val="14"/>
          <w:szCs w:val="14"/>
          <w:color w:val="auto"/>
        </w:rPr>
        <w:t xml:space="preserve">In June 2009, the FASB concurrently issued amendments to ASC 860, </w:t>
      </w:r>
      <w:r>
        <w:rPr>
          <w:rFonts w:ascii="Arial" w:cs="Arial" w:eastAsia="Arial" w:hAnsi="Arial"/>
          <w:sz w:val="14"/>
          <w:szCs w:val="14"/>
          <w:i w:val="1"/>
          <w:iCs w:val="1"/>
          <w:color w:val="auto"/>
        </w:rPr>
        <w:t>Transfers and Servicing</w:t>
      </w:r>
      <w:r>
        <w:rPr>
          <w:rFonts w:ascii="Arial" w:cs="Arial" w:eastAsia="Arial" w:hAnsi="Arial"/>
          <w:sz w:val="14"/>
          <w:szCs w:val="14"/>
          <w:color w:val="auto"/>
        </w:rPr>
        <w:t xml:space="preserve"> (formerly SFAS No. 166), and ASC 810, </w:t>
      </w:r>
      <w:r>
        <w:rPr>
          <w:rFonts w:ascii="Arial" w:cs="Arial" w:eastAsia="Arial" w:hAnsi="Arial"/>
          <w:sz w:val="14"/>
          <w:szCs w:val="14"/>
          <w:i w:val="1"/>
          <w:iCs w:val="1"/>
          <w:color w:val="auto"/>
        </w:rPr>
        <w:t>Consolidation</w:t>
      </w:r>
      <w:r>
        <w:rPr>
          <w:rFonts w:ascii="Arial" w:cs="Arial" w:eastAsia="Arial" w:hAnsi="Arial"/>
          <w:sz w:val="14"/>
          <w:szCs w:val="14"/>
          <w:color w:val="auto"/>
        </w:rPr>
        <w:t xml:space="preserve"> (formerly SFAS No. 167</w:t>
      </w:r>
      <w:r>
        <w:rPr>
          <w:rFonts w:ascii="Arial" w:cs="Arial" w:eastAsia="Arial" w:hAnsi="Arial"/>
          <w:sz w:val="14"/>
          <w:szCs w:val="14"/>
          <w:i w:val="1"/>
          <w:iCs w:val="1"/>
          <w:color w:val="auto"/>
        </w:rPr>
        <w:t>)</w:t>
      </w:r>
      <w:r>
        <w:rPr>
          <w:rFonts w:ascii="Arial" w:cs="Arial" w:eastAsia="Arial" w:hAnsi="Arial"/>
          <w:sz w:val="14"/>
          <w:szCs w:val="14"/>
          <w:color w:val="auto"/>
        </w:rPr>
        <w:t>, that change the way entities account for securitizations and other transfers of financial instruments. In addition to increased disclosure, these amendments eliminate the concept of qualifying special purpose entities and change the test for consolidation of variable interest entities. These amendments will be effective for us as of January 1, 2010. We have evaluated these amendments and believe they will have no impact on our financial condition or results of operations.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October 2009, the FASB concurrently issued the following Accounting Standards Updates:</w:t>
      </w:r>
    </w:p>
    <w:p>
      <w:pPr>
        <w:spacing w:after="0" w:line="184" w:lineRule="exact"/>
        <w:rPr>
          <w:sz w:val="20"/>
          <w:szCs w:val="20"/>
          <w:color w:val="auto"/>
        </w:rPr>
      </w:pPr>
    </w:p>
    <w:p>
      <w:pPr>
        <w:jc w:val="both"/>
        <w:ind w:left="780" w:right="80"/>
        <w:spacing w:after="0" w:line="250" w:lineRule="auto"/>
        <w:rPr>
          <w:sz w:val="20"/>
          <w:szCs w:val="20"/>
          <w:color w:val="auto"/>
        </w:rPr>
      </w:pPr>
      <w:r>
        <w:rPr>
          <w:rFonts w:ascii="Arial" w:cs="Arial" w:eastAsia="Arial" w:hAnsi="Arial"/>
          <w:sz w:val="14"/>
          <w:szCs w:val="14"/>
          <w:color w:val="auto"/>
        </w:rPr>
        <w:t xml:space="preserve">ASU No. 2009-14 - </w:t>
      </w:r>
      <w:r>
        <w:rPr>
          <w:rFonts w:ascii="Arial" w:cs="Arial" w:eastAsia="Arial" w:hAnsi="Arial"/>
          <w:sz w:val="14"/>
          <w:szCs w:val="14"/>
          <w:i w:val="1"/>
          <w:iCs w:val="1"/>
          <w:color w:val="auto"/>
        </w:rPr>
        <w:t>Software (Topic 985): Certain Revenue Arrangements That Include Software Elements</w:t>
      </w:r>
      <w:r>
        <w:rPr>
          <w:rFonts w:ascii="Arial" w:cs="Arial" w:eastAsia="Arial" w:hAnsi="Arial"/>
          <w:sz w:val="14"/>
          <w:szCs w:val="14"/>
          <w:color w:val="auto"/>
        </w:rPr>
        <w:t xml:space="preserve"> (formerly EITF Issue No. 09-3)</w:t>
      </w:r>
      <w:r>
        <w:rPr>
          <w:rFonts w:ascii="Arial" w:cs="Arial" w:eastAsia="Arial" w:hAnsi="Arial"/>
          <w:sz w:val="14"/>
          <w:szCs w:val="14"/>
          <w:i w:val="1"/>
          <w:iCs w:val="1"/>
          <w:color w:val="auto"/>
        </w:rPr>
        <w:t>.</w:t>
      </w:r>
      <w:r>
        <w:rPr>
          <w:rFonts w:ascii="Arial" w:cs="Arial" w:eastAsia="Arial" w:hAnsi="Arial"/>
          <w:sz w:val="14"/>
          <w:szCs w:val="14"/>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-292735</wp:posOffset>
            </wp:positionV>
            <wp:extent cx="57785" cy="57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7" w:lineRule="exact"/>
        <w:rPr>
          <w:sz w:val="20"/>
          <w:szCs w:val="20"/>
          <w:color w:val="auto"/>
        </w:rPr>
      </w:pPr>
    </w:p>
    <w:p>
      <w:pPr>
        <w:jc w:val="both"/>
        <w:ind w:left="780" w:right="160"/>
        <w:spacing w:after="0" w:line="302" w:lineRule="auto"/>
        <w:rPr>
          <w:sz w:val="20"/>
          <w:szCs w:val="20"/>
          <w:color w:val="auto"/>
        </w:rPr>
      </w:pPr>
      <w:r>
        <w:rPr>
          <w:rFonts w:ascii="Arial" w:cs="Arial" w:eastAsia="Arial" w:hAnsi="Arial"/>
          <w:sz w:val="12"/>
          <w:szCs w:val="12"/>
          <w:color w:val="auto"/>
        </w:rPr>
        <w:t xml:space="preserve">ASU No. 2009-13 - </w:t>
      </w:r>
      <w:r>
        <w:rPr>
          <w:rFonts w:ascii="Arial" w:cs="Arial" w:eastAsia="Arial" w:hAnsi="Arial"/>
          <w:sz w:val="12"/>
          <w:szCs w:val="12"/>
          <w:i w:val="1"/>
          <w:iCs w:val="1"/>
          <w:color w:val="auto"/>
        </w:rPr>
        <w:t>Revenue Recognition (Topic 605): Multiple-Deliverable Revenue Arrangements</w:t>
      </w:r>
      <w:r>
        <w:rPr>
          <w:rFonts w:ascii="Arial" w:cs="Arial" w:eastAsia="Arial" w:hAnsi="Arial"/>
          <w:sz w:val="12"/>
          <w:szCs w:val="12"/>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-414020</wp:posOffset>
            </wp:positionV>
            <wp:extent cx="57785" cy="57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97" w:lineRule="exact"/>
        <w:rPr>
          <w:sz w:val="20"/>
          <w:szCs w:val="20"/>
          <w:color w:val="auto"/>
        </w:rPr>
      </w:pPr>
    </w:p>
    <w:p>
      <w:pPr>
        <w:ind w:left="360" w:right="40"/>
        <w:spacing w:after="0" w:line="247" w:lineRule="auto"/>
        <w:rPr>
          <w:sz w:val="20"/>
          <w:szCs w:val="20"/>
          <w:color w:val="auto"/>
        </w:rPr>
      </w:pPr>
      <w:r>
        <w:rPr>
          <w:rFonts w:ascii="Arial" w:cs="Arial" w:eastAsia="Arial" w:hAnsi="Arial"/>
          <w:sz w:val="14"/>
          <w:szCs w:val="14"/>
          <w:color w:val="auto"/>
        </w:rPr>
        <w:t>These Accounting Standards Updates should be applied on a prospective basis for revenue arrangements entered into or materially modified in fiscal years beginning on or after June 15, 2010, with earlier application permitted. Alternatively, an entity can elect to adopt these standards on a retrospective basis, but both these standards must be adopted in the same period using the same transition method. We expect to apply this standard on a prospective basis for revenue arrangements entered into or materially modified beginning January 1, 2011. We are currently evaluating the potential impact these standards may have on our financial position and results of operations.</w:t>
      </w:r>
    </w:p>
    <w:p>
      <w:pPr>
        <w:spacing w:after="0" w:line="169" w:lineRule="exact"/>
        <w:rPr>
          <w:sz w:val="20"/>
          <w:szCs w:val="20"/>
          <w:color w:val="auto"/>
        </w:rPr>
      </w:pPr>
    </w:p>
    <w:p>
      <w:pPr>
        <w:jc w:val="both"/>
        <w:ind w:left="360" w:right="240" w:hanging="298"/>
        <w:spacing w:after="0" w:line="312"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Restructuring activities</w:t>
      </w:r>
      <w:r>
        <w:rPr>
          <w:rFonts w:ascii="Arial" w:cs="Arial" w:eastAsia="Arial" w:hAnsi="Arial"/>
          <w:sz w:val="12"/>
          <w:szCs w:val="12"/>
          <w:color w:val="auto"/>
        </w:rPr>
        <w:t>. In October 2008, we announced actions to reduce annualized expenses by more than $200 million in our Wireless segment, especially our baseband operation. Additionally, in January 2009, we announced actions that included employment reductions to align our spending with weakened demand. Combined, these actions have eliminated about 3,900 jobs and will reduce our annualized costs by more than $700 million. The total restructuring charges for these actions are expected to be about $450 million and will continue through the fourth quarter of 2009.</w:t>
      </w:r>
    </w:p>
    <w:p>
      <w:pPr>
        <w:spacing w:after="0" w:line="111"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The table below reflects the changes in accrued restructuring balances: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Severance and</w:t>
            </w:r>
          </w:p>
        </w:tc>
        <w:tc>
          <w:tcPr>
            <w:tcW w:w="6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Impairments and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Benefits</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Other Charges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 recognized in the quarter ending December 31, 2008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Non-cash charges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Payments</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20"/>
        </w:trPr>
        <w:tc>
          <w:tcPr>
            <w:tcW w:w="57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b w:val="1"/>
                <w:bCs w:val="1"/>
                <w:color w:val="auto"/>
              </w:rPr>
              <w:t>Remaining accrual at December 31, 2008</w:t>
            </w:r>
          </w:p>
        </w:tc>
        <w:tc>
          <w:tcPr>
            <w:tcW w:w="16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r>
      <w:tr>
        <w:trPr>
          <w:trHeight w:val="162"/>
        </w:trPr>
        <w:tc>
          <w:tcPr>
            <w:tcW w:w="5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Restructuring charges recognized in the quarter ending March 31, 2009</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98</w:t>
            </w:r>
          </w:p>
        </w:tc>
        <w:tc>
          <w:tcPr>
            <w:tcW w:w="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Non-cash charges</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Payments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r>
      <w:tr>
        <w:trPr>
          <w:trHeight w:val="20"/>
        </w:trPr>
        <w:tc>
          <w:tcPr>
            <w:tcW w:w="5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Remaining accrual at March 31, 2009</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w:t>
            </w:r>
          </w:p>
        </w:tc>
      </w:tr>
      <w:tr>
        <w:trPr>
          <w:trHeight w:val="162"/>
        </w:trPr>
        <w:tc>
          <w:tcPr>
            <w:tcW w:w="5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 recognized in the quarter ending June 30, 2009</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Non-cash credits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Payments</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r>
      <w:tr>
        <w:trPr>
          <w:trHeight w:val="20"/>
        </w:trPr>
        <w:tc>
          <w:tcPr>
            <w:tcW w:w="57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b w:val="1"/>
                <w:bCs w:val="1"/>
                <w:color w:val="auto"/>
              </w:rPr>
              <w:t>Remaining accrual at June 30, 2009</w:t>
            </w:r>
          </w:p>
        </w:tc>
        <w:tc>
          <w:tcPr>
            <w:tcW w:w="16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r>
      <w:tr>
        <w:trPr>
          <w:trHeight w:val="162"/>
        </w:trPr>
        <w:tc>
          <w:tcPr>
            <w:tcW w:w="5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Restructuring charges recognized in the quarter ending September 30, 2009</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9</w:t>
            </w:r>
          </w:p>
        </w:tc>
        <w:tc>
          <w:tcPr>
            <w:tcW w:w="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4"/>
                <w:szCs w:val="14"/>
                <w:color w:val="auto"/>
              </w:rPr>
            </w:pP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Non-cash charges</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Payments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(76)</w:t>
            </w:r>
          </w:p>
        </w:tc>
        <w:tc>
          <w:tcPr>
            <w:tcW w:w="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(78)</w:t>
            </w:r>
          </w:p>
        </w:tc>
      </w:tr>
      <w:tr>
        <w:trPr>
          <w:trHeight w:val="20"/>
        </w:trPr>
        <w:tc>
          <w:tcPr>
            <w:tcW w:w="5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Remaining accrual at September 30, 2009</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149</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60"/>
          </w:cols>
          <w:pgMar w:left="220" w:top="421" w:right="219" w:bottom="0" w:gutter="0" w:footer="0" w:header="0"/>
        </w:sectPr>
      </w:pPr>
    </w:p>
    <w:bookmarkStart w:id="6" w:name="page7"/>
    <w:bookmarkEnd w:id="6"/>
    <w:p>
      <w:pPr>
        <w:spacing w:after="0" w:line="3" w:lineRule="exact"/>
        <w:rPr>
          <w:sz w:val="20"/>
          <w:szCs w:val="20"/>
          <w:color w:val="auto"/>
        </w:rPr>
      </w:pPr>
    </w:p>
    <w:p>
      <w:pPr>
        <w:ind w:left="500" w:right="4560" w:hanging="134"/>
        <w:spacing w:after="0" w:line="598" w:lineRule="auto"/>
        <w:tabs>
          <w:tab w:leader="none" w:pos="466" w:val="left"/>
        </w:tabs>
        <w:numPr>
          <w:ilvl w:val="0"/>
          <w:numId w:val="5"/>
        </w:numPr>
        <w:rPr>
          <w:rFonts w:ascii="Arial" w:cs="Arial" w:eastAsia="Arial" w:hAnsi="Arial"/>
          <w:sz w:val="12"/>
          <w:szCs w:val="12"/>
          <w:color w:val="auto"/>
        </w:rPr>
      </w:pPr>
      <w:r>
        <w:rPr>
          <w:rFonts w:ascii="Arial" w:cs="Arial" w:eastAsia="Arial" w:hAnsi="Arial"/>
          <w:sz w:val="12"/>
          <w:szCs w:val="12"/>
          <w:color w:val="auto"/>
        </w:rPr>
        <w:t>Reflects charges and credits for post-employment benefit plan settlement, curtailment and special termination benefits. Restructuring charges recognized by segment in the periods of 2009 are as follows:</w:t>
      </w: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For Three Months</w:t>
            </w:r>
          </w:p>
        </w:tc>
        <w:tc>
          <w:tcPr>
            <w:tcW w:w="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For Nine Months</w:t>
            </w:r>
          </w:p>
        </w:tc>
      </w:tr>
      <w:tr>
        <w:trPr>
          <w:trHeight w:val="162"/>
        </w:trPr>
        <w:tc>
          <w:tcPr>
            <w:tcW w:w="5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Ended September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Ended September</w:t>
            </w:r>
          </w:p>
        </w:tc>
      </w:tr>
      <w:tr>
        <w:trPr>
          <w:trHeight w:val="175"/>
        </w:trPr>
        <w:tc>
          <w:tcPr>
            <w:tcW w:w="5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8"/>
              </w:rPr>
              <w:t>30, 2009</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30, 2009</w:t>
            </w:r>
          </w:p>
        </w:tc>
        <w:tc>
          <w:tcPr>
            <w:tcW w:w="100" w:type="dxa"/>
            <w:vAlign w:val="bottom"/>
          </w:tcPr>
          <w:p>
            <w:pPr>
              <w:spacing w:after="0"/>
              <w:rPr>
                <w:sz w:val="15"/>
                <w:szCs w:val="15"/>
                <w:color w:val="auto"/>
              </w:rPr>
            </w:pPr>
          </w:p>
        </w:tc>
      </w:tr>
      <w:tr>
        <w:trPr>
          <w:trHeight w:val="162"/>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Analog</w:t>
            </w:r>
          </w:p>
        </w:tc>
        <w:tc>
          <w:tcPr>
            <w:tcW w:w="390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shd w:val="clear" w:color="auto" w:fill="CCEEFF"/>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Embedded Processing</w:t>
            </w: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4"/>
                <w:szCs w:val="14"/>
                <w:color w:val="auto"/>
              </w:rPr>
            </w:pPr>
          </w:p>
        </w:tc>
      </w:tr>
      <w:tr>
        <w:trPr>
          <w:trHeight w:val="162"/>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Wireless</w:t>
            </w:r>
          </w:p>
        </w:tc>
        <w:tc>
          <w:tcPr>
            <w:tcW w:w="3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CCEEFF"/>
          </w:tcPr>
          <w:p>
            <w:pPr>
              <w:spacing w:after="0"/>
              <w:rPr>
                <w:sz w:val="14"/>
                <w:szCs w:val="14"/>
                <w:color w:val="auto"/>
              </w:rPr>
            </w:pPr>
          </w:p>
        </w:tc>
      </w:tr>
      <w:tr>
        <w:trPr>
          <w:trHeight w:val="163"/>
        </w:trPr>
        <w:tc>
          <w:tcPr>
            <w:tcW w:w="5140" w:type="dxa"/>
            <w:vAlign w:val="bottom"/>
          </w:tcPr>
          <w:p>
            <w:pPr>
              <w:spacing w:after="0"/>
              <w:rPr>
                <w:sz w:val="20"/>
                <w:szCs w:val="20"/>
                <w:color w:val="auto"/>
              </w:rPr>
            </w:pPr>
            <w:r>
              <w:rPr>
                <w:rFonts w:ascii="Arial" w:cs="Arial" w:eastAsia="Arial" w:hAnsi="Arial"/>
                <w:sz w:val="14"/>
                <w:szCs w:val="14"/>
                <w:color w:val="auto"/>
              </w:rPr>
              <w:t>Other</w:t>
            </w:r>
          </w:p>
        </w:tc>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4"/>
                <w:szCs w:val="14"/>
                <w:color w:val="auto"/>
              </w:rPr>
            </w:pPr>
          </w:p>
        </w:tc>
      </w:tr>
      <w:tr>
        <w:trPr>
          <w:trHeight w:val="182"/>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Total restructuring charges</w:t>
            </w:r>
          </w:p>
        </w:tc>
        <w:tc>
          <w:tcPr>
            <w:tcW w:w="390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200</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2" w:lineRule="exact"/>
        <w:rPr>
          <w:sz w:val="20"/>
          <w:szCs w:val="20"/>
          <w:color w:val="auto"/>
        </w:rPr>
      </w:pPr>
    </w:p>
    <w:p>
      <w:pPr>
        <w:ind w:left="380" w:hanging="375"/>
        <w:spacing w:after="0" w:line="297" w:lineRule="auto"/>
        <w:tabs>
          <w:tab w:leader="none" w:pos="38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Income taxes</w:t>
      </w:r>
      <w:r>
        <w:rPr>
          <w:rFonts w:ascii="Arial" w:cs="Arial" w:eastAsia="Arial" w:hAnsi="Arial"/>
          <w:sz w:val="12"/>
          <w:szCs w:val="12"/>
          <w:color w:val="auto"/>
        </w:rPr>
        <w:t>. Federal income taxes have been included in the accompanying financial statements on the basis of an estimated annual effective tax rate. As of September 30, 2009, the estimated annual effective tax rate for 2009 is about 28 percent, which differs from the 35 percent statutory corporate tax rate primarily due to the effects of non-U.S. tax rates. Included in the tax provision for the first nine months of 2009 were $9 million in discrete tax charges, with $14 million recognized in the third quarter. The discrete charges relate primarily to adjustments identified through the completion of tax returns for prior years. The tax provision in the year-ago quarter included discrete tax benefits of $34 million, which were primarily due to adjustments identified through the completion of tax returns for prior years. For the first nine months of 2008 there were discrete tax benefits of $113 million, which were primarily due to our decision to indefinitely reinvest the accumulated earnings of a non-U.S. subsidiary.</w:t>
      </w:r>
    </w:p>
    <w:p>
      <w:pPr>
        <w:spacing w:after="0" w:line="140" w:lineRule="exact"/>
        <w:rPr>
          <w:rFonts w:ascii="Arial" w:cs="Arial" w:eastAsia="Arial" w:hAnsi="Arial"/>
          <w:sz w:val="12"/>
          <w:szCs w:val="12"/>
          <w:color w:val="auto"/>
        </w:rPr>
      </w:pPr>
    </w:p>
    <w:p>
      <w:pPr>
        <w:ind w:left="380" w:right="20" w:hanging="375"/>
        <w:spacing w:after="0" w:line="294" w:lineRule="auto"/>
        <w:tabs>
          <w:tab w:leader="none" w:pos="38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Earnings per share (EPS)</w:t>
      </w:r>
      <w:r>
        <w:rPr>
          <w:rFonts w:ascii="Arial" w:cs="Arial" w:eastAsia="Arial" w:hAnsi="Arial"/>
          <w:sz w:val="12"/>
          <w:szCs w:val="12"/>
          <w:color w:val="auto"/>
        </w:rPr>
        <w:t xml:space="preserve">. In 2008, the FASB issued an update to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 xml:space="preserve"> (formerly FSP EITF 03-6-1), that became effective for us beginning January 1, 2009. Under this update, unvested awards of share-based payments with rights to receive dividends or dividend equivalents, such as our restricted stock units (RSUs), are considered to be participating securities and the two-class method should be used for purposes of calculating EPS. Under the two-class method, a portion of net income is allocated to these participating securities and therefore is excluded from the calculation of EPS allocated to common stock, as shown in the table below. This update requires retrospective application for periods prior to the effective date and as a result, all prior period earnings per share data presented herein have been adjusted to conform to these provisions. The adoption of this update resulted in no change to the previously reported basic or diluted EPS for the three months ended September 30, 2008 and a decrease of $.01 per share to the previously reported basic and diluted EPS for the nine months ended September 30, 2008.</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Computation and reconciliation of earnings per common share are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40" w:type="dxa"/>
            <w:vAlign w:val="bottom"/>
            <w:tcBorders>
              <w:left w:val="single" w:sz="8" w:color="CCEEFF"/>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88"/>
              </w:rPr>
              <w:t>For Three Months Ended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80" w:type="dxa"/>
            <w:vAlign w:val="bottom"/>
            <w:tcBorders>
              <w:left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For Three Months Ended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 2009</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September 30, 2008</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Income</w:t>
            </w: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40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EPS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left w:val="single" w:sz="8" w:color="CCEEFF"/>
            </w:tcBorders>
            <w:shd w:val="clear" w:color="auto" w:fill="CCEEFF"/>
          </w:tcPr>
          <w:p>
            <w:pPr>
              <w:spacing w:after="0"/>
              <w:rPr>
                <w:sz w:val="14"/>
                <w:szCs w:val="14"/>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63"/>
        </w:trPr>
        <w:tc>
          <w:tcPr>
            <w:tcW w:w="32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4"/>
                <w:szCs w:val="14"/>
                <w:i w:val="1"/>
                <w:iCs w:val="1"/>
                <w:color w:val="auto"/>
              </w:rPr>
              <w:t>Basic EPS:</w:t>
            </w: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Less income allocated to RSUs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 allocated to common stock for EPS</w:t>
            </w:r>
          </w:p>
        </w:tc>
        <w:tc>
          <w:tcPr>
            <w:tcW w:w="1000" w:type="dxa"/>
            <w:vAlign w:val="bottom"/>
            <w:gridSpan w:val="2"/>
            <w:vMerge w:val="restart"/>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532</w:t>
            </w:r>
          </w:p>
        </w:tc>
        <w:tc>
          <w:tcPr>
            <w:tcW w:w="1640" w:type="dxa"/>
            <w:vAlign w:val="bottom"/>
            <w:tcBorders>
              <w:left w:val="single" w:sz="8" w:color="CCEEFF"/>
              <w:right w:val="single" w:sz="8" w:color="CCEEFF"/>
            </w:tcBorders>
            <w:gridSpan w:val="3"/>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1,255</w:t>
            </w:r>
          </w:p>
        </w:tc>
        <w:tc>
          <w:tcPr>
            <w:tcW w:w="260" w:type="dxa"/>
            <w:vAlign w:val="bottom"/>
            <w:vMerge w:val="restart"/>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0.42</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calculation</w:t>
            </w:r>
          </w:p>
        </w:tc>
        <w:tc>
          <w:tcPr>
            <w:tcW w:w="10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40" w:type="dxa"/>
            <w:vAlign w:val="bottom"/>
            <w:tcBorders>
              <w:left w:val="single" w:sz="8" w:color="CCEEFF"/>
              <w:right w:val="single" w:sz="8" w:color="CCEEFF"/>
            </w:tcBorders>
            <w:gridSpan w:val="3"/>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1,304</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3"/>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Adjustment for dilutive shares: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 plans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Diluted EPS: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Less income allocated to RSUs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w w:val="88"/>
              </w:rPr>
              <w:t>Net Income allocated to common stock for EPS calculation</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532</w:t>
            </w:r>
          </w:p>
        </w:tc>
        <w:tc>
          <w:tcPr>
            <w:tcW w:w="1640" w:type="dxa"/>
            <w:vAlign w:val="bottom"/>
            <w:tcBorders>
              <w:left w:val="single" w:sz="8" w:color="CCEEFF"/>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1,268</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0.42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1,315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529"/>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40" w:type="dxa"/>
            <w:vAlign w:val="bottom"/>
            <w:tcBorders>
              <w:left w:val="single" w:sz="8" w:color="CCEEFF"/>
              <w:right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89"/>
              </w:rPr>
              <w:t>For Nine Months Ended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80" w:type="dxa"/>
            <w:vAlign w:val="bottom"/>
            <w:tcBorders>
              <w:lef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89"/>
              </w:rPr>
              <w:t>For Nine Months Ended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 2009</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September 30, 2008</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Income</w:t>
            </w: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40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EPS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left w:val="single" w:sz="8" w:color="CCEEFF"/>
            </w:tcBorders>
            <w:shd w:val="clear" w:color="auto" w:fill="CCEEFF"/>
          </w:tcPr>
          <w:p>
            <w:pPr>
              <w:spacing w:after="0"/>
              <w:rPr>
                <w:sz w:val="14"/>
                <w:szCs w:val="14"/>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63"/>
        </w:trPr>
        <w:tc>
          <w:tcPr>
            <w:tcW w:w="32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4"/>
                <w:szCs w:val="14"/>
                <w:i w:val="1"/>
                <w:iCs w:val="1"/>
                <w:color w:val="auto"/>
              </w:rPr>
              <w:t>Basic EPS:</w:t>
            </w: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w:t>
            </w: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Less income allocated to RSUs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 allocated to common stock for EPS</w:t>
            </w:r>
          </w:p>
        </w:tc>
        <w:tc>
          <w:tcPr>
            <w:tcW w:w="1000" w:type="dxa"/>
            <w:vAlign w:val="bottom"/>
            <w:gridSpan w:val="2"/>
            <w:vMerge w:val="restart"/>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640" w:type="dxa"/>
            <w:vAlign w:val="bottom"/>
            <w:tcBorders>
              <w:left w:val="single" w:sz="8" w:color="CCEEFF"/>
              <w:right w:val="single" w:sz="8" w:color="CCEEFF"/>
            </w:tcBorders>
            <w:gridSpan w:val="3"/>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1,266</w:t>
            </w:r>
          </w:p>
        </w:tc>
        <w:tc>
          <w:tcPr>
            <w:tcW w:w="260" w:type="dxa"/>
            <w:vAlign w:val="bottom"/>
            <w:vMerge w:val="restart"/>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0.64</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calculation</w:t>
            </w:r>
          </w:p>
        </w:tc>
        <w:tc>
          <w:tcPr>
            <w:tcW w:w="10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40" w:type="dxa"/>
            <w:vAlign w:val="bottom"/>
            <w:tcBorders>
              <w:left w:val="single" w:sz="8" w:color="CCEEFF"/>
              <w:right w:val="single" w:sz="8" w:color="CCEEFF"/>
            </w:tcBorders>
            <w:gridSpan w:val="3"/>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1,317</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3"/>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Adjustment for dilutive shares: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 plans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Diluted EPS: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w:t>
            </w: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2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Less income allocated to RSUs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w w:val="88"/>
              </w:rPr>
              <w:t>Net Income allocated to common stock for EPS calculation</w:t>
            </w:r>
          </w:p>
        </w:tc>
        <w:tc>
          <w:tcPr>
            <w:tcW w:w="1000" w:type="dxa"/>
            <w:vAlign w:val="bottom"/>
            <w:gridSpan w:val="2"/>
            <w:shd w:val="clear" w:color="auto" w:fill="CCEEFF"/>
          </w:tcPr>
          <w:p>
            <w:pPr>
              <w:jc w:val="right"/>
              <w:ind w:right="75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640" w:type="dxa"/>
            <w:vAlign w:val="bottom"/>
            <w:tcBorders>
              <w:left w:val="single" w:sz="8" w:color="CCEEFF"/>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1,272</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0.63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1,333</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right="220"/>
        <w:spacing w:after="0" w:line="250" w:lineRule="auto"/>
        <w:rPr>
          <w:sz w:val="20"/>
          <w:szCs w:val="20"/>
          <w:color w:val="auto"/>
        </w:rPr>
      </w:pPr>
      <w:r>
        <w:rPr>
          <w:rFonts w:ascii="Arial" w:cs="Arial" w:eastAsia="Arial" w:hAnsi="Arial"/>
          <w:sz w:val="14"/>
          <w:szCs w:val="14"/>
          <w:color w:val="auto"/>
        </w:rPr>
        <w:t>Options to purchase 121 million and 138 million shares of common stock that were outstanding during the third quarters of 2009 and 2008, and 137 million and 97 million shares outstanding during the nine months of 2009 and 2008, were not included in the computation of diluted earnings per share because their exercise price was greater than the average market price of the common shares and, therefore, the effect would be anti-dilutive.</w:t>
      </w:r>
    </w:p>
    <w:p>
      <w:pPr>
        <w:spacing w:after="0" w:line="146" w:lineRule="exact"/>
        <w:rPr>
          <w:sz w:val="20"/>
          <w:szCs w:val="20"/>
          <w:color w:val="auto"/>
        </w:rPr>
      </w:pPr>
    </w:p>
    <w:p>
      <w:pPr>
        <w:ind w:left="400" w:right="300" w:hanging="365"/>
        <w:spacing w:after="0" w:line="259"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Valuation of debt and equity investments and certain liabilities</w:t>
      </w:r>
      <w:r>
        <w:rPr>
          <w:rFonts w:ascii="Arial" w:cs="Arial" w:eastAsia="Arial" w:hAnsi="Arial"/>
          <w:sz w:val="14"/>
          <w:szCs w:val="14"/>
          <w:color w:val="auto"/>
        </w:rPr>
        <w:t>. We present investments on our balance sheets as cash equivalents, short-term investments or long-term investments. This presentation reflects both the liquidity and intended use of the investments.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Debt and equity investments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accounting policy is to classify our investments as available-for-sale, trading, equity method or cost method. Most of our investments are classified as available-for-sale.</w:t>
      </w:r>
    </w:p>
    <w:p>
      <w:pPr>
        <w:spacing w:after="0" w:line="164" w:lineRule="exact"/>
        <w:rPr>
          <w:sz w:val="20"/>
          <w:szCs w:val="20"/>
          <w:color w:val="auto"/>
        </w:rPr>
      </w:pPr>
    </w:p>
    <w:p>
      <w:pPr>
        <w:ind w:left="360" w:right="20" w:firstLine="128"/>
        <w:spacing w:after="0" w:line="312" w:lineRule="auto"/>
        <w:rPr>
          <w:sz w:val="20"/>
          <w:szCs w:val="20"/>
          <w:color w:val="auto"/>
        </w:rPr>
      </w:pPr>
      <w:r>
        <w:rPr>
          <w:rFonts w:ascii="Arial" w:cs="Arial" w:eastAsia="Arial" w:hAnsi="Arial"/>
          <w:sz w:val="12"/>
          <w:szCs w:val="12"/>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in our statement of income, and all other unrealized gains and losses as an increase or decrease, net of taxes, in accumulated other comprehensive income (AOCI) on our balance sheet.</w:t>
      </w:r>
    </w:p>
    <w:p>
      <w:pPr>
        <w:spacing w:after="0" w:line="132" w:lineRule="exact"/>
        <w:rPr>
          <w:sz w:val="20"/>
          <w:szCs w:val="20"/>
          <w:color w:val="auto"/>
        </w:rPr>
      </w:pPr>
    </w:p>
    <w:p>
      <w:pPr>
        <w:ind w:left="360" w:right="300" w:firstLine="133"/>
        <w:spacing w:after="0" w:line="250" w:lineRule="auto"/>
        <w:rPr>
          <w:sz w:val="20"/>
          <w:szCs w:val="20"/>
          <w:color w:val="auto"/>
        </w:rPr>
      </w:pPr>
      <w:r>
        <w:rPr>
          <w:rFonts w:ascii="Arial" w:cs="Arial" w:eastAsia="Arial" w:hAnsi="Arial"/>
          <w:sz w:val="14"/>
          <w:szCs w:val="14"/>
          <w:color w:val="auto"/>
        </w:rPr>
        <w:t>Trading securities are stated at fair value based on market prices. Our trading securities consist exclusively of mutual funds that hold a variety of debt and equity investments that are intended to generate returns that offset changes in certain deferred compensation liabilities. We record changes in the fair value of our trading securities and the related deferred compensation liabilities in selling, general and administrative (SG&amp;A) expense in our statement of income.</w:t>
      </w:r>
    </w:p>
    <w:p>
      <w:pPr>
        <w:spacing w:after="0" w:line="146" w:lineRule="exact"/>
        <w:rPr>
          <w:sz w:val="20"/>
          <w:szCs w:val="20"/>
          <w:color w:val="auto"/>
        </w:rPr>
      </w:pPr>
    </w:p>
    <w:p>
      <w:pPr>
        <w:ind w:left="360" w:right="100"/>
        <w:spacing w:after="0" w:line="312" w:lineRule="auto"/>
        <w:rPr>
          <w:sz w:val="20"/>
          <w:szCs w:val="20"/>
          <w:color w:val="auto"/>
        </w:rPr>
      </w:pPr>
      <w:r>
        <w:rPr>
          <w:rFonts w:ascii="Arial" w:cs="Arial" w:eastAsia="Arial" w:hAnsi="Arial"/>
          <w:sz w:val="12"/>
          <w:szCs w:val="12"/>
          <w:color w:val="auto"/>
        </w:rPr>
        <w:t>Our other investments are not measured at fair value but are accounted for using either the equity method or cost method of accounting. These investments consist of interests in venture capital funds and non-marketable equity securities. Gains or losses on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determine cost or amortized cost, as appropriate, on a specific identification basis.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Details of our investments and related unrealized gains and losses included in AOCI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 2009</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2008</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0"/>
        </w:trPr>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b w:val="1"/>
                <w:bCs w:val="1"/>
                <w:color w:val="auto"/>
                <w:w w:val="87"/>
              </w:rPr>
              <w:t>Cash &amp; Cash</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b w:val="1"/>
                <w:bCs w:val="1"/>
                <w:color w:val="auto"/>
                <w:w w:val="89"/>
              </w:rPr>
              <w:t>Short-term</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b w:val="1"/>
                <w:bCs w:val="1"/>
                <w:color w:val="auto"/>
                <w:w w:val="89"/>
              </w:rPr>
              <w:t>Long-term</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b w:val="1"/>
                <w:bCs w:val="1"/>
                <w:color w:val="auto"/>
                <w:w w:val="90"/>
              </w:rPr>
              <w:t>Cash &amp; Cash</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b w:val="1"/>
                <w:bCs w:val="1"/>
                <w:color w:val="auto"/>
                <w:w w:val="92"/>
              </w:rPr>
              <w:t>Short-term</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100"/>
              <w:spacing w:after="0" w:line="150" w:lineRule="exact"/>
              <w:rPr>
                <w:sz w:val="20"/>
                <w:szCs w:val="20"/>
                <w:color w:val="auto"/>
              </w:rPr>
            </w:pPr>
            <w:r>
              <w:rPr>
                <w:rFonts w:ascii="Arial" w:cs="Arial" w:eastAsia="Arial" w:hAnsi="Arial"/>
                <w:sz w:val="14"/>
                <w:szCs w:val="14"/>
                <w:b w:val="1"/>
                <w:bCs w:val="1"/>
                <w:color w:val="auto"/>
                <w:w w:val="89"/>
              </w:rPr>
              <w:t>Long-term</w:t>
            </w:r>
          </w:p>
        </w:tc>
      </w:tr>
      <w:tr>
        <w:trPr>
          <w:trHeight w:val="175"/>
        </w:trPr>
        <w:tc>
          <w:tcPr>
            <w:tcW w:w="3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6"/>
              </w:rPr>
              <w:t>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Investments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6"/>
              </w:rPr>
              <w:t>Equivalents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50" w:lineRule="exact"/>
        <w:rPr>
          <w:sz w:val="20"/>
          <w:szCs w:val="20"/>
          <w:color w:val="auto"/>
        </w:rPr>
      </w:pPr>
    </w:p>
    <w:p>
      <w:pPr>
        <w:sectPr>
          <w:pgSz w:w="11900" w:h="16842" w:orient="portrait"/>
          <w:cols w:equalWidth="0" w:num="1">
            <w:col w:w="11460"/>
          </w:cols>
          <w:pgMar w:left="220" w:top="129" w:right="219" w:bottom="0" w:gutter="0" w:footer="0" w:header="0"/>
        </w:sectPr>
      </w:pPr>
    </w:p>
    <w:p>
      <w:pPr>
        <w:spacing w:after="0"/>
        <w:rPr>
          <w:sz w:val="20"/>
          <w:szCs w:val="20"/>
          <w:color w:val="auto"/>
        </w:rPr>
      </w:pPr>
      <w:r>
        <w:rPr>
          <w:rFonts w:ascii="Arial" w:cs="Arial" w:eastAsia="Arial" w:hAnsi="Arial"/>
          <w:sz w:val="12"/>
          <w:szCs w:val="12"/>
          <w:b w:val="1"/>
          <w:bCs w:val="1"/>
          <w:color w:val="auto"/>
        </w:rPr>
        <w:t>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091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0910" cy="102870"/>
                    </a:xfrm>
                    <a:prstGeom prst="rect">
                      <a:avLst/>
                    </a:prstGeom>
                    <a:noFill/>
                  </pic:spPr>
                </pic:pic>
              </a:graphicData>
            </a:graphic>
          </wp:anchor>
        </w:drawing>
      </w:r>
    </w:p>
    <w:p>
      <w:pPr>
        <w:sectPr>
          <w:pgSz w:w="11900" w:h="16842" w:orient="portrait"/>
          <w:cols w:equalWidth="0" w:num="1">
            <w:col w:w="11460"/>
          </w:cols>
          <w:pgMar w:left="220" w:top="129" w:right="219" w:bottom="0" w:gutter="0" w:footer="0" w:header="0"/>
          <w:type w:val="continuous"/>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953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796</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Corporate obligations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590</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agency and Treasury securities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1,092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654</w:t>
            </w: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Mortgage-backed and other securities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250</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Auction-rate securities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Trading</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3220" w:type="dxa"/>
            <w:vAlign w:val="bottom"/>
          </w:tcPr>
          <w:p>
            <w:pPr>
              <w:spacing w:after="0"/>
              <w:rPr>
                <w:sz w:val="20"/>
                <w:szCs w:val="20"/>
                <w:color w:val="auto"/>
              </w:rPr>
            </w:pPr>
            <w:r>
              <w:rPr>
                <w:rFonts w:ascii="Arial" w:cs="Arial" w:eastAsia="Arial" w:hAnsi="Arial"/>
                <w:sz w:val="14"/>
                <w:szCs w:val="14"/>
                <w:color w:val="auto"/>
              </w:rPr>
              <w:t>Mutual funds</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4"/>
                <w:szCs w:val="14"/>
                <w:color w:val="auto"/>
              </w:rPr>
            </w:pPr>
          </w:p>
        </w:tc>
      </w:tr>
      <w:tr>
        <w:trPr>
          <w:trHeight w:val="16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w w:val="90"/>
              </w:rPr>
              <w:t>Total debt and equity investments measured at fair value</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1,093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1,533</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572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846</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1,494</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w:t>
            </w:r>
          </w:p>
        </w:tc>
      </w:tr>
      <w:tr>
        <w:trPr>
          <w:trHeight w:val="162"/>
        </w:trPr>
        <w:tc>
          <w:tcPr>
            <w:tcW w:w="3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measurement basis: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Equity method investments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33</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Cost method investments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4"/>
                <w:szCs w:val="14"/>
                <w:color w:val="auto"/>
              </w:rPr>
            </w:pPr>
          </w:p>
        </w:tc>
      </w:tr>
      <w:tr>
        <w:trPr>
          <w:trHeight w:val="163"/>
        </w:trPr>
        <w:tc>
          <w:tcPr>
            <w:tcW w:w="3220" w:type="dxa"/>
            <w:vAlign w:val="bottom"/>
          </w:tcPr>
          <w:p>
            <w:pPr>
              <w:spacing w:after="0"/>
              <w:rPr>
                <w:sz w:val="20"/>
                <w:szCs w:val="20"/>
                <w:color w:val="auto"/>
              </w:rPr>
            </w:pPr>
            <w:r>
              <w:rPr>
                <w:rFonts w:ascii="Arial" w:cs="Arial" w:eastAsia="Arial" w:hAnsi="Arial"/>
                <w:sz w:val="14"/>
                <w:szCs w:val="14"/>
                <w:color w:val="auto"/>
              </w:rPr>
              <w:t>Cash on hand</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Total debt and equity investments</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1,294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1,533</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627</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1,046</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1,494</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w:t>
            </w:r>
          </w:p>
        </w:tc>
      </w:tr>
      <w:tr>
        <w:trPr>
          <w:trHeight w:val="143"/>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50"/>
        </w:trPr>
        <w:tc>
          <w:tcPr>
            <w:tcW w:w="3220" w:type="dxa"/>
            <w:vAlign w:val="bottom"/>
            <w:shd w:val="clear" w:color="auto" w:fill="CCEEFF"/>
          </w:tcPr>
          <w:p>
            <w:pPr>
              <w:spacing w:after="0" w:line="150" w:lineRule="exact"/>
              <w:rPr>
                <w:sz w:val="20"/>
                <w:szCs w:val="20"/>
                <w:color w:val="auto"/>
              </w:rPr>
            </w:pPr>
            <w:r>
              <w:rPr>
                <w:rFonts w:ascii="Arial" w:cs="Arial" w:eastAsia="Arial" w:hAnsi="Arial"/>
                <w:sz w:val="14"/>
                <w:szCs w:val="14"/>
                <w:b w:val="1"/>
                <w:bCs w:val="1"/>
                <w:color w:val="auto"/>
                <w:w w:val="96"/>
              </w:rPr>
              <w:t>Amounts included in AOCI from available-for-sale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24"/>
        </w:trPr>
        <w:tc>
          <w:tcPr>
            <w:tcW w:w="3220" w:type="dxa"/>
            <w:vAlign w:val="bottom"/>
          </w:tcPr>
          <w:p>
            <w:pPr>
              <w:spacing w:after="0"/>
              <w:rPr>
                <w:sz w:val="20"/>
                <w:szCs w:val="20"/>
                <w:color w:val="auto"/>
              </w:rPr>
            </w:pPr>
            <w:r>
              <w:rPr>
                <w:rFonts w:ascii="Arial" w:cs="Arial" w:eastAsia="Arial" w:hAnsi="Arial"/>
                <w:sz w:val="14"/>
                <w:szCs w:val="14"/>
                <w:color w:val="auto"/>
              </w:rPr>
              <w:t>Unrealized gains (pre-tax)</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w:t>
            </w:r>
          </w:p>
        </w:tc>
        <w:tc>
          <w:tcPr>
            <w:tcW w:w="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r>
      <w:tr>
        <w:trPr>
          <w:trHeight w:val="325"/>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losses (pre-tax)</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r>
    </w:tbl>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All of our investments in corporate obligations are insured by either the Federal Deposit Insurance Corporation (FDIC) or the U.K. government.</w:t>
      </w:r>
    </w:p>
    <w:p>
      <w:pPr>
        <w:spacing w:after="0" w:line="164" w:lineRule="exact"/>
        <w:rPr>
          <w:sz w:val="20"/>
          <w:szCs w:val="20"/>
          <w:color w:val="auto"/>
        </w:rPr>
      </w:pPr>
    </w:p>
    <w:p>
      <w:pPr>
        <w:ind w:left="360" w:right="60"/>
        <w:spacing w:after="0" w:line="250" w:lineRule="auto"/>
        <w:rPr>
          <w:sz w:val="20"/>
          <w:szCs w:val="20"/>
          <w:color w:val="auto"/>
        </w:rPr>
      </w:pPr>
      <w:r>
        <w:rPr>
          <w:rFonts w:ascii="Arial" w:cs="Arial" w:eastAsia="Arial" w:hAnsi="Arial"/>
          <w:sz w:val="14"/>
          <w:szCs w:val="14"/>
          <w:color w:val="auto"/>
        </w:rPr>
        <w:t>As of September 30, 2009, unrealized losses included in AOCI were associated with auction-rate securities. As of December 31, 2008, unrealized losses included in AOCI were primarily associated with auction-rate securities and mortgage-backed securities. The change in unrealized losses from December 31, 2008, was primarily due to increases in fair values of the investments held as well as the effects of redemptions and sales since that date.</w:t>
      </w:r>
    </w:p>
    <w:p>
      <w:pPr>
        <w:spacing w:after="0" w:line="146" w:lineRule="exact"/>
        <w:rPr>
          <w:sz w:val="20"/>
          <w:szCs w:val="20"/>
          <w:color w:val="auto"/>
        </w:rPr>
      </w:pPr>
    </w:p>
    <w:p>
      <w:pPr>
        <w:jc w:val="both"/>
        <w:ind w:left="360" w:right="280"/>
        <w:spacing w:after="0" w:line="250" w:lineRule="auto"/>
        <w:rPr>
          <w:sz w:val="20"/>
          <w:szCs w:val="20"/>
          <w:color w:val="auto"/>
        </w:rPr>
      </w:pPr>
      <w:r>
        <w:rPr>
          <w:rFonts w:ascii="Arial" w:cs="Arial" w:eastAsia="Arial" w:hAnsi="Arial"/>
          <w:sz w:val="14"/>
          <w:szCs w:val="14"/>
          <w:color w:val="auto"/>
        </w:rPr>
        <w:t>As of September 30, 2009, we have determined that our investments classified as available-for-sale with unrealized losses are not other-than-temporarily impaired. We expect to recover the entire cost basis of these securities. We do not intend to sell these investments, nor do we expect to be required to sell these investments. For the nine months ended September 30, 2009, we did not recognize in earnings any credit losses related to these investments.</w:t>
      </w:r>
    </w:p>
    <w:p>
      <w:pPr>
        <w:spacing w:after="0" w:line="167" w:lineRule="exact"/>
        <w:rPr>
          <w:sz w:val="20"/>
          <w:szCs w:val="20"/>
          <w:color w:val="auto"/>
        </w:rPr>
      </w:pPr>
    </w:p>
    <w:p>
      <w:pPr>
        <w:ind w:left="360" w:right="420"/>
        <w:spacing w:after="0" w:line="259" w:lineRule="auto"/>
        <w:rPr>
          <w:sz w:val="20"/>
          <w:szCs w:val="20"/>
          <w:color w:val="auto"/>
        </w:rPr>
      </w:pPr>
      <w:r>
        <w:rPr>
          <w:rFonts w:ascii="Arial" w:cs="Arial" w:eastAsia="Arial" w:hAnsi="Arial"/>
          <w:sz w:val="14"/>
          <w:szCs w:val="14"/>
          <w:color w:val="auto"/>
        </w:rPr>
        <w:t>For the nine months ended September 30, 2009, the proceeds from sales of available-for-sale securities were $837 million. Gross realized gains and losses from the sales of these securities were not significant for any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ind w:left="360"/>
              <w:spacing w:after="0"/>
              <w:rPr>
                <w:sz w:val="20"/>
                <w:szCs w:val="20"/>
                <w:color w:val="auto"/>
              </w:rPr>
            </w:pPr>
            <w:r>
              <w:rPr>
                <w:rFonts w:ascii="Arial" w:cs="Arial" w:eastAsia="Arial" w:hAnsi="Arial"/>
                <w:sz w:val="14"/>
                <w:szCs w:val="14"/>
                <w:color w:val="auto"/>
              </w:rPr>
              <w:t>The following table presents the aggregate maturities of investments in debt securities classified as available-for-sale at September 30, 2009:</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9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9640" w:type="dxa"/>
            <w:vAlign w:val="bottom"/>
            <w:tcBorders>
              <w:bottom w:val="single" w:sz="8" w:color="auto"/>
            </w:tcBorders>
            <w:shd w:val="clear" w:color="auto" w:fill="CCEEFF"/>
          </w:tcPr>
          <w:p>
            <w:pPr>
              <w:ind w:left="4700"/>
              <w:spacing w:after="0"/>
              <w:rPr>
                <w:sz w:val="20"/>
                <w:szCs w:val="20"/>
                <w:color w:val="auto"/>
              </w:rPr>
            </w:pPr>
            <w:r>
              <w:rPr>
                <w:rFonts w:ascii="Arial" w:cs="Arial" w:eastAsia="Arial" w:hAnsi="Arial"/>
                <w:sz w:val="14"/>
                <w:szCs w:val="14"/>
                <w:b w:val="1"/>
                <w:bCs w:val="1"/>
                <w:color w:val="auto"/>
              </w:rPr>
              <w:t>Due</w:t>
            </w:r>
          </w:p>
        </w:tc>
        <w:tc>
          <w:tcPr>
            <w:tcW w:w="5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9640" w:type="dxa"/>
            <w:vAlign w:val="bottom"/>
          </w:tcPr>
          <w:p>
            <w:pPr>
              <w:spacing w:after="0"/>
              <w:rPr>
                <w:sz w:val="20"/>
                <w:szCs w:val="20"/>
                <w:color w:val="auto"/>
              </w:rPr>
            </w:pPr>
            <w:r>
              <w:rPr>
                <w:rFonts w:ascii="Arial" w:cs="Arial" w:eastAsia="Arial" w:hAnsi="Arial"/>
                <w:sz w:val="14"/>
                <w:szCs w:val="14"/>
                <w:color w:val="auto"/>
              </w:rPr>
              <w:t>One year or less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4"/>
                <w:szCs w:val="14"/>
                <w:color w:val="auto"/>
              </w:rPr>
            </w:pPr>
          </w:p>
        </w:tc>
      </w:tr>
      <w:tr>
        <w:trPr>
          <w:trHeight w:val="162"/>
        </w:trPr>
        <w:tc>
          <w:tcPr>
            <w:tcW w:w="9640" w:type="dxa"/>
            <w:vAlign w:val="bottom"/>
            <w:shd w:val="clear" w:color="auto" w:fill="CCEEFF"/>
          </w:tcPr>
          <w:p>
            <w:pPr>
              <w:spacing w:after="0"/>
              <w:rPr>
                <w:sz w:val="20"/>
                <w:szCs w:val="20"/>
                <w:color w:val="auto"/>
              </w:rPr>
            </w:pPr>
            <w:r>
              <w:rPr>
                <w:rFonts w:ascii="Arial" w:cs="Arial" w:eastAsia="Arial" w:hAnsi="Arial"/>
                <w:sz w:val="14"/>
                <w:szCs w:val="14"/>
                <w:color w:val="auto"/>
              </w:rPr>
              <w:t>One to three years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576</w:t>
            </w:r>
          </w:p>
        </w:tc>
      </w:tr>
      <w:tr>
        <w:trPr>
          <w:trHeight w:val="162"/>
        </w:trPr>
        <w:tc>
          <w:tcPr>
            <w:tcW w:w="9640" w:type="dxa"/>
            <w:vAlign w:val="bottom"/>
          </w:tcPr>
          <w:p>
            <w:pPr>
              <w:spacing w:after="0"/>
              <w:rPr>
                <w:sz w:val="20"/>
                <w:szCs w:val="20"/>
                <w:color w:val="auto"/>
              </w:rPr>
            </w:pPr>
            <w:r>
              <w:rPr>
                <w:rFonts w:ascii="Arial" w:cs="Arial" w:eastAsia="Arial" w:hAnsi="Arial"/>
                <w:sz w:val="14"/>
                <w:szCs w:val="14"/>
                <w:color w:val="auto"/>
              </w:rPr>
              <w:t>Greater than three years (auction-rate securities)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457</w:t>
            </w:r>
          </w:p>
        </w:tc>
      </w:tr>
      <w:tr>
        <w:trPr>
          <w:trHeight w:val="162"/>
        </w:trPr>
        <w:tc>
          <w:tcPr>
            <w:tcW w:w="9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Fair value</w:t>
      </w:r>
    </w:p>
    <w:p>
      <w:pPr>
        <w:spacing w:after="0" w:line="164" w:lineRule="exact"/>
        <w:rPr>
          <w:sz w:val="20"/>
          <w:szCs w:val="20"/>
          <w:color w:val="auto"/>
        </w:rPr>
      </w:pPr>
    </w:p>
    <w:p>
      <w:pPr>
        <w:jc w:val="both"/>
        <w:ind w:left="360" w:firstLine="147"/>
        <w:spacing w:after="0" w:line="342" w:lineRule="auto"/>
        <w:rPr>
          <w:sz w:val="20"/>
          <w:szCs w:val="20"/>
          <w:color w:val="auto"/>
        </w:rPr>
      </w:pPr>
      <w:r>
        <w:rPr>
          <w:rFonts w:ascii="Arial" w:cs="Arial" w:eastAsia="Arial" w:hAnsi="Arial"/>
          <w:sz w:val="12"/>
          <w:szCs w:val="12"/>
          <w:color w:val="auto"/>
        </w:rPr>
        <w:t xml:space="preserve">We measure and report our financial assets and liabilities under the provisions of ASC 820, </w:t>
      </w:r>
      <w:r>
        <w:rPr>
          <w:rFonts w:ascii="Arial" w:cs="Arial" w:eastAsia="Arial" w:hAnsi="Arial"/>
          <w:sz w:val="12"/>
          <w:szCs w:val="12"/>
          <w:i w:val="1"/>
          <w:iCs w:val="1"/>
          <w:color w:val="auto"/>
        </w:rPr>
        <w:t>Fair Value Measurement</w:t>
      </w:r>
      <w:r>
        <w:rPr>
          <w:rFonts w:ascii="Arial" w:cs="Arial" w:eastAsia="Arial" w:hAnsi="Arial"/>
          <w:sz w:val="12"/>
          <w:szCs w:val="12"/>
          <w:color w:val="auto"/>
        </w:rPr>
        <w:t xml:space="preserve"> (formerly SFAS No. 157)</w:t>
      </w:r>
      <w:r>
        <w:rPr>
          <w:rFonts w:ascii="Arial" w:cs="Arial" w:eastAsia="Arial" w:hAnsi="Arial"/>
          <w:sz w:val="12"/>
          <w:szCs w:val="12"/>
          <w:i w:val="1"/>
          <w:iCs w:val="1"/>
          <w:color w:val="auto"/>
        </w:rPr>
        <w:t>.</w:t>
      </w:r>
      <w:r>
        <w:rPr>
          <w:rFonts w:ascii="Arial" w:cs="Arial" w:eastAsia="Arial" w:hAnsi="Arial"/>
          <w:sz w:val="12"/>
          <w:szCs w:val="12"/>
          <w:color w:val="auto"/>
        </w:rPr>
        <w:t xml:space="preserve"> Effective January 1, 2009, we adopted the provisions of ASC 820 for non-financial assets and liabilities. The adoption of ASC 820 for non-financial assets and liabilities did not have a significant impact on our financial condition or results of operations.</w:t>
      </w:r>
    </w:p>
    <w:p>
      <w:pPr>
        <w:spacing w:after="0" w:line="114" w:lineRule="exact"/>
        <w:rPr>
          <w:sz w:val="20"/>
          <w:szCs w:val="20"/>
          <w:color w:val="auto"/>
        </w:rPr>
      </w:pPr>
    </w:p>
    <w:p>
      <w:pPr>
        <w:jc w:val="both"/>
        <w:ind w:left="360" w:firstLine="157"/>
        <w:spacing w:after="0" w:line="259" w:lineRule="auto"/>
        <w:rPr>
          <w:sz w:val="20"/>
          <w:szCs w:val="20"/>
          <w:color w:val="auto"/>
        </w:rPr>
      </w:pPr>
      <w:r>
        <w:rPr>
          <w:rFonts w:ascii="Arial" w:cs="Arial" w:eastAsia="Arial" w:hAnsi="Arial"/>
          <w:sz w:val="14"/>
          <w:szCs w:val="14"/>
          <w:color w:val="auto"/>
        </w:rPr>
        <w:t>ASC 820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ASC 820 establishes a three-level hierarchy for disclosure to show the extent and level of judgment used to estimate fair value measurements.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Level 1 – Uses unadjusted quoted prices that are available in active markets for the identical assets or liabilities as of the reporting date.</w:t>
      </w:r>
    </w:p>
    <w:p>
      <w:pPr>
        <w:spacing w:after="0" w:line="184" w:lineRule="exact"/>
        <w:rPr>
          <w:sz w:val="20"/>
          <w:szCs w:val="20"/>
          <w:color w:val="auto"/>
        </w:rPr>
      </w:pPr>
    </w:p>
    <w:p>
      <w:pPr>
        <w:jc w:val="both"/>
        <w:ind w:left="360" w:firstLine="177"/>
        <w:spacing w:after="0" w:line="312" w:lineRule="auto"/>
        <w:rPr>
          <w:sz w:val="20"/>
          <w:szCs w:val="20"/>
          <w:color w:val="auto"/>
        </w:rPr>
      </w:pPr>
      <w:r>
        <w:rPr>
          <w:rFonts w:ascii="Arial" w:cs="Arial" w:eastAsia="Arial" w:hAnsi="Arial"/>
          <w:sz w:val="12"/>
          <w:szCs w:val="12"/>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32" w:lineRule="exact"/>
        <w:rPr>
          <w:sz w:val="20"/>
          <w:szCs w:val="20"/>
          <w:color w:val="auto"/>
        </w:rPr>
      </w:pPr>
    </w:p>
    <w:p>
      <w:pPr>
        <w:jc w:val="both"/>
        <w:ind w:left="360" w:firstLine="136"/>
        <w:spacing w:after="0" w:line="259" w:lineRule="auto"/>
        <w:rPr>
          <w:sz w:val="20"/>
          <w:szCs w:val="20"/>
          <w:color w:val="auto"/>
        </w:rPr>
      </w:pPr>
      <w:r>
        <w:rPr>
          <w:rFonts w:ascii="Arial" w:cs="Arial" w:eastAsia="Arial" w:hAnsi="Arial"/>
          <w:sz w:val="14"/>
          <w:szCs w:val="14"/>
          <w:color w:val="auto"/>
        </w:rPr>
        <w:t>Level 3 – Uses inputs that are unobservable and are supported by little or no market activity and reflect the use of significant management judgment. These values are generally determined using pricing models which utilize management estimates of market participant assumptions.</w:t>
      </w:r>
    </w:p>
    <w:p>
      <w:pPr>
        <w:spacing w:after="0" w:line="160" w:lineRule="exact"/>
        <w:rPr>
          <w:sz w:val="20"/>
          <w:szCs w:val="20"/>
          <w:color w:val="auto"/>
        </w:rPr>
      </w:pPr>
    </w:p>
    <w:p>
      <w:pPr>
        <w:jc w:val="both"/>
        <w:ind w:left="360" w:firstLine="165"/>
        <w:spacing w:after="0" w:line="292" w:lineRule="auto"/>
        <w:rPr>
          <w:sz w:val="20"/>
          <w:szCs w:val="20"/>
          <w:color w:val="auto"/>
        </w:rPr>
      </w:pPr>
      <w:r>
        <w:rPr>
          <w:rFonts w:ascii="Arial" w:cs="Arial" w:eastAsia="Arial" w:hAnsi="Arial"/>
          <w:sz w:val="12"/>
          <w:szCs w:val="12"/>
          <w:color w:val="auto"/>
        </w:rPr>
        <w:t>Investments in auction-rate securities are our only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current reduced liquidity for auction-rate securities.</w:t>
      </w:r>
    </w:p>
    <w:p>
      <w:pPr>
        <w:spacing w:after="0" w:line="144" w:lineRule="exact"/>
        <w:rPr>
          <w:sz w:val="20"/>
          <w:szCs w:val="20"/>
          <w:color w:val="auto"/>
        </w:rPr>
      </w:pPr>
    </w:p>
    <w:p>
      <w:pPr>
        <w:jc w:val="both"/>
        <w:ind w:left="360" w:firstLine="134"/>
        <w:spacing w:after="0" w:line="293" w:lineRule="auto"/>
        <w:rPr>
          <w:sz w:val="20"/>
          <w:szCs w:val="20"/>
          <w:color w:val="auto"/>
        </w:rPr>
      </w:pPr>
      <w:r>
        <w:rPr>
          <w:rFonts w:ascii="Arial" w:cs="Arial" w:eastAsia="Arial" w:hAnsi="Arial"/>
          <w:sz w:val="12"/>
          <w:szCs w:val="12"/>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14 to 38 years. All of our auction-rate securities are backed by pools of student loans substantially guaranteed by the U.S. Department of Education and we continue to believe that the credit quality of these securities is high based on this guarantee. As of September 30, 2009, all but one of these securities were rated AAA/Aaa by the major credit rating agencies, with the remaining security (with a par value of $25 million) rated AAA/B3.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308" w:lineRule="exact"/>
        <w:rPr>
          <w:sz w:val="20"/>
          <w:szCs w:val="20"/>
          <w:color w:val="auto"/>
        </w:rPr>
      </w:pPr>
    </w:p>
    <w:p>
      <w:pPr>
        <w:jc w:val="both"/>
        <w:ind w:left="360" w:firstLine="134"/>
        <w:spacing w:after="0" w:line="259" w:lineRule="auto"/>
        <w:rPr>
          <w:sz w:val="20"/>
          <w:szCs w:val="20"/>
          <w:color w:val="auto"/>
        </w:rPr>
      </w:pPr>
      <w:r>
        <w:rPr>
          <w:rFonts w:ascii="Arial" w:cs="Arial" w:eastAsia="Arial" w:hAnsi="Arial"/>
          <w:sz w:val="14"/>
          <w:szCs w:val="14"/>
          <w:color w:val="auto"/>
        </w:rPr>
        <w:t>The table below sets forth, by level, our assets and liabilities that were accounted for at fair value as of September 30, 2009. The table does not include cash on hand and also does not include assets and liabilities that are measured at historical cost or any basis other than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Fair Value at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6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Level</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Level</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Level</w:t>
            </w:r>
          </w:p>
        </w:tc>
      </w:tr>
      <w:tr>
        <w:trPr>
          <w:trHeight w:val="163"/>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Items measured at fair value on a recurring basis: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Corporate obligations</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441</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441</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 government agency and Treasury securities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666</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566</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Auction–rate securities</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457</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457</w:t>
            </w:r>
          </w:p>
        </w:tc>
      </w:tr>
      <w:tr>
        <w:trPr>
          <w:trHeight w:val="163"/>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Mutual funds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3,198</w:t>
            </w: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1,734</w:t>
            </w: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top w:val="single" w:sz="8" w:color="CCEEFF"/>
            </w:tcBorders>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r>
      <w:tr>
        <w:trPr>
          <w:trHeight w:val="163"/>
        </w:trPr>
        <w:tc>
          <w:tcPr>
            <w:tcW w:w="6080" w:type="dxa"/>
            <w:vAlign w:val="bottom"/>
          </w:tcPr>
          <w:p>
            <w:pPr>
              <w:spacing w:after="0"/>
              <w:rPr>
                <w:sz w:val="20"/>
                <w:szCs w:val="20"/>
                <w:color w:val="auto"/>
              </w:rPr>
            </w:pPr>
            <w:r>
              <w:rPr>
                <w:rFonts w:ascii="Arial" w:cs="Arial" w:eastAsia="Arial" w:hAnsi="Arial"/>
                <w:sz w:val="14"/>
                <w:szCs w:val="14"/>
                <w:color w:val="auto"/>
              </w:rPr>
              <w:t>Deferred compensation liabilities</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147</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43"/>
        </w:trPr>
        <w:tc>
          <w:tcPr>
            <w:tcW w:w="60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460"/>
          </w:cols>
          <w:pgMar w:left="220" w:top="127" w:right="219" w:bottom="0" w:gutter="0" w:footer="0" w:header="0"/>
        </w:sectPr>
      </w:pPr>
    </w:p>
    <w:bookmarkStart w:id="8" w:name="page9"/>
    <w:bookmarkEnd w:id="8"/>
    <w:p>
      <w:pPr>
        <w:ind w:left="100"/>
        <w:spacing w:after="0"/>
        <w:tabs>
          <w:tab w:leader="none" w:pos="6060" w:val="left"/>
          <w:tab w:leader="none" w:pos="7020" w:val="left"/>
          <w:tab w:leader="none" w:pos="7460" w:val="left"/>
          <w:tab w:leader="none" w:pos="8420" w:val="left"/>
          <w:tab w:leader="none" w:pos="8840" w:val="left"/>
          <w:tab w:leader="none" w:pos="9880" w:val="left"/>
          <w:tab w:leader="none" w:pos="10200" w:val="left"/>
          <w:tab w:leader="none" w:pos="11200" w:val="left"/>
        </w:tabs>
        <w:rPr>
          <w:sz w:val="20"/>
          <w:szCs w:val="20"/>
          <w:color w:val="auto"/>
        </w:rPr>
      </w:pPr>
      <w:r>
        <w:rPr>
          <w:rFonts w:ascii="Arial" w:cs="Arial" w:eastAsia="Arial" w:hAnsi="Arial"/>
          <w:sz w:val="14"/>
          <w:szCs w:val="14"/>
          <w:color w:val="auto"/>
        </w:rPr>
        <w:t>Total liabilities measured at fair value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165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728091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128905"/>
                    </a:xfrm>
                    <a:prstGeom prst="rect">
                      <a:avLst/>
                    </a:prstGeom>
                    <a:noFill/>
                  </pic:spPr>
                </pic:pic>
              </a:graphicData>
            </a:graphic>
          </wp:anchor>
        </w:drawing>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liabilities above are a component of Accrued expenses and other liabilities or Deferred credits and other liabilities on our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20" w:type="dxa"/>
            <w:vAlign w:val="bottom"/>
          </w:tcPr>
          <w:p>
            <w:pPr>
              <w:ind w:left="360"/>
              <w:spacing w:after="0"/>
              <w:rPr>
                <w:sz w:val="20"/>
                <w:szCs w:val="20"/>
                <w:color w:val="auto"/>
              </w:rPr>
            </w:pPr>
            <w:r>
              <w:rPr>
                <w:rFonts w:ascii="Arial" w:cs="Arial" w:eastAsia="Arial" w:hAnsi="Arial"/>
                <w:sz w:val="14"/>
                <w:szCs w:val="14"/>
                <w:color w:val="auto"/>
                <w:w w:val="88"/>
              </w:rPr>
              <w:t>The following table summarizes the change in the fair values for Level 3 assets and liabilities for the three and nine months ending September 30, 2009.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8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Level 3</w:t>
            </w: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Liabilities</w:t>
            </w: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in fair value for the three months ending September 30 (pre-tax):</w:t>
            </w: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Beginning Balance, June 30, 2009</w:t>
            </w:r>
          </w:p>
        </w:tc>
        <w:tc>
          <w:tcPr>
            <w:tcW w:w="980" w:type="dxa"/>
            <w:vAlign w:val="bottom"/>
            <w:gridSpan w:val="2"/>
          </w:tcPr>
          <w:p>
            <w:pPr>
              <w:jc w:val="right"/>
              <w:ind w:right="732"/>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463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Increase in unrealized losses - included in AOCI</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Redemptions at par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Ending Balance, September 30, 2009</w:t>
            </w:r>
          </w:p>
        </w:tc>
        <w:tc>
          <w:tcPr>
            <w:tcW w:w="980" w:type="dxa"/>
            <w:vAlign w:val="bottom"/>
            <w:gridSpan w:val="2"/>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r>
      <w:tr>
        <w:trPr>
          <w:trHeight w:val="143"/>
        </w:trPr>
        <w:tc>
          <w:tcPr>
            <w:tcW w:w="8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in fair value for the nine months ending September 30 (pre-tax):</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Beginning Balance, December 31, 2008</w:t>
            </w:r>
          </w:p>
        </w:tc>
        <w:tc>
          <w:tcPr>
            <w:tcW w:w="980" w:type="dxa"/>
            <w:vAlign w:val="bottom"/>
            <w:gridSpan w:val="2"/>
          </w:tcPr>
          <w:p>
            <w:pPr>
              <w:jc w:val="right"/>
              <w:ind w:right="732"/>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482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New contingent consideration</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Change in fair value of contingent consideration - included in operating profit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r>
      <w:tr>
        <w:trPr>
          <w:trHeight w:val="16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Reduction of unrealized losses - included in AOCI</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2"/>
        </w:trPr>
        <w:tc>
          <w:tcPr>
            <w:tcW w:w="8720" w:type="dxa"/>
            <w:vAlign w:val="bottom"/>
          </w:tcPr>
          <w:p>
            <w:pPr>
              <w:spacing w:after="0"/>
              <w:rPr>
                <w:sz w:val="20"/>
                <w:szCs w:val="20"/>
                <w:color w:val="auto"/>
              </w:rPr>
            </w:pPr>
            <w:r>
              <w:rPr>
                <w:rFonts w:ascii="Arial" w:cs="Arial" w:eastAsia="Arial" w:hAnsi="Arial"/>
                <w:sz w:val="14"/>
                <w:szCs w:val="14"/>
                <w:color w:val="auto"/>
              </w:rPr>
              <w:t>Redemptions at par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Ending Balance, September 30, 2009</w:t>
            </w:r>
          </w:p>
        </w:tc>
        <w:tc>
          <w:tcPr>
            <w:tcW w:w="980" w:type="dxa"/>
            <w:vAlign w:val="bottom"/>
            <w:gridSpan w:val="2"/>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34" w:lineRule="exact"/>
        <w:rPr>
          <w:sz w:val="20"/>
          <w:szCs w:val="20"/>
          <w:color w:val="auto"/>
        </w:rPr>
      </w:pPr>
    </w:p>
    <w:p>
      <w:pPr>
        <w:ind w:left="400" w:hanging="365"/>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Post-employment benefit plans</w:t>
      </w:r>
      <w:r>
        <w:rPr>
          <w:rFonts w:ascii="Arial" w:cs="Arial" w:eastAsia="Arial" w:hAnsi="Arial"/>
          <w:sz w:val="14"/>
          <w:szCs w:val="14"/>
          <w:color w:val="auto"/>
        </w:rPr>
        <w:t>. Components of net periodic employee benefit cost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Non-U.S.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7"/>
              </w:rPr>
              <w:t>Defined Benefit</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Retiree Health Care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Defined Benefit</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For three months ended September 30,</w:t>
            </w:r>
          </w:p>
        </w:tc>
        <w:tc>
          <w:tcPr>
            <w:tcW w:w="5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5</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CCEEFF"/>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Interest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12</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w:t>
            </w: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7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16</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(11)</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(7)</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w:t>
            </w:r>
          </w:p>
        </w:tc>
        <w:tc>
          <w:tcPr>
            <w:tcW w:w="7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(18)</w:t>
            </w: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r>
      <w:tr>
        <w:trPr>
          <w:trHeight w:val="1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5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Arial" w:cs="Arial" w:eastAsia="Arial" w:hAnsi="Arial"/>
                <w:sz w:val="14"/>
                <w:szCs w:val="14"/>
                <w:color w:val="auto"/>
              </w:rPr>
              <w:t>Net periodic benefit cost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11</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w:t>
            </w:r>
          </w:p>
        </w:tc>
        <w:tc>
          <w:tcPr>
            <w:tcW w:w="820" w:type="dxa"/>
            <w:vAlign w:val="bottom"/>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r>
      <w:tr>
        <w:trPr>
          <w:trHeight w:val="162"/>
        </w:trPr>
        <w:tc>
          <w:tcPr>
            <w:tcW w:w="2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Arial" w:cs="Arial" w:eastAsia="Arial" w:hAnsi="Arial"/>
                <w:sz w:val="14"/>
                <w:szCs w:val="14"/>
                <w:color w:val="auto"/>
              </w:rPr>
              <w:t>Settlement charges</w:t>
            </w: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including charges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12</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w:t>
            </w:r>
          </w:p>
        </w:tc>
        <w:tc>
          <w:tcPr>
            <w:tcW w:w="820" w:type="dxa"/>
            <w:vAlign w:val="bottom"/>
            <w:shd w:val="clear" w:color="auto" w:fill="CCEEFF"/>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20</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r>
      <w:tr>
        <w:trPr>
          <w:trHeight w:val="163"/>
        </w:trPr>
        <w:tc>
          <w:tcPr>
            <w:tcW w:w="28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2"/>
        </w:trPr>
        <w:tc>
          <w:tcPr>
            <w:tcW w:w="2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0"/>
        </w:trPr>
        <w:tc>
          <w:tcPr>
            <w:tcW w:w="2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jc w:val="center"/>
              <w:spacing w:after="0" w:line="150" w:lineRule="exact"/>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gridSpan w:val="3"/>
          </w:tcPr>
          <w:p>
            <w:pPr>
              <w:jc w:val="center"/>
              <w:spacing w:after="0" w:line="150" w:lineRule="exact"/>
              <w:rPr>
                <w:sz w:val="20"/>
                <w:szCs w:val="20"/>
                <w:color w:val="auto"/>
              </w:rPr>
            </w:pPr>
            <w:r>
              <w:rPr>
                <w:rFonts w:ascii="Arial" w:cs="Arial" w:eastAsia="Arial" w:hAnsi="Arial"/>
                <w:sz w:val="14"/>
                <w:szCs w:val="14"/>
                <w:b w:val="1"/>
                <w:bCs w:val="1"/>
                <w:color w:val="auto"/>
                <w:w w:val="91"/>
              </w:rPr>
              <w:t>Non-U.S.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7"/>
              </w:rPr>
              <w:t>Defined Benefit</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Retiree Health Care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Defined Benefit</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For nine months ended September 30,</w:t>
            </w:r>
          </w:p>
        </w:tc>
        <w:tc>
          <w:tcPr>
            <w:tcW w:w="5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2"/>
        </w:trPr>
        <w:tc>
          <w:tcPr>
            <w:tcW w:w="280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36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15</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w:t>
            </w:r>
          </w:p>
        </w:tc>
        <w:tc>
          <w:tcPr>
            <w:tcW w:w="820" w:type="dxa"/>
            <w:vAlign w:val="bottom"/>
            <w:shd w:val="clear" w:color="auto" w:fill="CCEEFF"/>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Interest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37</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20</w:t>
            </w:r>
          </w:p>
        </w:tc>
        <w:tc>
          <w:tcPr>
            <w:tcW w:w="7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46</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(36)</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(21)</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w:t>
            </w:r>
          </w:p>
        </w:tc>
        <w:tc>
          <w:tcPr>
            <w:tcW w:w="7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(51)</w:t>
            </w: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w:t>
            </w:r>
          </w:p>
        </w:tc>
        <w:tc>
          <w:tcPr>
            <w:tcW w:w="3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1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5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Arial" w:cs="Arial" w:eastAsia="Arial" w:hAnsi="Arial"/>
                <w:sz w:val="14"/>
                <w:szCs w:val="14"/>
                <w:color w:val="auto"/>
              </w:rPr>
              <w:t>Net periodic benefit cost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30</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34</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w:t>
            </w:r>
          </w:p>
        </w:tc>
        <w:tc>
          <w:tcPr>
            <w:tcW w:w="820" w:type="dxa"/>
            <w:vAlign w:val="bottom"/>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760" w:type="dxa"/>
            <w:vAlign w:val="bottom"/>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47</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Settlement charges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8</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Curtailment charges (gains)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(10)</w:t>
            </w: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Arial" w:cs="Arial" w:eastAsia="Arial" w:hAnsi="Arial"/>
                <w:sz w:val="14"/>
                <w:szCs w:val="14"/>
                <w:color w:val="auto"/>
              </w:rPr>
              <w:t>Special termination benefit charges</w:t>
            </w: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8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including charges and (gains)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44</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w:t>
            </w:r>
          </w:p>
        </w:tc>
        <w:tc>
          <w:tcPr>
            <w:tcW w:w="820" w:type="dxa"/>
            <w:vAlign w:val="bottom"/>
            <w:shd w:val="clear" w:color="auto" w:fill="CCEEFF"/>
          </w:tcPr>
          <w:p>
            <w:pPr>
              <w:jc w:val="right"/>
              <w:ind w:right="70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43</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made contributions of $102 million to our post-employment benefit plans in 2009.</w:t>
      </w:r>
    </w:p>
    <w:p>
      <w:pPr>
        <w:spacing w:after="0" w:line="367" w:lineRule="exact"/>
        <w:rPr>
          <w:sz w:val="20"/>
          <w:szCs w:val="20"/>
          <w:color w:val="auto"/>
        </w:rPr>
      </w:pPr>
    </w:p>
    <w:p>
      <w:pPr>
        <w:ind w:left="420" w:right="120" w:hanging="375"/>
        <w:spacing w:after="0" w:line="259"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Contingencies</w:t>
      </w:r>
      <w:r>
        <w:rPr>
          <w:rFonts w:ascii="Arial" w:cs="Arial" w:eastAsia="Arial" w:hAnsi="Arial"/>
          <w:sz w:val="14"/>
          <w:szCs w:val="14"/>
          <w:color w:val="auto"/>
        </w:rPr>
        <w:t>. We routinely sell products with a limited intellectual property indemnification included in the terms of sale. Historically, we have had only minimal and infrequent losses associated with these indemnities. Consequently, we cannot reasonably estimate or accrue for any future liabilities that may result.</w:t>
      </w:r>
    </w:p>
    <w:p>
      <w:pPr>
        <w:spacing w:after="0" w:line="140" w:lineRule="exact"/>
        <w:rPr>
          <w:sz w:val="20"/>
          <w:szCs w:val="20"/>
          <w:color w:val="auto"/>
        </w:rPr>
      </w:pPr>
    </w:p>
    <w:p>
      <w:pPr>
        <w:ind w:left="360" w:right="220"/>
        <w:spacing w:after="0" w:line="297" w:lineRule="auto"/>
        <w:rPr>
          <w:sz w:val="20"/>
          <w:szCs w:val="20"/>
          <w:color w:val="auto"/>
        </w:rPr>
      </w:pPr>
      <w:r>
        <w:rPr>
          <w:rFonts w:ascii="Arial" w:cs="Arial" w:eastAsia="Arial" w:hAnsi="Arial"/>
          <w:sz w:val="12"/>
          <w:szCs w:val="12"/>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141" w:lineRule="exact"/>
        <w:rPr>
          <w:sz w:val="20"/>
          <w:szCs w:val="20"/>
          <w:color w:val="auto"/>
        </w:rPr>
      </w:pPr>
    </w:p>
    <w:p>
      <w:pPr>
        <w:ind w:left="360" w:right="280"/>
        <w:spacing w:after="0" w:line="259" w:lineRule="auto"/>
        <w:rPr>
          <w:sz w:val="20"/>
          <w:szCs w:val="20"/>
          <w:color w:val="auto"/>
        </w:rPr>
      </w:pPr>
      <w:r>
        <w:rPr>
          <w:rFonts w:ascii="Arial" w:cs="Arial" w:eastAsia="Arial" w:hAnsi="Arial"/>
          <w:sz w:val="14"/>
          <w:szCs w:val="14"/>
          <w:color w:val="auto"/>
        </w:rPr>
        <w:t>We are subject to various other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60" w:lineRule="exact"/>
        <w:rPr>
          <w:sz w:val="20"/>
          <w:szCs w:val="20"/>
          <w:color w:val="auto"/>
        </w:rPr>
      </w:pPr>
    </w:p>
    <w:p>
      <w:pPr>
        <w:ind w:left="360" w:right="80"/>
        <w:spacing w:after="0" w:line="312" w:lineRule="auto"/>
        <w:rPr>
          <w:sz w:val="20"/>
          <w:szCs w:val="20"/>
          <w:color w:val="auto"/>
        </w:rPr>
      </w:pPr>
      <w:r>
        <w:rPr>
          <w:rFonts w:ascii="Arial" w:cs="Arial" w:eastAsia="Arial" w:hAnsi="Arial"/>
          <w:sz w:val="12"/>
          <w:szCs w:val="12"/>
          <w:i w:val="1"/>
          <w:iCs w:val="1"/>
          <w:color w:val="auto"/>
        </w:rPr>
        <w:t xml:space="preserve">Discontinued Operations Indemnity – </w:t>
      </w:r>
      <w:r>
        <w:rPr>
          <w:rFonts w:ascii="Arial" w:cs="Arial" w:eastAsia="Arial" w:hAnsi="Arial"/>
          <w:sz w:val="12"/>
          <w:szCs w:val="12"/>
          <w:color w:val="auto"/>
        </w:rPr>
        <w:t>In connection with the sale of the former Sensors &amp; Controls business to an affiliate of Bain Capital, LLC in 2006, we have agreed to indemnify the former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renamed Sensata 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ind w:left="40"/>
              <w:spacing w:after="0"/>
              <w:rPr>
                <w:sz w:val="20"/>
                <w:szCs w:val="20"/>
                <w:color w:val="auto"/>
              </w:rPr>
            </w:pPr>
            <w:r>
              <w:rPr>
                <w:rFonts w:ascii="Arial" w:cs="Arial" w:eastAsia="Arial" w:hAnsi="Arial"/>
                <w:sz w:val="14"/>
                <w:szCs w:val="14"/>
                <w:color w:val="auto"/>
              </w:rPr>
              <w:t>8.</w:t>
            </w:r>
          </w:p>
        </w:tc>
        <w:tc>
          <w:tcPr>
            <w:tcW w:w="5680" w:type="dxa"/>
            <w:vAlign w:val="bottom"/>
            <w:gridSpan w:val="2"/>
          </w:tcPr>
          <w:p>
            <w:pPr>
              <w:spacing w:after="0"/>
              <w:rPr>
                <w:sz w:val="20"/>
                <w:szCs w:val="20"/>
                <w:color w:val="auto"/>
              </w:rPr>
            </w:pPr>
            <w:r>
              <w:rPr>
                <w:rFonts w:ascii="Arial" w:cs="Arial" w:eastAsia="Arial" w:hAnsi="Arial"/>
                <w:sz w:val="14"/>
                <w:szCs w:val="14"/>
                <w:color w:val="auto"/>
              </w:rPr>
              <w:t>Segment data.</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0"/>
        </w:trPr>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200" w:type="dxa"/>
            <w:vAlign w:val="bottom"/>
            <w:gridSpan w:val="4"/>
            <w:shd w:val="clear" w:color="auto" w:fill="CCEEFF"/>
          </w:tcPr>
          <w:p>
            <w:pPr>
              <w:jc w:val="right"/>
              <w:ind w:right="112"/>
              <w:spacing w:after="0" w:line="150" w:lineRule="exact"/>
              <w:rPr>
                <w:sz w:val="20"/>
                <w:szCs w:val="20"/>
                <w:color w:val="auto"/>
              </w:rPr>
            </w:pPr>
            <w:r>
              <w:rPr>
                <w:rFonts w:ascii="Arial" w:cs="Arial" w:eastAsia="Arial" w:hAnsi="Arial"/>
                <w:sz w:val="14"/>
                <w:szCs w:val="14"/>
                <w:b w:val="1"/>
                <w:bCs w:val="1"/>
                <w:color w:val="auto"/>
              </w:rPr>
              <w:t>For Three Months Ended</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340" w:type="dxa"/>
            <w:vAlign w:val="bottom"/>
            <w:gridSpan w:val="5"/>
            <w:shd w:val="clear" w:color="auto" w:fill="CCEEFF"/>
          </w:tcPr>
          <w:p>
            <w:pPr>
              <w:ind w:left="340"/>
              <w:spacing w:after="0" w:line="150" w:lineRule="exact"/>
              <w:rPr>
                <w:sz w:val="20"/>
                <w:szCs w:val="20"/>
                <w:color w:val="auto"/>
              </w:rPr>
            </w:pPr>
            <w:r>
              <w:rPr>
                <w:rFonts w:ascii="Arial" w:cs="Arial" w:eastAsia="Arial" w:hAnsi="Arial"/>
                <w:sz w:val="14"/>
                <w:szCs w:val="14"/>
                <w:b w:val="1"/>
                <w:bCs w:val="1"/>
                <w:color w:val="auto"/>
              </w:rPr>
              <w:t>For Nine Months Ended</w:t>
            </w:r>
          </w:p>
        </w:tc>
      </w:tr>
      <w:tr>
        <w:trPr>
          <w:trHeight w:val="175"/>
        </w:trPr>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3"/>
            <w:shd w:val="clear" w:color="auto" w:fill="CCEEFF"/>
          </w:tcPr>
          <w:p>
            <w:pPr>
              <w:jc w:val="right"/>
              <w:ind w:right="432"/>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r>
      <w:tr>
        <w:trPr>
          <w:trHeight w:val="163"/>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r>
      <w:tr>
        <w:trPr>
          <w:trHeight w:val="162"/>
        </w:trPr>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Revenue</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87"/>
              </w:rPr>
              <w:t>Analog</w:t>
            </w:r>
          </w:p>
        </w:tc>
        <w:tc>
          <w:tcPr>
            <w:tcW w:w="74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1,184</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1,289</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2,981</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w:t>
            </w:r>
          </w:p>
        </w:tc>
        <w:tc>
          <w:tcPr>
            <w:tcW w:w="100" w:type="dxa"/>
            <w:vAlign w:val="bottom"/>
            <w:shd w:val="clear" w:color="auto" w:fill="CCEEFF"/>
          </w:tcPr>
          <w:p>
            <w:pPr>
              <w:spacing w:after="0"/>
              <w:rPr>
                <w:sz w:val="14"/>
                <w:szCs w:val="14"/>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Embedded Processing</w:t>
            </w: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393</w:t>
            </w:r>
          </w:p>
        </w:tc>
        <w:tc>
          <w:tcPr>
            <w:tcW w:w="8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427</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1,059</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14"/>
                <w:szCs w:val="14"/>
                <w:color w:val="auto"/>
              </w:rPr>
            </w:pPr>
          </w:p>
        </w:tc>
      </w:tr>
      <w:tr>
        <w:trPr>
          <w:trHeight w:val="162"/>
        </w:trPr>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Wireless</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675</w:t>
            </w:r>
          </w:p>
        </w:tc>
        <w:tc>
          <w:tcPr>
            <w:tcW w:w="8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915</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1,827</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4"/>
                <w:szCs w:val="14"/>
                <w:color w:val="auto"/>
              </w:rPr>
            </w:pPr>
          </w:p>
        </w:tc>
      </w:tr>
      <w:tr>
        <w:trPr>
          <w:trHeight w:val="163"/>
        </w:trPr>
        <w:tc>
          <w:tcPr>
            <w:tcW w:w="40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628</w:t>
            </w:r>
          </w:p>
        </w:tc>
        <w:tc>
          <w:tcPr>
            <w:tcW w:w="8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756</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1,555</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14"/>
                <w:szCs w:val="14"/>
                <w:color w:val="auto"/>
              </w:rPr>
            </w:pPr>
          </w:p>
        </w:tc>
      </w:tr>
      <w:tr>
        <w:trPr>
          <w:trHeight w:val="202"/>
        </w:trPr>
        <w:tc>
          <w:tcPr>
            <w:tcW w:w="6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revenue</w:t>
            </w:r>
          </w:p>
        </w:tc>
        <w:tc>
          <w:tcPr>
            <w:tcW w:w="82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2,880</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3,387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7,422</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Operating Profit</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87"/>
              </w:rPr>
              <w:t>Analog</w:t>
            </w:r>
          </w:p>
        </w:tc>
        <w:tc>
          <w:tcPr>
            <w:tcW w:w="74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306</w:t>
            </w: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367</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w:t>
            </w: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Embedded Processing</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270</w:t>
            </w:r>
          </w:p>
        </w:tc>
      </w:tr>
      <w:tr>
        <w:trPr>
          <w:trHeight w:val="162"/>
        </w:trPr>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Wireless</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110</w:t>
            </w:r>
          </w:p>
        </w:tc>
        <w:tc>
          <w:tcPr>
            <w:tcW w:w="8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155</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w:t>
            </w: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272</w:t>
            </w:r>
          </w:p>
        </w:tc>
        <w:tc>
          <w:tcPr>
            <w:tcW w:w="8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244</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490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711</w:t>
            </w:r>
          </w:p>
        </w:tc>
      </w:tr>
      <w:tr>
        <w:trPr>
          <w:trHeight w:val="20"/>
        </w:trPr>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operating profit</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763</w:t>
            </w: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746</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1,116</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5"/>
                <w:szCs w:val="15"/>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60"/>
          </w:cols>
          <w:pgMar w:left="220" w:top="129" w:right="219" w:bottom="0" w:gutter="0" w:footer="0" w:header="0"/>
        </w:sectPr>
      </w:pPr>
    </w:p>
    <w:bookmarkStart w:id="9" w:name="page10"/>
    <w:bookmarkEnd w:id="9"/>
    <w:p>
      <w:pPr>
        <w:ind w:left="359" w:right="20" w:firstLine="135"/>
        <w:spacing w:after="0" w:line="259" w:lineRule="auto"/>
        <w:rPr>
          <w:sz w:val="20"/>
          <w:szCs w:val="20"/>
          <w:color w:val="auto"/>
        </w:rPr>
      </w:pPr>
      <w:r>
        <w:rPr>
          <w:rFonts w:ascii="Arial" w:cs="Arial" w:eastAsia="Arial" w:hAnsi="Arial"/>
          <w:sz w:val="14"/>
          <w:szCs w:val="14"/>
          <w:color w:val="auto"/>
        </w:rPr>
        <w:t>See Note 2 for restructuring charges impacting segment results for the three months and nine months ended September 30, 2009. There were no restructuring charges impacting segment results for the periods ended September 30, 2008.</w:t>
      </w:r>
    </w:p>
    <w:p>
      <w:pPr>
        <w:spacing w:after="0" w:line="160" w:lineRule="exact"/>
        <w:rPr>
          <w:sz w:val="20"/>
          <w:szCs w:val="20"/>
          <w:color w:val="auto"/>
        </w:rPr>
      </w:pPr>
    </w:p>
    <w:p>
      <w:pPr>
        <w:ind w:left="419" w:hanging="419"/>
        <w:spacing w:after="0"/>
        <w:tabs>
          <w:tab w:leader="none" w:pos="419"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Subsequent Events</w:t>
      </w:r>
      <w:r>
        <w:rPr>
          <w:rFonts w:ascii="Arial" w:cs="Arial" w:eastAsia="Arial" w:hAnsi="Arial"/>
          <w:sz w:val="14"/>
          <w:szCs w:val="14"/>
          <w:color w:val="auto"/>
        </w:rPr>
        <w:t>. We have evaluated subsequent events through the issuance of these financial statements which occurred on October 30, 2009.</w:t>
      </w:r>
    </w:p>
    <w:p>
      <w:pPr>
        <w:spacing w:after="0" w:line="164" w:lineRule="exact"/>
        <w:rPr>
          <w:sz w:val="20"/>
          <w:szCs w:val="20"/>
          <w:color w:val="auto"/>
        </w:rPr>
      </w:pPr>
    </w:p>
    <w:p>
      <w:pPr>
        <w:jc w:val="both"/>
        <w:ind w:left="359" w:firstLine="135"/>
        <w:spacing w:after="0" w:line="250" w:lineRule="auto"/>
        <w:rPr>
          <w:sz w:val="20"/>
          <w:szCs w:val="20"/>
          <w:color w:val="auto"/>
        </w:rPr>
      </w:pPr>
      <w:r>
        <w:rPr>
          <w:rFonts w:ascii="Arial" w:cs="Arial" w:eastAsia="Arial" w:hAnsi="Arial"/>
          <w:sz w:val="14"/>
          <w:szCs w:val="14"/>
          <w:color w:val="auto"/>
        </w:rPr>
        <w:t>In October 2009, we purchased semiconductor manufacturing equipment from the bankruptcy proceedings of a U.S. subsidiary of German chipmaker Qimonda AG for $172.5 million. The majority of this equipment will be used in our newly opened manufacturing facility in Richardson, Texas. This facility will be the world's first production facility to use 300-millimeter silicon wafers to manufacture analog chips.</w:t>
      </w:r>
    </w:p>
    <w:p>
      <w:pPr>
        <w:spacing w:after="0" w:line="167" w:lineRule="exact"/>
        <w:rPr>
          <w:sz w:val="20"/>
          <w:szCs w:val="20"/>
          <w:color w:val="auto"/>
        </w:rPr>
      </w:pPr>
    </w:p>
    <w:p>
      <w:pPr>
        <w:ind w:left="359" w:right="140" w:firstLine="135"/>
        <w:spacing w:after="0" w:line="259" w:lineRule="auto"/>
        <w:rPr>
          <w:sz w:val="20"/>
          <w:szCs w:val="20"/>
          <w:color w:val="auto"/>
        </w:rPr>
      </w:pPr>
      <w:r>
        <w:rPr>
          <w:rFonts w:ascii="Arial" w:cs="Arial" w:eastAsia="Arial" w:hAnsi="Arial"/>
          <w:sz w:val="14"/>
          <w:szCs w:val="14"/>
          <w:color w:val="auto"/>
        </w:rPr>
        <w:t>On October 15, 2009, we declared a $0.12 quarterly dividend on common stock payable November 16, 2009, to shareholders of record on October 30, 2009, which represents a nine percent increase from our prior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728726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39"/>
          </w:cols>
          <w:pgMar w:left="221" w:top="29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6"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color w:val="auto"/>
        </w:rPr>
        <w:t>The following should be read in conjunction with the Financial Statements and the related Notes that appear in Item 1. All dollar amounts in the tables in this discussion are stated in millions of U.S. dollars, except per-share amounts.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ind w:right="20"/>
        <w:spacing w:after="0" w:line="312" w:lineRule="auto"/>
        <w:rPr>
          <w:sz w:val="20"/>
          <w:szCs w:val="20"/>
          <w:color w:val="auto"/>
        </w:rPr>
      </w:pPr>
      <w:r>
        <w:rPr>
          <w:rFonts w:ascii="Arial" w:cs="Arial" w:eastAsia="Arial" w:hAnsi="Arial"/>
          <w:sz w:val="12"/>
          <w:szCs w:val="12"/>
          <w:color w:val="auto"/>
        </w:rPr>
        <w:t>At Texas Instruments, we design and make semiconductors that we sell to electronics designers and manufacturers all over the world. We began operations in 1930 and are incorporated in Delaware. We 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were the world’s fourth largest semiconductor company in 2008 as measured by revenue, according to an external source. Additionally, we sell calculators and related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 information</w:t>
      </w:r>
    </w:p>
    <w:p>
      <w:pPr>
        <w:spacing w:after="0" w:line="184"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169"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We sell two general categories of semiconductor products: custom and standard.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proprietary and commodity products.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Additional information regarding each segment’s products follows.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Analog</w:t>
      </w:r>
    </w:p>
    <w:p>
      <w:pPr>
        <w:spacing w:after="0" w:line="184" w:lineRule="exact"/>
        <w:rPr>
          <w:sz w:val="20"/>
          <w:szCs w:val="20"/>
          <w:color w:val="auto"/>
        </w:rPr>
      </w:pPr>
    </w:p>
    <w:p>
      <w:pPr>
        <w:ind w:right="20"/>
        <w:spacing w:after="0" w:line="302" w:lineRule="auto"/>
        <w:rPr>
          <w:sz w:val="20"/>
          <w:szCs w:val="20"/>
          <w:color w:val="auto"/>
        </w:rPr>
      </w:pPr>
      <w:r>
        <w:rPr>
          <w:rFonts w:ascii="Arial" w:cs="Arial" w:eastAsia="Arial" w:hAnsi="Arial"/>
          <w:sz w:val="12"/>
          <w:szCs w:val="12"/>
          <w:color w:val="auto"/>
        </w:rPr>
        <w:t>Analog semiconductors change real-world signals – such as sound, temperature, pressure or images – by conditioning them, amplifying them and often converting them to a stream of digital data so the signals can be processed by other semiconductors, such as digital signal processors (DSPs). Analog semiconductors are also used to manage power distribution and consumption. Sales from our Analog segment accounted for about 40 percent of our revenue in 2008. According to WSTS, an industry data-gathering organization, the worldwide market for analog semiconductors was about $36 billion in 2008. Our Analog segment’s revenue in 2008 was $4.9 billion, or about 14 percent of this market, giving us the leading position. We believe that we are well positioned to increase our share over time.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Our Analog product lines are: high-performance analog, high-volume analog &amp; logic and power management.</w:t>
      </w:r>
    </w:p>
    <w:p>
      <w:pPr>
        <w:spacing w:after="0" w:line="184"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High-performance analog products: These include standard analog semiconductors, such as amplifiers, data converters, low-power radio frequency devices and interface semiconductors (our standard analog portfolio includes more than 15,000 products), that we market to many different customers (nearly 80,000) who use them in a wide range of products across the industrial, communications, computing and consumer markets. High-performance analog products generally have long life cycles, often 10 to 20 years.</w:t>
      </w:r>
    </w:p>
    <w:p>
      <w:pPr>
        <w:spacing w:after="0" w:line="167" w:lineRule="exact"/>
        <w:rPr>
          <w:sz w:val="20"/>
          <w:szCs w:val="20"/>
          <w:color w:val="auto"/>
        </w:rPr>
      </w:pPr>
    </w:p>
    <w:p>
      <w:pPr>
        <w:ind w:right="220"/>
        <w:spacing w:after="0" w:line="312" w:lineRule="auto"/>
        <w:rPr>
          <w:sz w:val="20"/>
          <w:szCs w:val="20"/>
          <w:color w:val="auto"/>
        </w:rPr>
      </w:pPr>
      <w:r>
        <w:rPr>
          <w:rFonts w:ascii="Arial" w:cs="Arial" w:eastAsia="Arial" w:hAnsi="Arial"/>
          <w:sz w:val="12"/>
          <w:szCs w:val="12"/>
          <w:color w:val="auto"/>
        </w:rPr>
        <w:t>High-volume analog &amp; logic products: These include two product types. The first, high-volume analog, includes products for specific applications, including custom products for specific customers. The life cycles of our high-volume analog products are generally shorter than those of our high-performance analog products. End markets for high-volume analog products include communications, automotive, computing and many consumer electronics products. The second product type, standard linear and logic, includes commodity products marketed to many different customers for many different applications.</w:t>
      </w:r>
    </w:p>
    <w:p>
      <w:pPr>
        <w:spacing w:after="0" w:line="132" w:lineRule="exact"/>
        <w:rPr>
          <w:sz w:val="20"/>
          <w:szCs w:val="20"/>
          <w:color w:val="auto"/>
        </w:rPr>
      </w:pPr>
    </w:p>
    <w:p>
      <w:pPr>
        <w:ind w:right="360"/>
        <w:spacing w:after="0" w:line="312" w:lineRule="auto"/>
        <w:rPr>
          <w:sz w:val="20"/>
          <w:szCs w:val="20"/>
          <w:color w:val="auto"/>
        </w:rPr>
      </w:pPr>
      <w:r>
        <w:rPr>
          <w:rFonts w:ascii="Arial" w:cs="Arial" w:eastAsia="Arial" w:hAnsi="Arial"/>
          <w:sz w:val="12"/>
          <w:szCs w:val="12"/>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Embedded Processing</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accounted for about 15 percent of our revenue in 2008. The worldwide market for embedded processors was about $17 billion in 2008. According to external sources, we have about 10 percent market share in this fragmented market, and we believe we are well positioned to increase our share over time.</w:t>
      </w:r>
    </w:p>
    <w:p>
      <w:pPr>
        <w:spacing w:after="0" w:line="169" w:lineRule="exact"/>
        <w:rPr>
          <w:sz w:val="20"/>
          <w:szCs w:val="20"/>
          <w:color w:val="auto"/>
        </w:rPr>
      </w:pPr>
    </w:p>
    <w:p>
      <w:pPr>
        <w:ind w:right="20"/>
        <w:spacing w:after="0" w:line="312" w:lineRule="auto"/>
        <w:rPr>
          <w:sz w:val="20"/>
          <w:szCs w:val="20"/>
          <w:color w:val="auto"/>
        </w:rPr>
      </w:pPr>
      <w:r>
        <w:rPr>
          <w:rFonts w:ascii="Arial" w:cs="Arial" w:eastAsia="Arial" w:hAnsi="Arial"/>
          <w:sz w:val="12"/>
          <w:szCs w:val="12"/>
          <w:color w:val="auto"/>
        </w:rPr>
        <w:t>An important characteristic of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Wireless</w:t>
      </w:r>
    </w:p>
    <w:p>
      <w:pPr>
        <w:spacing w:after="0" w:line="18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Cell phones require a modem or “baseband” to connect to the wireless carrier’s network. Many of today’s advanced cell phones also require an applications processor to run the phone’s software and services, and semiconductors to enable connectivity to Bluetooth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devices, WiFi networks or GPS location services. We design, make and sell products to satisfy each of these requirements. Wireless products are typically sold in high volumes and our Wireless portfolio includes both standard products and custom products. Sales of Wireless products accounted for about 25 percent of our revenue in 2008, and a significant portion of our Wireless sales were to a single customer.</w:t>
      </w:r>
    </w:p>
    <w:p>
      <w:pPr>
        <w:spacing w:after="0" w:line="17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wireless communications have proliferated, consumers have demanded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grow as handset manufacturers seek to differentiate their products by providing software and a unique user experience. Our OMAP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product line has a leading position in the applications processor market and is used by most of the top handset manufacturers.</w:t>
      </w:r>
    </w:p>
    <w:p>
      <w:pPr>
        <w:spacing w:after="0" w:line="73" w:lineRule="exact"/>
        <w:rPr>
          <w:sz w:val="20"/>
          <w:szCs w:val="20"/>
          <w:color w:val="auto"/>
        </w:rPr>
      </w:pPr>
    </w:p>
    <w:p>
      <w:pPr>
        <w:ind w:right="20"/>
        <w:spacing w:after="0" w:line="312" w:lineRule="auto"/>
        <w:rPr>
          <w:sz w:val="20"/>
          <w:szCs w:val="20"/>
          <w:color w:val="auto"/>
        </w:rPr>
      </w:pPr>
      <w:r>
        <w:rPr>
          <w:rFonts w:ascii="Arial" w:cs="Arial" w:eastAsia="Arial" w:hAnsi="Arial"/>
          <w:sz w:val="12"/>
          <w:szCs w:val="12"/>
          <w:color w:val="auto"/>
        </w:rPr>
        <w:t>Our Wireless segment has been shifting focus from baseband chips, a market with shrinking competitive barriers and slowing growth rates, to applications processors, a market we expect will grow faster than the baseband market. Consistent with this shift in market focus, we are concentrating our Wireless investments on our applications processors and connectivity products and have discontinued further development of standard baseband products. While we continue to sell custom baseband products, we are also decreasing custom baseband investments and expect substantially all of this revenue to cease by the end of 2012.</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w:t>
      </w:r>
    </w:p>
    <w:p>
      <w:pPr>
        <w:spacing w:after="0" w:line="184"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Our Other segment includes revenue from smaller semiconductor product lines and handheld graphing and scientific calculators, and from royalties received for our patented technology that we license to other electronics companies. The semiconductor products in our Other segment include DLP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(primarily used to create high-definition images for business and home theater projectors, televisions and movie projectors), reduced-instruction set computing (RISC) microprocessors (designed to provide very fast computing and often implemented in servers) and custom semiconductors known as application-specific integrated circuits (ASICs). This segment accounted for about 20 percent of our revenue in 2008.</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Inventory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While our inventory practices differ by product, we generally maintain inventory levels that are consistent with our expectations of customer demand.</w:t>
      </w:r>
    </w:p>
    <w:p>
      <w:pPr>
        <w:spacing w:after="0" w:line="184" w:lineRule="exact"/>
        <w:rPr>
          <w:sz w:val="20"/>
          <w:szCs w:val="20"/>
          <w:color w:val="auto"/>
        </w:rPr>
      </w:pPr>
    </w:p>
    <w:p>
      <w:pPr>
        <w:ind w:right="460"/>
        <w:spacing w:after="0" w:line="342" w:lineRule="auto"/>
        <w:rPr>
          <w:sz w:val="20"/>
          <w:szCs w:val="20"/>
          <w:color w:val="auto"/>
        </w:rPr>
      </w:pPr>
      <w:r>
        <w:rPr>
          <w:rFonts w:ascii="Arial" w:cs="Arial" w:eastAsia="Arial" w:hAnsi="Arial"/>
          <w:sz w:val="12"/>
          <w:szCs w:val="12"/>
          <w:color w:val="auto"/>
        </w:rPr>
        <w:t>For custom semiconductor products, where the risk of obsolescence is higher, we carry lower levels of inventory when possible. These products have a single customer, are sold in high volumes and have comparatively shorter life cycles. Life cycles of these products are often determined by end-equipment upgrade cycles and can be as short as 12 to 24 months.</w:t>
      </w:r>
    </w:p>
    <w:p>
      <w:pPr>
        <w:spacing w:after="0" w:line="114" w:lineRule="exact"/>
        <w:rPr>
          <w:sz w:val="20"/>
          <w:szCs w:val="20"/>
          <w:color w:val="auto"/>
        </w:rPr>
      </w:pPr>
    </w:p>
    <w:p>
      <w:pPr>
        <w:ind w:right="20"/>
        <w:spacing w:after="0" w:line="342" w:lineRule="auto"/>
        <w:rPr>
          <w:sz w:val="20"/>
          <w:szCs w:val="20"/>
          <w:color w:val="auto"/>
        </w:rPr>
      </w:pPr>
      <w:r>
        <w:rPr>
          <w:rFonts w:ascii="Arial" w:cs="Arial" w:eastAsia="Arial" w:hAnsi="Arial"/>
          <w:sz w:val="12"/>
          <w:szCs w:val="12"/>
          <w:color w:val="auto"/>
        </w:rPr>
        <w:t>For standard semiconductor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w:t>
      </w:r>
    </w:p>
    <w:p>
      <w:pPr>
        <w:spacing w:after="0" w:line="114" w:lineRule="exact"/>
        <w:rPr>
          <w:sz w:val="20"/>
          <w:szCs w:val="20"/>
          <w:color w:val="auto"/>
        </w:rPr>
      </w:pPr>
    </w:p>
    <w:p>
      <w:pPr>
        <w:ind w:right="40"/>
        <w:spacing w:after="0" w:line="342" w:lineRule="auto"/>
        <w:rPr>
          <w:sz w:val="20"/>
          <w:szCs w:val="20"/>
          <w:color w:val="auto"/>
        </w:rPr>
      </w:pPr>
      <w:r>
        <w:rPr>
          <w:rFonts w:ascii="Arial" w:cs="Arial" w:eastAsia="Arial" w:hAnsi="Arial"/>
          <w:sz w:val="12"/>
          <w:szCs w:val="12"/>
          <w:color w:val="auto"/>
        </w:rPr>
        <w:t>As a result of the following multi-year trends, in general we expect to carry relatively higher levels of inventory (as measured in days of inventory) than in past years: standard products have become a larger part of our portfolio; we have increased consignment programs with our largest customers; and our distributors now carry relatively less inventory on average than in the past.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We manage calculator inventory consistent with expected seasonality.</w:t>
      </w:r>
    </w:p>
    <w:p>
      <w:pPr>
        <w:sectPr>
          <w:pgSz w:w="11900" w:h="16838" w:orient="portrait"/>
          <w:cols w:equalWidth="0" w:num="1">
            <w:col w:w="11460"/>
          </w:cols>
          <w:pgMar w:left="220" w:top="492" w:right="219" w:bottom="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auto"/>
        </w:rPr>
        <w:t>Manufacturing</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and can adversely affect our profit margins as a result. Conversely, as product demand rises and factory utilization increases, the fixed costs are spread over increased output, potentially benefiting our profit margins.</w:t>
      </w:r>
    </w:p>
    <w:p>
      <w:pPr>
        <w:spacing w:after="0" w:line="169"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Most of our Analog semiconductors require a lower level of capital investment in manufacturing and equipment than is needed for equivalent production levels of our Embedded Processing and Wireless semiconductors, which are manufactured using advanced logic wafer manufacturing equipment. While analog chips benefit from unique, proprietary wafer manufacturing processes, these processes can be applied using older, less expensive equipment. In addition, these processes and equipment remain usable for much longer than the manufacturing processes and equipment required for advanced logic wafer manufacturing.</w:t>
      </w:r>
    </w:p>
    <w:p>
      <w:pPr>
        <w:spacing w:after="0" w:line="169" w:lineRule="exact"/>
        <w:rPr>
          <w:sz w:val="20"/>
          <w:szCs w:val="20"/>
          <w:color w:val="auto"/>
        </w:rPr>
      </w:pPr>
    </w:p>
    <w:p>
      <w:pPr>
        <w:ind w:right="100"/>
        <w:spacing w:after="0" w:line="302" w:lineRule="auto"/>
        <w:rPr>
          <w:sz w:val="20"/>
          <w:szCs w:val="20"/>
          <w:color w:val="auto"/>
        </w:rPr>
      </w:pPr>
      <w:r>
        <w:rPr>
          <w:rFonts w:ascii="Arial" w:cs="Arial" w:eastAsia="Arial" w:hAnsi="Arial"/>
          <w:sz w:val="12"/>
          <w:szCs w:val="12"/>
          <w:color w:val="auto"/>
        </w:rPr>
        <w:t>To supplement our internal advanced logic wafer fabrication capacity, maximize our responsiveness to customer demand and minimize our overall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2008, external foundries provided about 50 percent of the fabricated wafers for our advanced logic manufacturing needs. We expect the proportion of our advanced logic wafers provided by foundries will increase over time. We expect to maintain sufficient internal wafer fabrication capacity to meet substantially all our analog production needs.</w:t>
      </w:r>
    </w:p>
    <w:p>
      <w:pPr>
        <w:spacing w:after="0" w:line="137"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in the event demand temporarily exceeds our internal capacity. We believe we often have a cost advantage in maintaining internal assembly/test capacity. Accordingly, we have recently opened an environmentally efficient assembly/test facility in the Philippines, and the facility is in the initial stages of production.</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 As our internal manufacturing efforts shift to a higher percentage of analog products, an increasing proportion of our capital expenditures is devoted to assembly/test facilities and equipment. This is primarily due to the lower capital needs of analog wafer manufacturing equipment.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 cycle</w:t>
      </w:r>
    </w:p>
    <w:p>
      <w:pPr>
        <w:spacing w:after="0" w:line="184"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global semiconductor market is characterized by constant, though generally incremental, advances in product designs and manufacturing methods. Chip prices and manufacturing costs tend to decline over time as manufacturing methods and product life cycles mature. Typically, new chips are produced in limited quantities at first and then ramp to high-volume production over time. Consequently, new products tend not to have a significant impact on revenue for one or more quarters after they are introduced. In the discussion below, changes in our shipments are caused by changing demand for our products unless otherwise noted.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cycle</w:t>
      </w:r>
    </w:p>
    <w:p>
      <w:pPr>
        <w:spacing w:after="0" w:line="184"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The “semiconductor cycle” is an important concept that refers to the ebb and flow of supply, with relatively stable demand.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Seasonality</w:t>
      </w:r>
    </w:p>
    <w:p>
      <w:pPr>
        <w:spacing w:after="0" w:line="18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Our revenue and operating results are subject to some seasonal variation. Sales of our semiconductor products are seasonally weaker in the first quarter than in other quarters, particularly for products sold into cell phones and consumer electronics applications that have stronger sales later in the year as manufacturers prepare for the holiday selling season. Calculator revenue is tied to the U.S. back-to-school season and, as a result, is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Tax considerations</w:t>
      </w:r>
    </w:p>
    <w:p>
      <w:pPr>
        <w:spacing w:after="0" w:line="184"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Third-quarter 2009 results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Our third-quarter revenue was $2.88 billion, net income was $538 million and earnings per share (EPS) were $0.42.</w:t>
      </w:r>
    </w:p>
    <w:p>
      <w:pPr>
        <w:spacing w:after="0" w:line="184" w:lineRule="exact"/>
        <w:rPr>
          <w:sz w:val="20"/>
          <w:szCs w:val="20"/>
          <w:color w:val="auto"/>
        </w:rPr>
      </w:pPr>
    </w:p>
    <w:p>
      <w:pPr>
        <w:jc w:val="both"/>
        <w:ind w:right="80"/>
        <w:spacing w:after="0" w:line="312" w:lineRule="auto"/>
        <w:rPr>
          <w:sz w:val="20"/>
          <w:szCs w:val="20"/>
          <w:color w:val="auto"/>
        </w:rPr>
      </w:pPr>
      <w:r>
        <w:rPr>
          <w:rFonts w:ascii="Arial" w:cs="Arial" w:eastAsia="Arial" w:hAnsi="Arial"/>
          <w:sz w:val="12"/>
          <w:szCs w:val="12"/>
          <w:color w:val="auto"/>
        </w:rPr>
        <w:t>Our performance in the quarter exceeded our expectations and was led by a second consecutive quarter of 20-percent growth in Analog. We are encouraged with the strong sequential increase in demand for our products over the past two quarters as our customers are winding down their inventory corrections and have begun to increase production levels in their factories. This revenue growth, combined with our early actions to pare costs so that we would not be dependent upon an uncertain rebound in the overall economy, has resulted in solid improvements in our profitability.</w:t>
      </w:r>
    </w:p>
    <w:p>
      <w:pPr>
        <w:spacing w:after="0" w:line="132" w:lineRule="exact"/>
        <w:rPr>
          <w:sz w:val="20"/>
          <w:szCs w:val="20"/>
          <w:color w:val="auto"/>
        </w:rPr>
      </w:pPr>
    </w:p>
    <w:p>
      <w:pPr>
        <w:ind w:right="100"/>
        <w:spacing w:after="0" w:line="312" w:lineRule="auto"/>
        <w:rPr>
          <w:sz w:val="20"/>
          <w:szCs w:val="20"/>
          <w:color w:val="auto"/>
        </w:rPr>
      </w:pPr>
      <w:r>
        <w:rPr>
          <w:rFonts w:ascii="Arial" w:cs="Arial" w:eastAsia="Arial" w:hAnsi="Arial"/>
          <w:sz w:val="12"/>
          <w:szCs w:val="12"/>
          <w:color w:val="auto"/>
        </w:rPr>
        <w:t>Our balance sheet is strong and has allowed us to opportunistically make investments in Analog and Embedded Processing throughout this downturn that should provide returns for years to come. For example, we are increasing our investments in manufacturing capacity to support higher levels of growth, including start-up of the world’s first facility to produce analog chips on 300-millimeter wafers. Applying advanced manufacturing technology to analog at an attractive cost will give us an opportunity to accelerate our strategy and extend our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8726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TEXAS INSTRUMENTS INCORPORATED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 except share and per-share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3"/>
              </w:rPr>
              <w:t>For Three Months Ended</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63"/>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0"/>
              </w:rPr>
              <w:t>Sept. 30, 2009</w:t>
            </w: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Sept. 30, 2008</w:t>
            </w:r>
          </w:p>
        </w:tc>
        <w:tc>
          <w:tcPr>
            <w:tcW w:w="14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June 30, 2009</w:t>
            </w:r>
          </w:p>
        </w:tc>
      </w:tr>
      <w:tr>
        <w:trPr>
          <w:trHeight w:val="162"/>
        </w:trPr>
        <w:tc>
          <w:tcPr>
            <w:tcW w:w="74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2,880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3,387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2,457</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1,399</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1,333</w:t>
            </w:r>
          </w:p>
        </w:tc>
      </w:tr>
      <w:tr>
        <w:trPr>
          <w:trHeight w:val="20"/>
        </w:trPr>
        <w:tc>
          <w:tcPr>
            <w:tcW w:w="7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4"/>
                <w:szCs w:val="14"/>
                <w:color w:val="auto"/>
              </w:rPr>
            </w:pP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1,481</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1,643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1,124</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 (R&amp;D)</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368</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369</w:t>
            </w: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Selling, general and administrative (SG&amp;A)</w:t>
            </w:r>
          </w:p>
        </w:tc>
        <w:tc>
          <w:tcPr>
            <w:tcW w:w="120" w:type="dxa"/>
            <w:vAlign w:val="bottom"/>
          </w:tcPr>
          <w:p>
            <w:pPr>
              <w:spacing w:after="0"/>
              <w:rPr>
                <w:sz w:val="14"/>
                <w:szCs w:val="14"/>
                <w:color w:val="auto"/>
              </w:rPr>
            </w:pP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340</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327</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Restructuring expense</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4"/>
                <w:szCs w:val="14"/>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14"/>
                <w:szCs w:val="14"/>
                <w:color w:val="auto"/>
              </w:rPr>
            </w:pP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763</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746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4"/>
                <w:szCs w:val="14"/>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4"/>
                <w:szCs w:val="14"/>
                <w:color w:val="auto"/>
              </w:rPr>
            </w:pP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765</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756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356</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227</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4"/>
                <w:szCs w:val="14"/>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538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563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Earnings per common share: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43"/>
        </w:trPr>
        <w:tc>
          <w:tcPr>
            <w:tcW w:w="7440" w:type="dxa"/>
            <w:vAlign w:val="bottom"/>
          </w:tcPr>
          <w:p>
            <w:pPr>
              <w:spacing w:after="0" w:line="143" w:lineRule="exact"/>
              <w:rPr>
                <w:sz w:val="20"/>
                <w:szCs w:val="20"/>
                <w:color w:val="auto"/>
              </w:rPr>
            </w:pPr>
            <w:r>
              <w:rPr>
                <w:rFonts w:ascii="Arial" w:cs="Arial" w:eastAsia="Arial" w:hAnsi="Arial"/>
                <w:sz w:val="14"/>
                <w:szCs w:val="14"/>
                <w:color w:val="auto"/>
              </w:rPr>
              <w:t>Diluted</w:t>
            </w:r>
          </w:p>
        </w:tc>
        <w:tc>
          <w:tcPr>
            <w:tcW w:w="1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192"/>
              <w:spacing w:after="0" w:line="143" w:lineRule="exact"/>
              <w:rPr>
                <w:sz w:val="20"/>
                <w:szCs w:val="20"/>
                <w:color w:val="auto"/>
              </w:rPr>
            </w:pPr>
            <w:r>
              <w:rPr>
                <w:rFonts w:ascii="Arial" w:cs="Arial" w:eastAsia="Arial" w:hAnsi="Arial"/>
                <w:sz w:val="14"/>
                <w:szCs w:val="14"/>
                <w:b w:val="1"/>
                <w:bCs w:val="1"/>
                <w:color w:val="auto"/>
              </w:rPr>
              <w:t>.42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.43</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.20</w:t>
            </w: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Average shares outstanding (millions):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1,255</w:t>
            </w: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1,304</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43"/>
        </w:trPr>
        <w:tc>
          <w:tcPr>
            <w:tcW w:w="7440" w:type="dxa"/>
            <w:vAlign w:val="bottom"/>
          </w:tcPr>
          <w:p>
            <w:pPr>
              <w:spacing w:after="0" w:line="14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1280" w:type="dxa"/>
            <w:vAlign w:val="bottom"/>
            <w:gridSpan w:val="2"/>
          </w:tcPr>
          <w:p>
            <w:pPr>
              <w:jc w:val="right"/>
              <w:ind w:right="192"/>
              <w:spacing w:after="0" w:line="143" w:lineRule="exact"/>
              <w:rPr>
                <w:sz w:val="20"/>
                <w:szCs w:val="20"/>
                <w:color w:val="auto"/>
              </w:rPr>
            </w:pPr>
            <w:r>
              <w:rPr>
                <w:rFonts w:ascii="Arial" w:cs="Arial" w:eastAsia="Arial" w:hAnsi="Arial"/>
                <w:sz w:val="14"/>
                <w:szCs w:val="14"/>
                <w:b w:val="1"/>
                <w:bCs w:val="1"/>
                <w:color w:val="auto"/>
              </w:rPr>
              <w:t>1,268</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1,315</w:t>
            </w:r>
          </w:p>
        </w:tc>
        <w:tc>
          <w:tcPr>
            <w:tcW w:w="140" w:type="dxa"/>
            <w:vAlign w:val="bottom"/>
          </w:tcPr>
          <w:p>
            <w:pPr>
              <w:spacing w:after="0"/>
              <w:rPr>
                <w:sz w:val="12"/>
                <w:szCs w:val="12"/>
                <w:color w:val="auto"/>
              </w:rPr>
            </w:pPr>
          </w:p>
        </w:tc>
        <w:tc>
          <w:tcPr>
            <w:tcW w:w="11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1,272</w:t>
            </w: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Cash dividends declared per share of common stock</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Percentage of revenue: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51.4%</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48.5%</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w:t>
            </w: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R&amp;D</w:t>
            </w:r>
          </w:p>
        </w:tc>
        <w:tc>
          <w:tcPr>
            <w:tcW w:w="120" w:type="dxa"/>
            <w:vAlign w:val="bottom"/>
          </w:tcPr>
          <w:p>
            <w:pPr>
              <w:spacing w:after="0"/>
              <w:rPr>
                <w:sz w:val="14"/>
                <w:szCs w:val="14"/>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15.0%</w:t>
            </w:r>
          </w:p>
        </w:tc>
      </w:tr>
      <w:tr>
        <w:trPr>
          <w:trHeight w:val="16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SG&amp;A</w:t>
            </w: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11.8%</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14"/>
                <w:szCs w:val="14"/>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26.5%</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14.0%</w:t>
            </w:r>
          </w:p>
        </w:tc>
      </w:tr>
      <w:tr>
        <w:trPr>
          <w:trHeight w:val="162"/>
        </w:trPr>
        <w:tc>
          <w:tcPr>
            <w:tcW w:w="7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rPr>
          <w:sz w:val="20"/>
          <w:szCs w:val="20"/>
          <w:color w:val="auto"/>
        </w:rPr>
      </w:pPr>
      <w:r>
        <w:rPr>
          <w:rFonts w:ascii="Arial" w:cs="Arial" w:eastAsia="Arial" w:hAnsi="Arial"/>
          <w:sz w:val="14"/>
          <w:szCs w:val="14"/>
          <w:u w:val="single" w:color="auto"/>
          <w:color w:val="auto"/>
        </w:rPr>
        <w:t>Details of Financial Results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Revenue for the third quarter of 2009 was $2.88 billion, a decrease of $507 million, or 15 percent, from the year-ago quarter as revenue declined across all segments, particularly in our Wireless segment. Revenue increased $423 million, or 17 percent, from the prior quarter due to growth in all segments, particularly in our Analog segment.</w:t>
      </w:r>
    </w:p>
    <w:p>
      <w:pPr>
        <w:spacing w:after="0" w:line="160" w:lineRule="exact"/>
        <w:rPr>
          <w:sz w:val="20"/>
          <w:szCs w:val="20"/>
          <w:color w:val="auto"/>
        </w:rPr>
      </w:pPr>
    </w:p>
    <w:p>
      <w:pPr>
        <w:ind w:right="320"/>
        <w:spacing w:after="0" w:line="342" w:lineRule="auto"/>
        <w:rPr>
          <w:sz w:val="20"/>
          <w:szCs w:val="20"/>
          <w:color w:val="auto"/>
        </w:rPr>
      </w:pPr>
      <w:r>
        <w:rPr>
          <w:rFonts w:ascii="Arial" w:cs="Arial" w:eastAsia="Arial" w:hAnsi="Arial"/>
          <w:sz w:val="12"/>
          <w:szCs w:val="12"/>
          <w:color w:val="auto"/>
        </w:rPr>
        <w:t>Gross profit for the third quarter of 2009 was $1.48 billion, or 51.4 percent of revenue, a decrease of $162 million, or 10 percent, from the year-ago quarter due to lower revenue. This decrease was partially offset by the favorable impact of lower manufacturing costs. Gross profit increased $357 million, or 32 percent, from the prior quarter primarily due to higher revenue.</w:t>
      </w:r>
    </w:p>
    <w:p>
      <w:pPr>
        <w:spacing w:after="0" w:line="114"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color w:val="auto"/>
        </w:rPr>
        <w:t>Operating expenses for the third quarter of 2009 were $368 million for R&amp;D and $340 million for SG&amp;A. R&amp;D expense decreased $139 million, or 27 percent, from a year ago primarily due to the combination of the effects of our previously-announced employment reductions and, to a lesser extent, our cost-control efforts. R&amp;D expense was about even compared with the prior quarter. SG&amp;A expense decreased $50 million, or 13 percent, from the year-ago quarter primarily due to the effects of employment reductions. SG&amp;A increased $13 million, or 4 percent, from the prior quarter primarily due to higher compensation-related costs resulting from our improved profitability.</w:t>
      </w:r>
    </w:p>
    <w:p>
      <w:pPr>
        <w:spacing w:after="0" w:line="169" w:lineRule="exact"/>
        <w:rPr>
          <w:sz w:val="20"/>
          <w:szCs w:val="20"/>
          <w:color w:val="auto"/>
        </w:rPr>
      </w:pPr>
    </w:p>
    <w:p>
      <w:pPr>
        <w:jc w:val="both"/>
        <w:ind w:right="160"/>
        <w:spacing w:after="0" w:line="312" w:lineRule="auto"/>
        <w:rPr>
          <w:sz w:val="20"/>
          <w:szCs w:val="20"/>
          <w:color w:val="auto"/>
        </w:rPr>
      </w:pPr>
      <w:r>
        <w:rPr>
          <w:rFonts w:ascii="Arial" w:cs="Arial" w:eastAsia="Arial" w:hAnsi="Arial"/>
          <w:sz w:val="12"/>
          <w:szCs w:val="12"/>
          <w:color w:val="auto"/>
        </w:rPr>
        <w:t>Restructuring costs in the third quarter of 2009 were $10 million compared with $85 million in the prior quarter. The restructuring costs in the third quarter were primarily for additional severance and benefits costs (see Note 2 to the Financial Statements for a detailed discussion of these charges and payments made during the quarter). We expect to incur restructuring charges equivalent to about one cent of earnings per share in the fourth quarter of 2009. As of September 30, 2009, a total of about 3,900 jobs have been eliminated as a result of these actions.</w:t>
      </w:r>
    </w:p>
    <w:p>
      <w:pPr>
        <w:spacing w:after="0" w:line="132"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For the third quarter of 2009, we had operating profit of $763 million, an increase of $17 million, or 2 percent, compared with the year-ago quarter, and an increase of $420 million, or 122 percent, compared with the previous quarter. The increase from a year ago was due to lower operating expenses. The increase from the prior quarter was primarily due to higher revenue and the associated higher gross profit. Operating profit increased from the prior quarter in all segments.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2009, the estimated annual effective tax rate for 2009 is expected to be about 28 percent (see Note 3 to the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Quarterly income taxes are calculated using the estimated annual effective tax rate.</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tax provision for the third quarter of 2009 was $227 million, compared with $193 million in the year-ago quarter. The increase was due to a change in discrete tax items, partially offset by the federal research tax credit, which was not in effect in the year-ago quarter. We had discrete tax charges of $14 million in the third quarter of 2009, compared with $34 million of discrete tax benefits in the year-ago quarter. These items were primarily related to adjustments identified through the completion of tax returns for prior years. For the second quarter of 2009 we had a tax provision of $96 million. The sequential increase in the tax provision for the third quarter of 2009 was due to higher income before income taxes.</w:t>
      </w:r>
    </w:p>
    <w:p>
      <w:pPr>
        <w:spacing w:after="0" w:line="169" w:lineRule="exact"/>
        <w:rPr>
          <w:sz w:val="20"/>
          <w:szCs w:val="20"/>
          <w:color w:val="auto"/>
        </w:rPr>
      </w:pPr>
    </w:p>
    <w:p>
      <w:pPr>
        <w:ind w:right="380"/>
        <w:spacing w:after="0" w:line="259" w:lineRule="auto"/>
        <w:rPr>
          <w:sz w:val="20"/>
          <w:szCs w:val="20"/>
          <w:color w:val="auto"/>
        </w:rPr>
      </w:pPr>
      <w:r>
        <w:rPr>
          <w:rFonts w:ascii="Arial" w:cs="Arial" w:eastAsia="Arial" w:hAnsi="Arial"/>
          <w:sz w:val="14"/>
          <w:szCs w:val="14"/>
          <w:color w:val="auto"/>
        </w:rPr>
        <w:t>In the third quarter of 2009, we had net income of $538 million, or earnings per share of $0.42, compared with net income of $563 million, or earnings per share of $0.43, for the year-ago quarter, and $260 million, or earnings per share of $0.20, for the prior quarter.</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Orders in the third quarter were $3.11 billion, a decrease of 4 percent from the year-ago quarter. Compared with the prior quarter, orders increased 11 percent.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Segment results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Analog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3Q09</w:t>
            </w: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3Q09</w:t>
            </w:r>
          </w:p>
        </w:tc>
      </w:tr>
      <w:tr>
        <w:trPr>
          <w:trHeight w:val="175"/>
        </w:trPr>
        <w:tc>
          <w:tcPr>
            <w:tcW w:w="30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3Q09</w:t>
            </w: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3Q08</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vs. 3Q08</w:t>
            </w:r>
          </w:p>
        </w:tc>
        <w:tc>
          <w:tcPr>
            <w:tcW w:w="5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2Q09</w:t>
            </w: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vs. 2Q09</w:t>
            </w: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Revenue</w:t>
            </w: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1,184</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32"/>
              <w:spacing w:after="0"/>
              <w:rPr>
                <w:sz w:val="20"/>
                <w:szCs w:val="20"/>
                <w:color w:val="auto"/>
              </w:rPr>
            </w:pPr>
            <w:r>
              <w:rPr>
                <w:rFonts w:ascii="Arial" w:cs="Arial" w:eastAsia="Arial" w:hAnsi="Arial"/>
                <w:sz w:val="14"/>
                <w:szCs w:val="14"/>
                <w:color w:val="auto"/>
              </w:rPr>
              <w:t>1,289</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32"/>
              <w:spacing w:after="0"/>
              <w:rPr>
                <w:sz w:val="20"/>
                <w:szCs w:val="20"/>
                <w:color w:val="auto"/>
              </w:rPr>
            </w:pPr>
            <w:r>
              <w:rPr>
                <w:rFonts w:ascii="Arial" w:cs="Arial" w:eastAsia="Arial" w:hAnsi="Arial"/>
                <w:sz w:val="14"/>
                <w:szCs w:val="14"/>
                <w:color w:val="auto"/>
              </w:rPr>
              <w:t>983</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20%</w:t>
            </w: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306</w:t>
            </w: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274</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w:t>
            </w: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96</w:t>
            </w: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219%</w:t>
            </w: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1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25.8%</w:t>
            </w:r>
          </w:p>
        </w:tc>
        <w:tc>
          <w:tcPr>
            <w:tcW w:w="52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21.2%</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432"/>
              <w:spacing w:after="0"/>
              <w:rPr>
                <w:sz w:val="20"/>
                <w:szCs w:val="20"/>
                <w:color w:val="auto"/>
              </w:rPr>
            </w:pPr>
            <w:r>
              <w:rPr>
                <w:rFonts w:ascii="Arial" w:cs="Arial" w:eastAsia="Arial" w:hAnsi="Arial"/>
                <w:sz w:val="14"/>
                <w:szCs w:val="14"/>
                <w:color w:val="auto"/>
              </w:rPr>
              <w:t>9.7%</w:t>
            </w:r>
          </w:p>
        </w:tc>
        <w:tc>
          <w:tcPr>
            <w:tcW w:w="1220" w:type="dxa"/>
            <w:vAlign w:val="bottom"/>
          </w:tcPr>
          <w:p>
            <w:pPr>
              <w:spacing w:after="0"/>
              <w:rPr>
                <w:sz w:val="14"/>
                <w:szCs w:val="14"/>
                <w:color w:val="auto"/>
              </w:rPr>
            </w:pPr>
          </w:p>
        </w:tc>
      </w:tr>
      <w:tr>
        <w:trPr>
          <w:trHeight w:val="162"/>
        </w:trPr>
        <w:tc>
          <w:tcPr>
            <w:tcW w:w="30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32"/>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4"/>
                <w:szCs w:val="14"/>
                <w:color w:val="auto"/>
              </w:rPr>
            </w:pP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32"/>
              <w:spacing w:after="0"/>
              <w:rPr>
                <w:sz w:val="20"/>
                <w:szCs w:val="20"/>
                <w:color w:val="auto"/>
              </w:rPr>
            </w:pPr>
            <w:r>
              <w:rPr>
                <w:rFonts w:ascii="Arial" w:cs="Arial" w:eastAsia="Arial" w:hAnsi="Arial"/>
                <w:sz w:val="14"/>
                <w:szCs w:val="14"/>
                <w:color w:val="auto"/>
              </w:rPr>
              <w:t>35</w:t>
            </w:r>
          </w:p>
        </w:tc>
        <w:tc>
          <w:tcPr>
            <w:tcW w:w="1220" w:type="dxa"/>
            <w:vAlign w:val="bottom"/>
          </w:tcPr>
          <w:p>
            <w:pPr>
              <w:spacing w:after="0"/>
              <w:rPr>
                <w:sz w:val="14"/>
                <w:szCs w:val="14"/>
                <w:color w:val="auto"/>
              </w:rPr>
            </w:pPr>
          </w:p>
        </w:tc>
      </w:tr>
      <w:tr>
        <w:trPr>
          <w:trHeight w:val="162"/>
        </w:trPr>
        <w:tc>
          <w:tcPr>
            <w:tcW w:w="30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bl>
    <w:p>
      <w:pPr>
        <w:ind w:right="100"/>
        <w:spacing w:after="0" w:line="281" w:lineRule="auto"/>
        <w:rPr>
          <w:sz w:val="20"/>
          <w:szCs w:val="20"/>
          <w:color w:val="auto"/>
        </w:rPr>
      </w:pPr>
      <w:r>
        <w:rPr>
          <w:rFonts w:ascii="Arial" w:cs="Arial" w:eastAsia="Arial" w:hAnsi="Arial"/>
          <w:sz w:val="12"/>
          <w:szCs w:val="12"/>
          <w:color w:val="auto"/>
        </w:rPr>
        <w:t>Analog revenue decreased 8 percent from the year-ago quarter primarily due to lower shipments of high-volume analog &amp; logic products, and to a lesser extent, high-performance analog products. Partially offsetting these decreases were increased shipments of power management products. Compared with the prior quarter, revenue increased 20 percent, primarily due to increased shipments of high-volume analog</w:t>
      </w:r>
    </w:p>
    <w:p>
      <w:pPr>
        <w:spacing w:after="0" w:line="1" w:lineRule="exact"/>
        <w:rPr>
          <w:sz w:val="20"/>
          <w:szCs w:val="20"/>
          <w:color w:val="auto"/>
        </w:rPr>
      </w:pPr>
    </w:p>
    <w:p>
      <w:pPr>
        <w:ind w:right="60" w:firstLine="1"/>
        <w:spacing w:after="0" w:line="324" w:lineRule="auto"/>
        <w:tabs>
          <w:tab w:leader="none" w:pos="139"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logic products, and to a lesser extent, shipments of power management and high-performance analog products. Operating profit increased compared with the year-ago quarter primarily due to a combination of reduced operating expenses and, to a lesser extent, improvements in gross profit. Operating profit increased from the previous quarter primarily due to higher revenue and the associated higher gross profit.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Arial" w:cs="Arial" w:eastAsia="Arial" w:hAnsi="Arial"/>
                <w:sz w:val="14"/>
                <w:szCs w:val="14"/>
                <w:i w:val="1"/>
                <w:iCs w:val="1"/>
                <w:color w:val="auto"/>
              </w:rPr>
              <w:t>Embedded Processing</w:t>
            </w: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50"/>
        </w:trPr>
        <w:tc>
          <w:tcPr>
            <w:tcW w:w="33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12"/>
              <w:spacing w:after="0" w:line="150" w:lineRule="exact"/>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3Q09</w:t>
            </w:r>
          </w:p>
        </w:tc>
      </w:tr>
      <w:tr>
        <w:trPr>
          <w:trHeight w:val="175"/>
        </w:trPr>
        <w:tc>
          <w:tcPr>
            <w:tcW w:w="33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3Q08</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vs. 3Q08</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2Q09</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 2Q09</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Revenue</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393</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427</w:t>
            </w: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350</w:t>
            </w: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75</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73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28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1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17.0%</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8.1%</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2</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4"/>
                <w:szCs w:val="14"/>
                <w:color w:val="auto"/>
              </w:rPr>
            </w:pP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18</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ectPr>
          <w:pgSz w:w="11900" w:h="16838" w:orient="portrait"/>
          <w:cols w:equalWidth="0" w:num="1">
            <w:col w:w="11460"/>
          </w:cols>
          <w:pgMar w:left="220" w:top="127" w:right="219" w:bottom="0" w:gutter="0" w:footer="0" w:header="0"/>
        </w:sectPr>
      </w:pPr>
    </w:p>
    <w:bookmarkStart w:id="13" w:name="page14"/>
    <w:bookmarkEnd w:id="13"/>
    <w:p>
      <w:pPr>
        <w:ind w:right="180"/>
        <w:spacing w:after="0" w:line="247" w:lineRule="auto"/>
        <w:rPr>
          <w:sz w:val="20"/>
          <w:szCs w:val="20"/>
          <w:color w:val="auto"/>
        </w:rPr>
      </w:pPr>
      <w:r>
        <w:rPr>
          <w:rFonts w:ascii="Arial" w:cs="Arial" w:eastAsia="Arial" w:hAnsi="Arial"/>
          <w:sz w:val="14"/>
          <w:szCs w:val="14"/>
          <w:color w:val="auto"/>
        </w:rPr>
        <w:t>Embedded Processing revenue decreased 8 percent from the year-ago quarter primarily due to normal price declines in catalog products, and to a lesser extent, decreased shipments of communications infrastructure and automotive products. Compared with the prior quarter, revenue increased 12 percent primarily due to higher shipments of catalog products. Shipments of automotive products also increased, although by a lesser amount. Operating profit increased 3 percent compared with the year-ago quarter due to reduced operating expenses. Compared with the prior quarter, operating profit increased due to higher revenue and the associated higher gross profit.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Arial" w:cs="Arial" w:eastAsia="Arial" w:hAnsi="Arial"/>
                <w:sz w:val="14"/>
                <w:szCs w:val="14"/>
                <w:i w:val="1"/>
                <w:iCs w:val="1"/>
                <w:color w:val="auto"/>
              </w:rPr>
              <w:t>Wireless</w:t>
            </w: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50"/>
        </w:trPr>
        <w:tc>
          <w:tcPr>
            <w:tcW w:w="33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12"/>
              <w:spacing w:after="0" w:line="150" w:lineRule="exact"/>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3Q09</w:t>
            </w:r>
          </w:p>
        </w:tc>
      </w:tr>
      <w:tr>
        <w:trPr>
          <w:trHeight w:val="175"/>
        </w:trPr>
        <w:tc>
          <w:tcPr>
            <w:tcW w:w="33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3Q08</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vs. 3Q08</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2Q09</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 2Q09</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Revenue</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675</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915</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601</w:t>
            </w: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110</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155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58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1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16.9%</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9.6%</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3</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4"/>
                <w:szCs w:val="14"/>
                <w:color w:val="auto"/>
              </w:rPr>
            </w:pP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23</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ind w:right="40"/>
        <w:spacing w:after="0" w:line="292" w:lineRule="auto"/>
        <w:rPr>
          <w:sz w:val="20"/>
          <w:szCs w:val="20"/>
          <w:color w:val="auto"/>
        </w:rPr>
      </w:pPr>
      <w:r>
        <w:rPr>
          <w:rFonts w:ascii="Arial" w:cs="Arial" w:eastAsia="Arial" w:hAnsi="Arial"/>
          <w:sz w:val="12"/>
          <w:szCs w:val="12"/>
          <w:color w:val="auto"/>
        </w:rPr>
        <w:t>Wireless revenue decreased 26 percent from the year-ago quarter due to decreased shipments of baseband products, and to a lesser extent, OMAP applications processor products. Baseband revenue was $450 million in the third quarter, a decrease of 33 percent from a year ago. Compared with the previous quarter, Wireless revenue increased 12 percent primarily due to higher shipments of baseband products, and to a lesser extent, connectivity products and OMAP applications processor products. Baseband revenue increased 10 percent from the prior quarter. Operating profit decreased 29 percent compared with the year-ago quarter, due to lower revenue and the associated lower gross profit, partially offset by lower operating expenses. Compared with the prior quarter, operating profit increased primarily due to the combination of higher revenue and the associated gross profit, and lower restructuring expenses.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Arial" w:cs="Arial" w:eastAsia="Arial" w:hAnsi="Arial"/>
                <w:sz w:val="14"/>
                <w:szCs w:val="14"/>
                <w:i w:val="1"/>
                <w:iCs w:val="1"/>
                <w:color w:val="auto"/>
              </w:rPr>
              <w:t>Other</w:t>
            </w: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50"/>
        </w:trPr>
        <w:tc>
          <w:tcPr>
            <w:tcW w:w="33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12"/>
              <w:spacing w:after="0" w:line="150" w:lineRule="exact"/>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3Q09</w:t>
            </w:r>
          </w:p>
        </w:tc>
      </w:tr>
      <w:tr>
        <w:trPr>
          <w:trHeight w:val="175"/>
        </w:trPr>
        <w:tc>
          <w:tcPr>
            <w:tcW w:w="33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3Q09</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3Q08</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vs. 3Q08</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2Q09</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 2Q09</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Revenue</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628</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756</w:t>
            </w: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523</w:t>
            </w: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272</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244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161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1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43.4%</w:t>
            </w: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32.3%</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color w:val="auto"/>
              </w:rPr>
              <w:t>31.0%</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18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4"/>
                <w:szCs w:val="14"/>
                <w:color w:val="auto"/>
              </w:rPr>
            </w:pP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12"/>
              <w:spacing w:after="0"/>
              <w:rPr>
                <w:sz w:val="20"/>
                <w:szCs w:val="20"/>
                <w:color w:val="auto"/>
              </w:rPr>
            </w:pPr>
            <w:r>
              <w:rPr>
                <w:rFonts w:ascii="Arial" w:cs="Arial" w:eastAsia="Arial" w:hAnsi="Arial"/>
                <w:sz w:val="14"/>
                <w:szCs w:val="14"/>
                <w:color w:val="auto"/>
              </w:rPr>
              <w:t>9</w:t>
            </w:r>
          </w:p>
        </w:tc>
        <w:tc>
          <w:tcPr>
            <w:tcW w:w="1000" w:type="dxa"/>
            <w:vAlign w:val="bottom"/>
          </w:tcPr>
          <w:p>
            <w:pPr>
              <w:spacing w:after="0"/>
              <w:rPr>
                <w:sz w:val="14"/>
                <w:szCs w:val="14"/>
                <w:color w:val="auto"/>
              </w:rPr>
            </w:pPr>
          </w:p>
        </w:tc>
      </w:tr>
      <w:tr>
        <w:trPr>
          <w:trHeight w:val="162"/>
        </w:trPr>
        <w:tc>
          <w:tcPr>
            <w:tcW w:w="3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jc w:val="both"/>
        <w:ind w:right="20"/>
        <w:spacing w:after="0" w:line="296" w:lineRule="auto"/>
        <w:rPr>
          <w:sz w:val="20"/>
          <w:szCs w:val="20"/>
          <w:color w:val="auto"/>
        </w:rPr>
      </w:pPr>
      <w:r>
        <w:rPr>
          <w:rFonts w:ascii="Arial" w:cs="Arial" w:eastAsia="Arial" w:hAnsi="Arial"/>
          <w:sz w:val="12"/>
          <w:szCs w:val="12"/>
          <w:color w:val="auto"/>
        </w:rPr>
        <w:t>Other revenue decreased 17 percent from the year-ago quarter, primarily due to, in decreasing order, lower shipments of RISC microprocessors, ASIC products and DLP products and lower royalties. Compared with the previous quarter, revenue increased 20 percent due to the combination of a seasonal increase in shipments of calculators and, to a lesser extent, increased shipments of DLP products and higher royalties. These increases were partially offset by lower shipments of RISC microprocessors. Operating profit for the third quarter of 2009 was higher than the year-ago quarter due to lower operating expenses. Compared with the prior quarter, operating profit increased primarily due to higher revenue and the associated higher gross profit.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First nine months of 2009 results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For the first nine months of 2009, we report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Revenue of $7.42 billion was $2.59 billion, or 26 percent, lower than the year-ago period as a result of the downturn in global markets.</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2"/>
          <w:szCs w:val="12"/>
          <w:color w:val="auto"/>
        </w:rPr>
        <w:t>Gross profit was $3.41 billion, a decrease of $1.74 billion, or 34 percent, from the year-ago period primarily due to lower revenue, and to a lesser extent, the impact of lower factory utilization. About $400 million of the decline in gross profit resulted from lower factory utilization. Gross profit margin was 45.9 percent of revenue compared with 51.4 percent in the year-ago period.</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R&amp;D expense of $1.12 billion decreased 26 percent compared with the year-ago period primarily due to the combination of our employment reductions and, to a lesser extent, cost-control efforts. R&amp;D expense was 15.1 percent of revenue, unchanged from the year-ago period.</w:t>
      </w:r>
    </w:p>
    <w:p>
      <w:pPr>
        <w:spacing w:after="0" w:line="160" w:lineRule="exact"/>
        <w:rPr>
          <w:sz w:val="20"/>
          <w:szCs w:val="20"/>
          <w:color w:val="auto"/>
        </w:rPr>
      </w:pPr>
    </w:p>
    <w:p>
      <w:pPr>
        <w:ind w:right="600"/>
        <w:spacing w:after="0" w:line="259" w:lineRule="auto"/>
        <w:rPr>
          <w:sz w:val="20"/>
          <w:szCs w:val="20"/>
          <w:color w:val="auto"/>
        </w:rPr>
      </w:pPr>
      <w:r>
        <w:rPr>
          <w:rFonts w:ascii="Arial" w:cs="Arial" w:eastAsia="Arial" w:hAnsi="Arial"/>
          <w:sz w:val="14"/>
          <w:szCs w:val="14"/>
          <w:color w:val="auto"/>
        </w:rPr>
        <w:t>SG&amp;A expense was $972 million, a decrease of 22 percent from $1.25 billion in the year-ago period, primarily due to the combination of our employment reductions and, to a lesser extent, cost-control efforts. SG&amp;A expense was 13.1 percent of revenue compared with 12.5 percent in the year-ago period.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Restructuring expenses were $200 million, compared with zero in the year-ago period.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Operating profit was $1.12 billion, or 15.0 percent of revenue, compared with $2.39 billion, or 23.8 percent of revenue, in the year-ago period. The decrease was due to lower gross profit, and to a lesser extent, higher restructuring charges. These decreases were partially offset by lower 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Other income and expense net (OI&amp;E) was $20 million, a decrease of $38 million from the year-ago period due to lower interest income.</w:t>
      </w:r>
    </w:p>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tax provision for the first nine months of 2009 was $321 million, compared with $632 million in the same period of 2008. The decrease was due to lower income before income taxes, partially offset by a change in discrete tax items. Included in the tax provision for the first nine months of 2009 were $9 million in discrete tax charges primarily related to adjustments identified through the completion of tax returns for prior years. This compares with discrete tax benefits of $113 million in the year-ago period, which were primarily due to our decision to indefinitely reinvest the accumulated earnings of a non-U.S. subsidiary.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Net income was $815 million compared with $1.81 billion in the year-ago period. Earnings per share were $0.63 per share, compared with $1.35 per share in the year-ago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gridSpan w:val="2"/>
          </w:tcPr>
          <w:p>
            <w:pPr>
              <w:spacing w:after="0"/>
              <w:rPr>
                <w:sz w:val="20"/>
                <w:szCs w:val="20"/>
                <w:color w:val="auto"/>
              </w:rPr>
            </w:pPr>
            <w:r>
              <w:rPr>
                <w:rFonts w:ascii="Arial" w:cs="Arial" w:eastAsia="Arial" w:hAnsi="Arial"/>
                <w:sz w:val="14"/>
                <w:szCs w:val="14"/>
                <w:color w:val="auto"/>
              </w:rPr>
              <w:t>Orders of $8.10 billion were down 19 percent from the year-ago period.</w:t>
            </w:r>
          </w:p>
        </w:tc>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15"/>
        </w:trPr>
        <w:tc>
          <w:tcPr>
            <w:tcW w:w="5660" w:type="dxa"/>
            <w:vAlign w:val="bottom"/>
            <w:gridSpan w:val="2"/>
          </w:tcPr>
          <w:p>
            <w:pPr>
              <w:spacing w:after="0"/>
              <w:rPr>
                <w:sz w:val="20"/>
                <w:szCs w:val="20"/>
                <w:color w:val="auto"/>
              </w:rPr>
            </w:pPr>
            <w:r>
              <w:rPr>
                <w:rFonts w:ascii="Arial" w:cs="Arial" w:eastAsia="Arial" w:hAnsi="Arial"/>
                <w:sz w:val="14"/>
                <w:szCs w:val="14"/>
                <w:color w:val="auto"/>
              </w:rPr>
              <w:t>Segment results</w:t>
            </w: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5"/>
        </w:trPr>
        <w:tc>
          <w:tcPr>
            <w:tcW w:w="8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Analog</w:t>
            </w:r>
          </w:p>
        </w:tc>
        <w:tc>
          <w:tcPr>
            <w:tcW w:w="4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0"/>
        </w:trPr>
        <w:tc>
          <w:tcPr>
            <w:tcW w:w="86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YTD 2009</w:t>
            </w:r>
          </w:p>
        </w:tc>
      </w:tr>
      <w:tr>
        <w:trPr>
          <w:trHeight w:val="162"/>
        </w:trPr>
        <w:tc>
          <w:tcPr>
            <w:tcW w:w="86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YTD</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YTD</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w:t>
            </w:r>
          </w:p>
        </w:tc>
      </w:tr>
      <w:tr>
        <w:trPr>
          <w:trHeight w:val="175"/>
        </w:trPr>
        <w:tc>
          <w:tcPr>
            <w:tcW w:w="860" w:type="dxa"/>
            <w:vAlign w:val="bottom"/>
            <w:shd w:val="clear" w:color="auto" w:fill="CCEEFF"/>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YTD 2008</w:t>
            </w:r>
          </w:p>
        </w:tc>
      </w:tr>
      <w:tr>
        <w:trPr>
          <w:trHeight w:val="162"/>
        </w:trPr>
        <w:tc>
          <w:tcPr>
            <w:tcW w:w="56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2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2,981</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3,841</w:t>
            </w: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2"/>
        </w:trPr>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2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367</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972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62"/>
        </w:trPr>
        <w:tc>
          <w:tcPr>
            <w:tcW w:w="5660" w:type="dxa"/>
            <w:vAlign w:val="bottom"/>
            <w:gridSpan w:val="2"/>
          </w:tcPr>
          <w:p>
            <w:pPr>
              <w:spacing w:after="0"/>
              <w:rPr>
                <w:sz w:val="20"/>
                <w:szCs w:val="20"/>
                <w:color w:val="auto"/>
              </w:rPr>
            </w:pPr>
            <w:r>
              <w:rPr>
                <w:rFonts w:ascii="Arial" w:cs="Arial" w:eastAsia="Arial" w:hAnsi="Arial"/>
                <w:sz w:val="14"/>
                <w:szCs w:val="14"/>
                <w:color w:val="auto"/>
              </w:rPr>
              <w:t>Operating profit % of revenue</w:t>
            </w:r>
          </w:p>
        </w:tc>
        <w:tc>
          <w:tcPr>
            <w:tcW w:w="2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50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color w:val="auto"/>
              </w:rPr>
              <w:t>25.3%</w:t>
            </w:r>
          </w:p>
        </w:tc>
        <w:tc>
          <w:tcPr>
            <w:tcW w:w="1040" w:type="dxa"/>
            <w:vAlign w:val="bottom"/>
          </w:tcPr>
          <w:p>
            <w:pPr>
              <w:spacing w:after="0"/>
              <w:rPr>
                <w:sz w:val="14"/>
                <w:szCs w:val="14"/>
                <w:color w:val="auto"/>
              </w:rPr>
            </w:pPr>
          </w:p>
        </w:tc>
      </w:tr>
      <w:tr>
        <w:trPr>
          <w:trHeight w:val="162"/>
        </w:trPr>
        <w:tc>
          <w:tcPr>
            <w:tcW w:w="86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2"/>
        </w:trPr>
        <w:tc>
          <w:tcPr>
            <w:tcW w:w="5660" w:type="dxa"/>
            <w:vAlign w:val="bottom"/>
            <w:gridSpan w:val="2"/>
          </w:tcPr>
          <w:p>
            <w:pPr>
              <w:spacing w:after="0"/>
              <w:rPr>
                <w:sz w:val="20"/>
                <w:szCs w:val="20"/>
                <w:color w:val="auto"/>
              </w:rPr>
            </w:pPr>
            <w:r>
              <w:rPr>
                <w:rFonts w:ascii="Arial" w:cs="Arial" w:eastAsia="Arial" w:hAnsi="Arial"/>
                <w:sz w:val="14"/>
                <w:szCs w:val="14"/>
                <w:color w:val="auto"/>
              </w:rPr>
              <w:t>*Includes restructuring expenses of</w:t>
            </w:r>
          </w:p>
        </w:tc>
        <w:tc>
          <w:tcPr>
            <w:tcW w:w="22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81</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r>
      <w:tr>
        <w:trPr>
          <w:trHeight w:val="162"/>
        </w:trPr>
        <w:tc>
          <w:tcPr>
            <w:tcW w:w="86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bl>
    <w:p>
      <w:pPr>
        <w:ind w:right="160"/>
        <w:spacing w:after="0" w:line="243" w:lineRule="auto"/>
        <w:rPr>
          <w:sz w:val="20"/>
          <w:szCs w:val="20"/>
          <w:color w:val="auto"/>
        </w:rPr>
      </w:pPr>
      <w:r>
        <w:rPr>
          <w:rFonts w:ascii="Arial" w:cs="Arial" w:eastAsia="Arial" w:hAnsi="Arial"/>
          <w:sz w:val="14"/>
          <w:szCs w:val="14"/>
          <w:color w:val="auto"/>
        </w:rPr>
        <w:t>Analog revenue decreased 22 percent from the year-ago period due to lower shipments of, in decreasing order, high-volume analog &amp; logic products, high-performance analog products and power management products. Compared with the year-ago period, operating profit decreased 62 percent, primarily due to lower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20"/>
                <w:szCs w:val="20"/>
                <w:color w:val="auto"/>
              </w:rPr>
            </w:pPr>
            <w:r>
              <w:rPr>
                <w:rFonts w:ascii="Arial" w:cs="Arial" w:eastAsia="Arial" w:hAnsi="Arial"/>
                <w:sz w:val="14"/>
                <w:szCs w:val="14"/>
                <w:i w:val="1"/>
                <w:iCs w:val="1"/>
                <w:color w:val="auto"/>
              </w:rPr>
              <w:t>Embedded Processing</w:t>
            </w:r>
          </w:p>
        </w:tc>
        <w:tc>
          <w:tcPr>
            <w:tcW w:w="3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0"/>
        </w:trPr>
        <w:tc>
          <w:tcPr>
            <w:tcW w:w="468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YTD 2009</w:t>
            </w: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YTD</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YTD</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w:t>
            </w:r>
          </w:p>
        </w:tc>
      </w:tr>
      <w:tr>
        <w:trPr>
          <w:trHeight w:val="175"/>
        </w:trPr>
        <w:tc>
          <w:tcPr>
            <w:tcW w:w="46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YTD 2008</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Revenue</w:t>
            </w:r>
          </w:p>
        </w:tc>
        <w:tc>
          <w:tcPr>
            <w:tcW w:w="32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1,059</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1,291</w:t>
            </w: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105</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270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3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50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color w:val="auto"/>
              </w:rPr>
              <w:t>20.9%</w:t>
            </w:r>
          </w:p>
        </w:tc>
        <w:tc>
          <w:tcPr>
            <w:tcW w:w="104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32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40</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bl>
    <w:p>
      <w:pPr>
        <w:ind w:right="80"/>
        <w:spacing w:after="0" w:line="243" w:lineRule="auto"/>
        <w:rPr>
          <w:sz w:val="20"/>
          <w:szCs w:val="20"/>
          <w:color w:val="auto"/>
        </w:rPr>
      </w:pPr>
      <w:r>
        <w:rPr>
          <w:rFonts w:ascii="Arial" w:cs="Arial" w:eastAsia="Arial" w:hAnsi="Arial"/>
          <w:sz w:val="14"/>
          <w:szCs w:val="14"/>
          <w:color w:val="auto"/>
        </w:rPr>
        <w:t>Embedded Processing revenue decreased 18 percent from the year-ago period, primarily due to decreased shipments of catalog products, and to a lesser extent, automotive products. Compared with the year ago-period, operating profit decreased 61 percent, primarily due to lower revenue.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8091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0910" cy="13335"/>
                    </a:xfrm>
                    <a:prstGeom prst="rect">
                      <a:avLst/>
                    </a:prstGeom>
                    <a:noFill/>
                  </pic:spPr>
                </pic:pic>
              </a:graphicData>
            </a:graphic>
          </wp:anchor>
        </w:drawing>
      </w:r>
    </w:p>
    <w:p>
      <w:pPr>
        <w:sectPr>
          <w:pgSz w:w="11900" w:h="16838" w:orient="portrait"/>
          <w:cols w:equalWidth="0" w:num="1">
            <w:col w:w="11460"/>
          </w:cols>
          <w:pgMar w:left="220" w:top="129" w:right="21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YTD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YTD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YTD 2009</w:t>
            </w:r>
          </w:p>
        </w:tc>
        <w:tc>
          <w:tcPr>
            <w:tcW w:w="120" w:type="dxa"/>
            <w:vAlign w:val="bottom"/>
            <w:shd w:val="clear" w:color="auto" w:fill="CCEEFF"/>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vs.</w:t>
            </w:r>
          </w:p>
        </w:tc>
        <w:tc>
          <w:tcPr>
            <w:tcW w:w="120" w:type="dxa"/>
            <w:vAlign w:val="bottom"/>
            <w:shd w:val="clear" w:color="auto" w:fill="CCEEFF"/>
          </w:tcPr>
          <w:p>
            <w:pPr>
              <w:spacing w:after="0"/>
              <w:rPr>
                <w:sz w:val="14"/>
                <w:szCs w:val="14"/>
                <w:color w:val="auto"/>
              </w:rPr>
            </w:pPr>
          </w:p>
        </w:tc>
      </w:tr>
      <w:tr>
        <w:trPr>
          <w:trHeight w:val="186"/>
        </w:trPr>
        <w:tc>
          <w:tcPr>
            <w:tcW w:w="468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YTD 2008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32"/>
        </w:trPr>
        <w:tc>
          <w:tcPr>
            <w:tcW w:w="4680" w:type="dxa"/>
            <w:vAlign w:val="bottom"/>
          </w:tcPr>
          <w:p>
            <w:pPr>
              <w:spacing w:after="0" w:line="132" w:lineRule="exact"/>
              <w:rPr>
                <w:sz w:val="20"/>
                <w:szCs w:val="20"/>
                <w:color w:val="auto"/>
              </w:rPr>
            </w:pPr>
            <w:r>
              <w:rPr>
                <w:rFonts w:ascii="Arial" w:cs="Arial" w:eastAsia="Arial" w:hAnsi="Arial"/>
                <w:sz w:val="14"/>
                <w:szCs w:val="14"/>
                <w:color w:val="auto"/>
              </w:rPr>
              <w:t>Revenue</w:t>
            </w:r>
          </w:p>
        </w:tc>
        <w:tc>
          <w:tcPr>
            <w:tcW w:w="3220" w:type="dxa"/>
            <w:vAlign w:val="bottom"/>
          </w:tcPr>
          <w:p>
            <w:pPr>
              <w:jc w:val="right"/>
              <w:ind w:right="312"/>
              <w:spacing w:after="0" w:line="13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1,827</w:t>
            </w:r>
          </w:p>
        </w:tc>
        <w:tc>
          <w:tcPr>
            <w:tcW w:w="140" w:type="dxa"/>
            <w:vAlign w:val="bottom"/>
          </w:tcPr>
          <w:p>
            <w:pPr>
              <w:spacing w:after="0"/>
              <w:rPr>
                <w:sz w:val="11"/>
                <w:szCs w:val="11"/>
                <w:color w:val="auto"/>
              </w:rPr>
            </w:pPr>
          </w:p>
        </w:tc>
        <w:tc>
          <w:tcPr>
            <w:tcW w:w="560" w:type="dxa"/>
            <w:vAlign w:val="bottom"/>
          </w:tcPr>
          <w:p>
            <w:pPr>
              <w:jc w:val="right"/>
              <w:ind w:right="312"/>
              <w:spacing w:after="0" w:line="13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2" w:lineRule="exact"/>
              <w:rPr>
                <w:sz w:val="20"/>
                <w:szCs w:val="20"/>
                <w:color w:val="auto"/>
              </w:rPr>
            </w:pPr>
            <w:r>
              <w:rPr>
                <w:rFonts w:ascii="Arial" w:cs="Arial" w:eastAsia="Arial" w:hAnsi="Arial"/>
                <w:sz w:val="14"/>
                <w:szCs w:val="14"/>
                <w:color w:val="auto"/>
              </w:rPr>
              <w:t>2,737</w:t>
            </w:r>
          </w:p>
        </w:tc>
        <w:tc>
          <w:tcPr>
            <w:tcW w:w="120" w:type="dxa"/>
            <w:vAlign w:val="bottom"/>
          </w:tcPr>
          <w:p>
            <w:pPr>
              <w:spacing w:after="0"/>
              <w:rPr>
                <w:sz w:val="11"/>
                <w:szCs w:val="11"/>
                <w:color w:val="auto"/>
              </w:rPr>
            </w:pPr>
          </w:p>
        </w:tc>
        <w:tc>
          <w:tcPr>
            <w:tcW w:w="136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-33%</w:t>
            </w:r>
          </w:p>
        </w:tc>
      </w:tr>
      <w:tr>
        <w:trPr>
          <w:trHeight w:val="16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3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154</w:t>
            </w:r>
          </w:p>
        </w:tc>
        <w:tc>
          <w:tcPr>
            <w:tcW w:w="5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3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8.5%</w:t>
            </w:r>
          </w:p>
        </w:tc>
        <w:tc>
          <w:tcPr>
            <w:tcW w:w="5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15.8%</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32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58</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-617855</wp:posOffset>
            </wp:positionV>
            <wp:extent cx="728091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0910" cy="102870"/>
                    </a:xfrm>
                    <a:prstGeom prst="rect">
                      <a:avLst/>
                    </a:prstGeom>
                    <a:noFill/>
                  </pic:spPr>
                </pic:pic>
              </a:graphicData>
            </a:graphic>
          </wp:anchor>
        </w:drawing>
      </w:r>
    </w:p>
    <w:p>
      <w:pPr>
        <w:ind w:right="160"/>
        <w:spacing w:after="0" w:line="242" w:lineRule="auto"/>
        <w:rPr>
          <w:sz w:val="20"/>
          <w:szCs w:val="20"/>
          <w:color w:val="auto"/>
        </w:rPr>
      </w:pPr>
      <w:r>
        <w:rPr>
          <w:rFonts w:ascii="Arial" w:cs="Arial" w:eastAsia="Arial" w:hAnsi="Arial"/>
          <w:sz w:val="14"/>
          <w:szCs w:val="14"/>
          <w:color w:val="auto"/>
        </w:rPr>
        <w:t>Wireless revenue declined 33 percent from the year-ago period primarily due to decreased shipments of baseband products, and to a lesser extent, OMAP applications processor products. These decreases were partially offset by increased shipments of connectivity products. Baseband revenue was $1.26 billion, a decrease of 39 percent from a year ago. Compared with the year-ago period, Wireless operating profit decreased 65 percent, due to lower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20"/>
                <w:szCs w:val="20"/>
                <w:color w:val="auto"/>
              </w:rPr>
            </w:pPr>
            <w:r>
              <w:rPr>
                <w:rFonts w:ascii="Arial" w:cs="Arial" w:eastAsia="Arial" w:hAnsi="Arial"/>
                <w:sz w:val="14"/>
                <w:szCs w:val="14"/>
                <w:i w:val="1"/>
                <w:iCs w:val="1"/>
                <w:color w:val="auto"/>
              </w:rPr>
              <w:t>Other</w:t>
            </w:r>
          </w:p>
        </w:tc>
        <w:tc>
          <w:tcPr>
            <w:tcW w:w="3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0"/>
        </w:trPr>
        <w:tc>
          <w:tcPr>
            <w:tcW w:w="468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2"/>
              <w:spacing w:after="0" w:line="150" w:lineRule="exact"/>
              <w:rPr>
                <w:sz w:val="20"/>
                <w:szCs w:val="20"/>
                <w:color w:val="auto"/>
              </w:rPr>
            </w:pPr>
            <w:r>
              <w:rPr>
                <w:rFonts w:ascii="Arial" w:cs="Arial" w:eastAsia="Arial" w:hAnsi="Arial"/>
                <w:sz w:val="14"/>
                <w:szCs w:val="14"/>
                <w:b w:val="1"/>
                <w:bCs w:val="1"/>
                <w:color w:val="auto"/>
              </w:rPr>
              <w:t>YTD 2009</w:t>
            </w: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YTD</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YTD</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vs.</w:t>
            </w:r>
          </w:p>
        </w:tc>
      </w:tr>
      <w:tr>
        <w:trPr>
          <w:trHeight w:val="175"/>
        </w:trPr>
        <w:tc>
          <w:tcPr>
            <w:tcW w:w="46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YTD 2008</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Revenue</w:t>
            </w:r>
          </w:p>
        </w:tc>
        <w:tc>
          <w:tcPr>
            <w:tcW w:w="32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1,555</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2,141</w:t>
            </w: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490</w:t>
            </w: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711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Operating profit % of revenue</w:t>
            </w:r>
          </w:p>
        </w:tc>
        <w:tc>
          <w:tcPr>
            <w:tcW w:w="3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50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color w:val="auto"/>
              </w:rPr>
              <w:t>33.2%</w:t>
            </w:r>
          </w:p>
        </w:tc>
        <w:tc>
          <w:tcPr>
            <w:tcW w:w="104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*Includes restructuring expenses of</w:t>
            </w:r>
          </w:p>
        </w:tc>
        <w:tc>
          <w:tcPr>
            <w:tcW w:w="32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21</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r>
      <w:tr>
        <w:trPr>
          <w:trHeight w:val="162"/>
        </w:trPr>
        <w:tc>
          <w:tcPr>
            <w:tcW w:w="46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bl>
    <w:p>
      <w:pPr>
        <w:ind w:right="460"/>
        <w:spacing w:after="0" w:line="243" w:lineRule="auto"/>
        <w:rPr>
          <w:sz w:val="20"/>
          <w:szCs w:val="20"/>
          <w:color w:val="auto"/>
        </w:rPr>
      </w:pPr>
      <w:r>
        <w:rPr>
          <w:rFonts w:ascii="Arial" w:cs="Arial" w:eastAsia="Arial" w:hAnsi="Arial"/>
          <w:sz w:val="14"/>
          <w:szCs w:val="14"/>
          <w:color w:val="auto"/>
        </w:rPr>
        <w:t>Other revenue decreased 27 percent from the year-ago period due to, in decreasing order, lower shipments of RISC microprocessors, DLP products and calculators. Lower royalties also contributed to the decline. Compared with the year-ago period, operating profit decreased 31 percent, due to lower revenue.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At the end of the third quarter of 2009, total cash (cash and cash equivalents plus short-term investments) was $2.83 billion. This was $287 million higher than at the end of 2008.</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2"/>
          <w:szCs w:val="12"/>
          <w:color w:val="auto"/>
        </w:rPr>
        <w:t>Accounts receivable were $1.44 billion at the end of the quarter. This was an increase of $522 million from the end of 2008. Days sales outstanding were 45 at the end of the quarter compared with 33 at the end of 2008. Days sales outstanding were unusually low at year end due to a sharp decrease in shipments to customers during the fourth quarter of 2008, particularly in December.</w:t>
      </w:r>
    </w:p>
    <w:p>
      <w:pPr>
        <w:spacing w:after="0" w:line="114"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Inventory was $1.12 billion at the end of the quarter. This was a reduction of $259 million from the end of 2008. Days of inventory at the end of the third quarter were 72, compared with 89 days at the end of 2008.</w:t>
      </w:r>
    </w:p>
    <w:p>
      <w:pPr>
        <w:spacing w:after="0" w:line="14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Depreciation in the first nine months of 2009 was $668 million, a decrease of $70 million from the same period a year ago. Capital spending in the first nine months of 2009 totaled $317 million. This was a decrease of $369 million from a year ago primarily due to lower expenditures for analog manufacturing facilities, and to a lesser extent, for semiconductor assembly/test facilities and equipment. We expect our capital expenditures for 2009 to be about $800 million. We are purchasing additional semiconductor assembly/test equipment to alleviate the stress of current high demand for certain product types. In addition, beginning in the fourth quarter, we will be equipping a 300-millimeter-wafer analog manufacturing facility. Once that facility is equipped, we would expect our capital expenditures to return to a range of about 5% to 8% of revenue.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6" w:lineRule="exact"/>
        <w:rPr>
          <w:sz w:val="20"/>
          <w:szCs w:val="20"/>
          <w:color w:val="auto"/>
        </w:rPr>
      </w:pPr>
    </w:p>
    <w:p>
      <w:pPr>
        <w:ind w:right="280"/>
        <w:spacing w:after="0" w:line="342" w:lineRule="auto"/>
        <w:rPr>
          <w:sz w:val="20"/>
          <w:szCs w:val="20"/>
          <w:color w:val="auto"/>
        </w:rPr>
      </w:pPr>
      <w:r>
        <w:rPr>
          <w:rFonts w:ascii="Arial" w:cs="Arial" w:eastAsia="Arial" w:hAnsi="Arial"/>
          <w:sz w:val="12"/>
          <w:szCs w:val="12"/>
          <w:color w:val="auto"/>
        </w:rPr>
        <w:t>Our sources of liquidity are our cash flows from operations, cash and cash equivalents, short-term investments and revolving credit facilities. Cash flow from operations for the first nine months of 2009 was $1.64 billion, a decrease of $574 million from the year-ago period. This decrease was due to lower net income, partially offset by changes in working capital.</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have $1.29 billion of cash and cash equivalents and $1.53 billion of short-term investments as of September 30, 2009. We have a multi-year $1 billion revolving credit facility and a non-U.S. revolving credit facility of $175 million. As of September 30, 2009, these credit facilities were not being utilized.</w:t>
      </w:r>
    </w:p>
    <w:p>
      <w:pPr>
        <w:spacing w:after="0" w:line="160" w:lineRule="exact"/>
        <w:rPr>
          <w:sz w:val="20"/>
          <w:szCs w:val="20"/>
          <w:color w:val="auto"/>
        </w:rPr>
      </w:pPr>
    </w:p>
    <w:p>
      <w:pPr>
        <w:jc w:val="both"/>
        <w:ind w:right="200"/>
        <w:spacing w:after="0" w:line="312" w:lineRule="auto"/>
        <w:rPr>
          <w:sz w:val="20"/>
          <w:szCs w:val="20"/>
          <w:color w:val="auto"/>
        </w:rPr>
      </w:pPr>
      <w:r>
        <w:rPr>
          <w:rFonts w:ascii="Arial" w:cs="Arial" w:eastAsia="Arial" w:hAnsi="Arial"/>
          <w:sz w:val="12"/>
          <w:szCs w:val="12"/>
          <w:color w:val="auto"/>
        </w:rPr>
        <w:t>For the first nine months of 2009, cash used in investing activities was $445 million, compared with $91 million of cash provided in the year-ago period. The change in cash from investing activities primarily reflects the movement in 2008 of our investments from short-term investments to cash securities. This was partially offset by lower capital expenditures. We also used $155 million for acquisitions in the first nine months of 2009, compared with $19 million in the year-ago period (see Note 1 to the Financial Statements for additional information).</w:t>
      </w:r>
    </w:p>
    <w:p>
      <w:pPr>
        <w:spacing w:after="0" w:line="132" w:lineRule="exact"/>
        <w:rPr>
          <w:sz w:val="20"/>
          <w:szCs w:val="20"/>
          <w:color w:val="auto"/>
        </w:rPr>
      </w:pPr>
    </w:p>
    <w:p>
      <w:pPr>
        <w:ind w:right="340"/>
        <w:spacing w:after="0" w:line="342" w:lineRule="auto"/>
        <w:rPr>
          <w:sz w:val="20"/>
          <w:szCs w:val="20"/>
          <w:color w:val="auto"/>
        </w:rPr>
      </w:pPr>
      <w:r>
        <w:rPr>
          <w:rFonts w:ascii="Arial" w:cs="Arial" w:eastAsia="Arial" w:hAnsi="Arial"/>
          <w:sz w:val="12"/>
          <w:szCs w:val="12"/>
          <w:color w:val="auto"/>
        </w:rPr>
        <w:t>For the first nine months of 2009, net cash used in financing activities was $949 million compared with $1.92 billion in the year-ago period. We used $602 million of cash in the first nine months of 2009 to repurchase 30.5 million shares of our common stock. In the same period last year, we used $1.74 billion of cash to repurchase 60 million shares of common stock.</w:t>
      </w:r>
    </w:p>
    <w:p>
      <w:pPr>
        <w:spacing w:after="0" w:line="114" w:lineRule="exact"/>
        <w:rPr>
          <w:sz w:val="20"/>
          <w:szCs w:val="20"/>
          <w:color w:val="auto"/>
        </w:rPr>
      </w:pPr>
    </w:p>
    <w:p>
      <w:pPr>
        <w:ind w:right="360"/>
        <w:spacing w:after="0" w:line="259" w:lineRule="auto"/>
        <w:rPr>
          <w:sz w:val="20"/>
          <w:szCs w:val="20"/>
          <w:color w:val="auto"/>
        </w:rPr>
      </w:pPr>
      <w:r>
        <w:rPr>
          <w:rFonts w:ascii="Arial" w:cs="Arial" w:eastAsia="Arial" w:hAnsi="Arial"/>
          <w:sz w:val="14"/>
          <w:szCs w:val="14"/>
          <w:color w:val="auto"/>
        </w:rPr>
        <w:t>In October 2009, we raised our quarterly cash dividend rate by $0.01 per common share to $0.12 per share, effective with the dividend payable November 16, 2009, to stockholders of record on October 30, 2009. Cash dividends paid during the first nine months of 2009 were $418 million, compared with $396 million for the same period last year.</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In 2009, we expect approximately the following: an annual effective tax rate of 28 percent; R&amp;D expense of $1.5 billion; capital expenditures of $800 million; and depreciation of $900 million.</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accounting standards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See Note 1 to the Financial Statements for detailed information regarding the status of new accounting standards that are not yet effective for us.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market risk is contained on page 48 of Exhibit 13 to our Form 10-K for the year ended December 31, 2008, and is incorporated by reference to such exhibit.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728726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8"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contains information regarding our purchases of our common stock during the quarter: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4240" w:type="dxa"/>
            <w:vAlign w:val="bottom"/>
            <w:gridSpan w:val="2"/>
          </w:tcPr>
          <w:p>
            <w:pPr>
              <w:ind w:left="1200"/>
              <w:spacing w:after="0"/>
              <w:rPr>
                <w:sz w:val="20"/>
                <w:szCs w:val="20"/>
                <w:color w:val="auto"/>
              </w:rPr>
            </w:pPr>
            <w:r>
              <w:rPr>
                <w:rFonts w:ascii="Arial" w:cs="Arial" w:eastAsia="Arial" w:hAnsi="Arial"/>
                <w:sz w:val="14"/>
                <w:szCs w:val="14"/>
                <w:b w:val="1"/>
                <w:bCs w:val="1"/>
                <w:color w:val="auto"/>
                <w:w w:val="97"/>
              </w:rPr>
              <w:t>ISSUER PURCHASES OF EQUITY SECURITIES</w:t>
            </w:r>
          </w:p>
        </w:tc>
        <w:tc>
          <w:tcPr>
            <w:tcW w:w="16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698"/>
        </w:trPr>
        <w:tc>
          <w:tcPr>
            <w:tcW w:w="3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20" w:type="dxa"/>
            <w:vAlign w:val="bottom"/>
          </w:tcPr>
          <w:p>
            <w:pPr>
              <w:jc w:val="center"/>
              <w:ind w:right="572"/>
              <w:spacing w:after="0"/>
              <w:rPr>
                <w:sz w:val="20"/>
                <w:szCs w:val="20"/>
                <w:color w:val="auto"/>
              </w:rPr>
            </w:pPr>
            <w:r>
              <w:rPr>
                <w:rFonts w:ascii="Arial" w:cs="Arial" w:eastAsia="Arial" w:hAnsi="Arial"/>
                <w:sz w:val="14"/>
                <w:szCs w:val="14"/>
                <w:b w:val="1"/>
                <w:bCs w:val="1"/>
                <w:color w:val="auto"/>
                <w:w w:val="90"/>
              </w:rPr>
              <w:t>Total Number</w:t>
            </w:r>
          </w:p>
        </w:tc>
        <w:tc>
          <w:tcPr>
            <w:tcW w:w="2560" w:type="dxa"/>
            <w:vAlign w:val="bottom"/>
          </w:tcPr>
          <w:p>
            <w:pPr>
              <w:spacing w:after="0"/>
              <w:rPr>
                <w:sz w:val="24"/>
                <w:szCs w:val="24"/>
                <w:color w:val="auto"/>
              </w:rPr>
            </w:pPr>
          </w:p>
        </w:tc>
      </w:tr>
      <w:tr>
        <w:trPr>
          <w:trHeight w:val="162"/>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20" w:type="dxa"/>
            <w:vAlign w:val="bottom"/>
          </w:tcPr>
          <w:p>
            <w:pPr>
              <w:jc w:val="center"/>
              <w:ind w:right="572"/>
              <w:spacing w:after="0"/>
              <w:rPr>
                <w:sz w:val="20"/>
                <w:szCs w:val="20"/>
                <w:color w:val="auto"/>
              </w:rPr>
            </w:pPr>
            <w:r>
              <w:rPr>
                <w:rFonts w:ascii="Arial" w:cs="Arial" w:eastAsia="Arial" w:hAnsi="Arial"/>
                <w:sz w:val="14"/>
                <w:szCs w:val="14"/>
                <w:b w:val="1"/>
                <w:bCs w:val="1"/>
                <w:color w:val="auto"/>
                <w:w w:val="84"/>
              </w:rPr>
              <w:t>of Shares</w:t>
            </w:r>
          </w:p>
        </w:tc>
        <w:tc>
          <w:tcPr>
            <w:tcW w:w="2560" w:type="dxa"/>
            <w:vAlign w:val="bottom"/>
          </w:tcPr>
          <w:p>
            <w:pPr>
              <w:jc w:val="center"/>
              <w:ind w:left="512"/>
              <w:spacing w:after="0"/>
              <w:rPr>
                <w:sz w:val="20"/>
                <w:szCs w:val="20"/>
                <w:color w:val="auto"/>
              </w:rPr>
            </w:pPr>
            <w:r>
              <w:rPr>
                <w:rFonts w:ascii="Arial" w:cs="Arial" w:eastAsia="Arial" w:hAnsi="Arial"/>
                <w:sz w:val="14"/>
                <w:szCs w:val="14"/>
                <w:b w:val="1"/>
                <w:bCs w:val="1"/>
                <w:color w:val="auto"/>
                <w:w w:val="88"/>
              </w:rPr>
              <w:t>Approximate Dollar Value of</w:t>
            </w:r>
          </w:p>
        </w:tc>
      </w:tr>
      <w:tr>
        <w:trPr>
          <w:trHeight w:val="162"/>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20" w:type="dxa"/>
            <w:vAlign w:val="bottom"/>
          </w:tcPr>
          <w:p>
            <w:pPr>
              <w:jc w:val="center"/>
              <w:ind w:right="592"/>
              <w:spacing w:after="0"/>
              <w:rPr>
                <w:sz w:val="20"/>
                <w:szCs w:val="20"/>
                <w:color w:val="auto"/>
              </w:rPr>
            </w:pPr>
            <w:r>
              <w:rPr>
                <w:rFonts w:ascii="Arial" w:cs="Arial" w:eastAsia="Arial" w:hAnsi="Arial"/>
                <w:sz w:val="14"/>
                <w:szCs w:val="14"/>
                <w:b w:val="1"/>
                <w:bCs w:val="1"/>
                <w:color w:val="auto"/>
                <w:w w:val="83"/>
              </w:rPr>
              <w:t>Purchased as</w:t>
            </w:r>
          </w:p>
        </w:tc>
        <w:tc>
          <w:tcPr>
            <w:tcW w:w="2560" w:type="dxa"/>
            <w:vAlign w:val="bottom"/>
          </w:tcPr>
          <w:p>
            <w:pPr>
              <w:jc w:val="center"/>
              <w:ind w:left="512"/>
              <w:spacing w:after="0"/>
              <w:rPr>
                <w:sz w:val="20"/>
                <w:szCs w:val="20"/>
                <w:color w:val="auto"/>
              </w:rPr>
            </w:pPr>
            <w:r>
              <w:rPr>
                <w:rFonts w:ascii="Arial" w:cs="Arial" w:eastAsia="Arial" w:hAnsi="Arial"/>
                <w:sz w:val="14"/>
                <w:szCs w:val="14"/>
                <w:b w:val="1"/>
                <w:bCs w:val="1"/>
                <w:color w:val="auto"/>
                <w:w w:val="86"/>
              </w:rPr>
              <w:t>Shares that</w:t>
            </w:r>
          </w:p>
        </w:tc>
      </w:tr>
      <w:tr>
        <w:trPr>
          <w:trHeight w:val="162"/>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20" w:type="dxa"/>
            <w:vAlign w:val="bottom"/>
          </w:tcPr>
          <w:p>
            <w:pPr>
              <w:jc w:val="center"/>
              <w:ind w:right="592"/>
              <w:spacing w:after="0"/>
              <w:rPr>
                <w:sz w:val="20"/>
                <w:szCs w:val="20"/>
                <w:color w:val="auto"/>
              </w:rPr>
            </w:pPr>
            <w:r>
              <w:rPr>
                <w:rFonts w:ascii="Arial" w:cs="Arial" w:eastAsia="Arial" w:hAnsi="Arial"/>
                <w:sz w:val="14"/>
                <w:szCs w:val="14"/>
                <w:b w:val="1"/>
                <w:bCs w:val="1"/>
                <w:color w:val="auto"/>
                <w:w w:val="90"/>
              </w:rPr>
              <w:t>Part of</w:t>
            </w:r>
          </w:p>
        </w:tc>
        <w:tc>
          <w:tcPr>
            <w:tcW w:w="2560" w:type="dxa"/>
            <w:vAlign w:val="bottom"/>
          </w:tcPr>
          <w:p>
            <w:pPr>
              <w:jc w:val="center"/>
              <w:ind w:left="512"/>
              <w:spacing w:after="0"/>
              <w:rPr>
                <w:sz w:val="20"/>
                <w:szCs w:val="20"/>
                <w:color w:val="auto"/>
              </w:rPr>
            </w:pPr>
            <w:r>
              <w:rPr>
                <w:rFonts w:ascii="Arial" w:cs="Arial" w:eastAsia="Arial" w:hAnsi="Arial"/>
                <w:sz w:val="14"/>
                <w:szCs w:val="14"/>
                <w:b w:val="1"/>
                <w:bCs w:val="1"/>
                <w:color w:val="auto"/>
                <w:w w:val="88"/>
              </w:rPr>
              <w:t>May Yet Be</w:t>
            </w:r>
          </w:p>
        </w:tc>
      </w:tr>
      <w:tr>
        <w:trPr>
          <w:trHeight w:val="162"/>
        </w:trPr>
        <w:tc>
          <w:tcPr>
            <w:tcW w:w="3040" w:type="dxa"/>
            <w:vAlign w:val="bottom"/>
          </w:tcPr>
          <w:p>
            <w:pPr>
              <w:spacing w:after="0"/>
              <w:rPr>
                <w:sz w:val="14"/>
                <w:szCs w:val="14"/>
                <w:color w:val="auto"/>
              </w:rPr>
            </w:pPr>
          </w:p>
        </w:tc>
        <w:tc>
          <w:tcPr>
            <w:tcW w:w="1840" w:type="dxa"/>
            <w:vAlign w:val="bottom"/>
          </w:tcPr>
          <w:p>
            <w:pPr>
              <w:jc w:val="center"/>
              <w:ind w:left="432"/>
              <w:spacing w:after="0"/>
              <w:rPr>
                <w:sz w:val="20"/>
                <w:szCs w:val="20"/>
                <w:color w:val="auto"/>
              </w:rPr>
            </w:pPr>
            <w:r>
              <w:rPr>
                <w:rFonts w:ascii="Arial" w:cs="Arial" w:eastAsia="Arial" w:hAnsi="Arial"/>
                <w:sz w:val="14"/>
                <w:szCs w:val="14"/>
                <w:b w:val="1"/>
                <w:bCs w:val="1"/>
                <w:color w:val="auto"/>
                <w:w w:val="89"/>
              </w:rPr>
              <w:t>Total</w:t>
            </w:r>
          </w:p>
        </w:tc>
        <w:tc>
          <w:tcPr>
            <w:tcW w:w="2400" w:type="dxa"/>
            <w:vAlign w:val="bottom"/>
          </w:tcPr>
          <w:p>
            <w:pPr>
              <w:spacing w:after="0"/>
              <w:rPr>
                <w:sz w:val="14"/>
                <w:szCs w:val="14"/>
                <w:color w:val="auto"/>
              </w:rPr>
            </w:pPr>
          </w:p>
        </w:tc>
        <w:tc>
          <w:tcPr>
            <w:tcW w:w="1620" w:type="dxa"/>
            <w:vAlign w:val="bottom"/>
          </w:tcPr>
          <w:p>
            <w:pPr>
              <w:jc w:val="center"/>
              <w:ind w:right="572"/>
              <w:spacing w:after="0"/>
              <w:rPr>
                <w:sz w:val="20"/>
                <w:szCs w:val="20"/>
                <w:color w:val="auto"/>
              </w:rPr>
            </w:pPr>
            <w:r>
              <w:rPr>
                <w:rFonts w:ascii="Arial" w:cs="Arial" w:eastAsia="Arial" w:hAnsi="Arial"/>
                <w:sz w:val="14"/>
                <w:szCs w:val="14"/>
                <w:b w:val="1"/>
                <w:bCs w:val="1"/>
                <w:color w:val="auto"/>
                <w:w w:val="85"/>
              </w:rPr>
              <w:t>Publicly</w:t>
            </w:r>
          </w:p>
        </w:tc>
        <w:tc>
          <w:tcPr>
            <w:tcW w:w="2560" w:type="dxa"/>
            <w:vAlign w:val="bottom"/>
          </w:tcPr>
          <w:p>
            <w:pPr>
              <w:jc w:val="center"/>
              <w:ind w:left="512"/>
              <w:spacing w:after="0"/>
              <w:rPr>
                <w:sz w:val="20"/>
                <w:szCs w:val="20"/>
                <w:color w:val="auto"/>
              </w:rPr>
            </w:pPr>
            <w:r>
              <w:rPr>
                <w:rFonts w:ascii="Arial" w:cs="Arial" w:eastAsia="Arial" w:hAnsi="Arial"/>
                <w:sz w:val="14"/>
                <w:szCs w:val="14"/>
                <w:b w:val="1"/>
                <w:bCs w:val="1"/>
                <w:color w:val="auto"/>
                <w:w w:val="86"/>
              </w:rPr>
              <w:t>Purchased</w:t>
            </w:r>
          </w:p>
        </w:tc>
      </w:tr>
      <w:tr>
        <w:trPr>
          <w:trHeight w:val="162"/>
        </w:trPr>
        <w:tc>
          <w:tcPr>
            <w:tcW w:w="3040" w:type="dxa"/>
            <w:vAlign w:val="bottom"/>
          </w:tcPr>
          <w:p>
            <w:pPr>
              <w:spacing w:after="0"/>
              <w:rPr>
                <w:sz w:val="14"/>
                <w:szCs w:val="14"/>
                <w:color w:val="auto"/>
              </w:rPr>
            </w:pPr>
          </w:p>
        </w:tc>
        <w:tc>
          <w:tcPr>
            <w:tcW w:w="184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Number of</w:t>
            </w:r>
          </w:p>
        </w:tc>
        <w:tc>
          <w:tcPr>
            <w:tcW w:w="2400" w:type="dxa"/>
            <w:vAlign w:val="bottom"/>
          </w:tcPr>
          <w:p>
            <w:pPr>
              <w:ind w:left="440"/>
              <w:spacing w:after="0"/>
              <w:rPr>
                <w:sz w:val="20"/>
                <w:szCs w:val="20"/>
                <w:color w:val="auto"/>
              </w:rPr>
            </w:pPr>
            <w:r>
              <w:rPr>
                <w:rFonts w:ascii="Arial" w:cs="Arial" w:eastAsia="Arial" w:hAnsi="Arial"/>
                <w:sz w:val="14"/>
                <w:szCs w:val="14"/>
                <w:b w:val="1"/>
                <w:bCs w:val="1"/>
                <w:color w:val="auto"/>
              </w:rPr>
              <w:t>Average</w:t>
            </w:r>
          </w:p>
        </w:tc>
        <w:tc>
          <w:tcPr>
            <w:tcW w:w="1620" w:type="dxa"/>
            <w:vAlign w:val="bottom"/>
          </w:tcPr>
          <w:p>
            <w:pPr>
              <w:jc w:val="center"/>
              <w:ind w:right="572"/>
              <w:spacing w:after="0"/>
              <w:rPr>
                <w:sz w:val="20"/>
                <w:szCs w:val="20"/>
                <w:color w:val="auto"/>
              </w:rPr>
            </w:pPr>
            <w:r>
              <w:rPr>
                <w:rFonts w:ascii="Arial" w:cs="Arial" w:eastAsia="Arial" w:hAnsi="Arial"/>
                <w:sz w:val="14"/>
                <w:szCs w:val="14"/>
                <w:b w:val="1"/>
                <w:bCs w:val="1"/>
                <w:color w:val="auto"/>
                <w:w w:val="85"/>
              </w:rPr>
              <w:t>Announced</w:t>
            </w:r>
          </w:p>
        </w:tc>
        <w:tc>
          <w:tcPr>
            <w:tcW w:w="2560" w:type="dxa"/>
            <w:vAlign w:val="bottom"/>
          </w:tcPr>
          <w:p>
            <w:pPr>
              <w:jc w:val="center"/>
              <w:ind w:left="512"/>
              <w:spacing w:after="0"/>
              <w:rPr>
                <w:sz w:val="20"/>
                <w:szCs w:val="20"/>
                <w:color w:val="auto"/>
              </w:rPr>
            </w:pPr>
            <w:r>
              <w:rPr>
                <w:rFonts w:ascii="Arial" w:cs="Arial" w:eastAsia="Arial" w:hAnsi="Arial"/>
                <w:sz w:val="14"/>
                <w:szCs w:val="14"/>
                <w:b w:val="1"/>
                <w:bCs w:val="1"/>
                <w:color w:val="auto"/>
                <w:w w:val="88"/>
              </w:rPr>
              <w:t>Under the</w:t>
            </w:r>
          </w:p>
        </w:tc>
      </w:tr>
      <w:tr>
        <w:trPr>
          <w:trHeight w:val="162"/>
        </w:trPr>
        <w:tc>
          <w:tcPr>
            <w:tcW w:w="3040" w:type="dxa"/>
            <w:vAlign w:val="bottom"/>
          </w:tcPr>
          <w:p>
            <w:pPr>
              <w:spacing w:after="0"/>
              <w:rPr>
                <w:sz w:val="14"/>
                <w:szCs w:val="14"/>
                <w:color w:val="auto"/>
              </w:rPr>
            </w:pPr>
          </w:p>
        </w:tc>
        <w:tc>
          <w:tcPr>
            <w:tcW w:w="1840" w:type="dxa"/>
            <w:vAlign w:val="bottom"/>
          </w:tcPr>
          <w:p>
            <w:pPr>
              <w:jc w:val="center"/>
              <w:ind w:left="432"/>
              <w:spacing w:after="0"/>
              <w:rPr>
                <w:sz w:val="20"/>
                <w:szCs w:val="20"/>
                <w:color w:val="auto"/>
              </w:rPr>
            </w:pPr>
            <w:r>
              <w:rPr>
                <w:rFonts w:ascii="Arial" w:cs="Arial" w:eastAsia="Arial" w:hAnsi="Arial"/>
                <w:sz w:val="14"/>
                <w:szCs w:val="14"/>
                <w:b w:val="1"/>
                <w:bCs w:val="1"/>
                <w:color w:val="auto"/>
                <w:w w:val="81"/>
              </w:rPr>
              <w:t>Shares</w:t>
            </w:r>
          </w:p>
        </w:tc>
        <w:tc>
          <w:tcPr>
            <w:tcW w:w="240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Price Paid</w:t>
            </w:r>
          </w:p>
        </w:tc>
        <w:tc>
          <w:tcPr>
            <w:tcW w:w="1620" w:type="dxa"/>
            <w:vAlign w:val="bottom"/>
          </w:tcPr>
          <w:p>
            <w:pPr>
              <w:jc w:val="center"/>
              <w:ind w:right="592"/>
              <w:spacing w:after="0"/>
              <w:rPr>
                <w:sz w:val="20"/>
                <w:szCs w:val="20"/>
                <w:color w:val="auto"/>
              </w:rPr>
            </w:pPr>
            <w:r>
              <w:rPr>
                <w:rFonts w:ascii="Arial" w:cs="Arial" w:eastAsia="Arial" w:hAnsi="Arial"/>
                <w:sz w:val="14"/>
                <w:szCs w:val="14"/>
                <w:b w:val="1"/>
                <w:bCs w:val="1"/>
                <w:color w:val="auto"/>
                <w:w w:val="86"/>
              </w:rPr>
              <w:t>Plans or</w:t>
            </w:r>
          </w:p>
        </w:tc>
        <w:tc>
          <w:tcPr>
            <w:tcW w:w="2560" w:type="dxa"/>
            <w:vAlign w:val="bottom"/>
          </w:tcPr>
          <w:p>
            <w:pPr>
              <w:jc w:val="center"/>
              <w:ind w:left="492"/>
              <w:spacing w:after="0"/>
              <w:rPr>
                <w:sz w:val="20"/>
                <w:szCs w:val="20"/>
                <w:color w:val="auto"/>
              </w:rPr>
            </w:pPr>
            <w:r>
              <w:rPr>
                <w:rFonts w:ascii="Arial" w:cs="Arial" w:eastAsia="Arial" w:hAnsi="Arial"/>
                <w:sz w:val="14"/>
                <w:szCs w:val="14"/>
                <w:b w:val="1"/>
                <w:bCs w:val="1"/>
                <w:color w:val="auto"/>
                <w:w w:val="86"/>
              </w:rPr>
              <w:t>Plans or</w:t>
            </w:r>
          </w:p>
        </w:tc>
      </w:tr>
      <w:tr>
        <w:trPr>
          <w:trHeight w:val="176"/>
        </w:trPr>
        <w:tc>
          <w:tcPr>
            <w:tcW w:w="3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Period</w:t>
            </w:r>
          </w:p>
        </w:tc>
        <w:tc>
          <w:tcPr>
            <w:tcW w:w="1840" w:type="dxa"/>
            <w:vAlign w:val="bottom"/>
            <w:tcBorders>
              <w:bottom w:val="single" w:sz="8" w:color="auto"/>
            </w:tcBorders>
          </w:tcPr>
          <w:p>
            <w:pPr>
              <w:jc w:val="center"/>
              <w:ind w:left="432"/>
              <w:spacing w:after="0"/>
              <w:rPr>
                <w:sz w:val="20"/>
                <w:szCs w:val="20"/>
                <w:color w:val="auto"/>
              </w:rPr>
            </w:pPr>
            <w:r>
              <w:rPr>
                <w:rFonts w:ascii="Arial" w:cs="Arial" w:eastAsia="Arial" w:hAnsi="Arial"/>
                <w:sz w:val="14"/>
                <w:szCs w:val="14"/>
                <w:b w:val="1"/>
                <w:bCs w:val="1"/>
                <w:color w:val="auto"/>
                <w:w w:val="86"/>
              </w:rPr>
              <w:t>Purchased</w:t>
            </w:r>
          </w:p>
        </w:tc>
        <w:tc>
          <w:tcPr>
            <w:tcW w:w="2400" w:type="dxa"/>
            <w:vAlign w:val="bottom"/>
            <w:tcBorders>
              <w:bottom w:val="single" w:sz="8" w:color="auto"/>
            </w:tcBorders>
          </w:tcPr>
          <w:p>
            <w:pPr>
              <w:jc w:val="center"/>
              <w:ind w:right="1012"/>
              <w:spacing w:after="0"/>
              <w:rPr>
                <w:sz w:val="20"/>
                <w:szCs w:val="20"/>
                <w:color w:val="auto"/>
              </w:rPr>
            </w:pPr>
            <w:r>
              <w:rPr>
                <w:rFonts w:ascii="Arial" w:cs="Arial" w:eastAsia="Arial" w:hAnsi="Arial"/>
                <w:sz w:val="14"/>
                <w:szCs w:val="14"/>
                <w:b w:val="1"/>
                <w:bCs w:val="1"/>
                <w:color w:val="auto"/>
                <w:w w:val="86"/>
              </w:rPr>
              <w:t>per Share</w:t>
            </w:r>
          </w:p>
        </w:tc>
        <w:tc>
          <w:tcPr>
            <w:tcW w:w="1620" w:type="dxa"/>
            <w:vAlign w:val="bottom"/>
            <w:tcBorders>
              <w:bottom w:val="single" w:sz="8" w:color="auto"/>
            </w:tcBorders>
          </w:tcPr>
          <w:p>
            <w:pPr>
              <w:jc w:val="center"/>
              <w:ind w:right="592"/>
              <w:spacing w:after="0" w:line="176" w:lineRule="exact"/>
              <w:rPr>
                <w:sz w:val="20"/>
                <w:szCs w:val="20"/>
                <w:color w:val="auto"/>
              </w:rPr>
            </w:pPr>
            <w:r>
              <w:rPr>
                <w:rFonts w:ascii="Arial" w:cs="Arial" w:eastAsia="Arial" w:hAnsi="Arial"/>
                <w:sz w:val="14"/>
                <w:szCs w:val="14"/>
                <w:b w:val="1"/>
                <w:bCs w:val="1"/>
                <w:color w:val="auto"/>
                <w:w w:val="84"/>
              </w:rPr>
              <w:t>Programs</w:t>
            </w:r>
            <w:r>
              <w:rPr>
                <w:rFonts w:ascii="Arial" w:cs="Arial" w:eastAsia="Arial" w:hAnsi="Arial"/>
                <w:sz w:val="18"/>
                <w:szCs w:val="18"/>
                <w:b w:val="1"/>
                <w:bCs w:val="1"/>
                <w:color w:val="auto"/>
                <w:w w:val="84"/>
                <w:vertAlign w:val="superscript"/>
              </w:rPr>
              <w:t>(1)</w:t>
            </w:r>
          </w:p>
        </w:tc>
        <w:tc>
          <w:tcPr>
            <w:tcW w:w="2560" w:type="dxa"/>
            <w:vAlign w:val="bottom"/>
            <w:tcBorders>
              <w:bottom w:val="single" w:sz="8" w:color="auto"/>
            </w:tcBorders>
          </w:tcPr>
          <w:p>
            <w:pPr>
              <w:jc w:val="center"/>
              <w:ind w:left="492"/>
              <w:spacing w:after="0" w:line="176" w:lineRule="exact"/>
              <w:rPr>
                <w:sz w:val="20"/>
                <w:szCs w:val="20"/>
                <w:color w:val="auto"/>
              </w:rPr>
            </w:pPr>
            <w:r>
              <w:rPr>
                <w:rFonts w:ascii="Arial" w:cs="Arial" w:eastAsia="Arial" w:hAnsi="Arial"/>
                <w:sz w:val="14"/>
                <w:szCs w:val="14"/>
                <w:b w:val="1"/>
                <w:bCs w:val="1"/>
                <w:color w:val="auto"/>
                <w:w w:val="84"/>
              </w:rPr>
              <w:t>Programs</w:t>
            </w:r>
            <w:r>
              <w:rPr>
                <w:rFonts w:ascii="Arial" w:cs="Arial" w:eastAsia="Arial" w:hAnsi="Arial"/>
                <w:sz w:val="18"/>
                <w:szCs w:val="18"/>
                <w:b w:val="1"/>
                <w:bCs w:val="1"/>
                <w:color w:val="auto"/>
                <w:w w:val="84"/>
                <w:vertAlign w:val="superscript"/>
              </w:rPr>
              <w:t>(1)</w:t>
            </w: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July 1 through July 31, 2009</w:t>
            </w:r>
          </w:p>
        </w:tc>
        <w:tc>
          <w:tcPr>
            <w:tcW w:w="1840" w:type="dxa"/>
            <w:vAlign w:val="bottom"/>
            <w:shd w:val="clear" w:color="auto" w:fill="CCEEFF"/>
          </w:tcPr>
          <w:p>
            <w:pPr>
              <w:jc w:val="center"/>
              <w:ind w:left="432"/>
              <w:spacing w:after="0"/>
              <w:rPr>
                <w:sz w:val="20"/>
                <w:szCs w:val="20"/>
                <w:color w:val="auto"/>
              </w:rPr>
            </w:pPr>
            <w:r>
              <w:rPr>
                <w:rFonts w:ascii="Arial" w:cs="Arial" w:eastAsia="Arial" w:hAnsi="Arial"/>
                <w:sz w:val="14"/>
                <w:szCs w:val="14"/>
                <w:color w:val="auto"/>
                <w:w w:val="88"/>
              </w:rPr>
              <w:t>10,439,000</w:t>
            </w:r>
          </w:p>
        </w:tc>
        <w:tc>
          <w:tcPr>
            <w:tcW w:w="2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$23.94</w:t>
            </w:r>
          </w:p>
        </w:tc>
        <w:tc>
          <w:tcPr>
            <w:tcW w:w="162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w w:val="91"/>
              </w:rPr>
              <w:t>10,439,000</w:t>
            </w:r>
          </w:p>
        </w:tc>
        <w:tc>
          <w:tcPr>
            <w:tcW w:w="25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$2.95 billion</w:t>
            </w: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August 1 through August 31, 2009</w:t>
            </w:r>
          </w:p>
        </w:tc>
        <w:tc>
          <w:tcPr>
            <w:tcW w:w="1840" w:type="dxa"/>
            <w:vAlign w:val="bottom"/>
          </w:tcPr>
          <w:p>
            <w:pPr>
              <w:jc w:val="center"/>
              <w:ind w:left="432"/>
              <w:spacing w:after="0"/>
              <w:rPr>
                <w:sz w:val="20"/>
                <w:szCs w:val="20"/>
                <w:color w:val="auto"/>
              </w:rPr>
            </w:pPr>
            <w:r>
              <w:rPr>
                <w:rFonts w:ascii="Arial" w:cs="Arial" w:eastAsia="Arial" w:hAnsi="Arial"/>
                <w:sz w:val="14"/>
                <w:szCs w:val="14"/>
                <w:color w:val="auto"/>
                <w:w w:val="88"/>
              </w:rPr>
              <w:t>50,000</w:t>
            </w:r>
          </w:p>
        </w:tc>
        <w:tc>
          <w:tcPr>
            <w:tcW w:w="2400" w:type="dxa"/>
            <w:vAlign w:val="bottom"/>
          </w:tcPr>
          <w:p>
            <w:pPr>
              <w:ind w:left="420"/>
              <w:spacing w:after="0"/>
              <w:rPr>
                <w:sz w:val="20"/>
                <w:szCs w:val="20"/>
                <w:color w:val="auto"/>
              </w:rPr>
            </w:pPr>
            <w:r>
              <w:rPr>
                <w:rFonts w:ascii="Arial" w:cs="Arial" w:eastAsia="Arial" w:hAnsi="Arial"/>
                <w:sz w:val="14"/>
                <w:szCs w:val="14"/>
                <w:color w:val="auto"/>
              </w:rPr>
              <w:t>$18.74</w:t>
            </w:r>
          </w:p>
        </w:tc>
        <w:tc>
          <w:tcPr>
            <w:tcW w:w="1620" w:type="dxa"/>
            <w:vAlign w:val="bottom"/>
          </w:tcPr>
          <w:p>
            <w:pPr>
              <w:jc w:val="right"/>
              <w:ind w:right="1012"/>
              <w:spacing w:after="0"/>
              <w:rPr>
                <w:sz w:val="20"/>
                <w:szCs w:val="20"/>
                <w:color w:val="auto"/>
              </w:rPr>
            </w:pPr>
            <w:r>
              <w:rPr>
                <w:rFonts w:ascii="Arial" w:cs="Arial" w:eastAsia="Arial" w:hAnsi="Arial"/>
                <w:sz w:val="14"/>
                <w:szCs w:val="14"/>
                <w:color w:val="auto"/>
              </w:rPr>
              <w:t>50,000</w:t>
            </w:r>
          </w:p>
        </w:tc>
        <w:tc>
          <w:tcPr>
            <w:tcW w:w="2560" w:type="dxa"/>
            <w:vAlign w:val="bottom"/>
          </w:tcPr>
          <w:p>
            <w:pPr>
              <w:ind w:left="1160"/>
              <w:spacing w:after="0"/>
              <w:rPr>
                <w:sz w:val="20"/>
                <w:szCs w:val="20"/>
                <w:color w:val="auto"/>
              </w:rPr>
            </w:pPr>
            <w:r>
              <w:rPr>
                <w:rFonts w:ascii="Arial" w:cs="Arial" w:eastAsia="Arial" w:hAnsi="Arial"/>
                <w:sz w:val="14"/>
                <w:szCs w:val="14"/>
                <w:color w:val="auto"/>
              </w:rPr>
              <w:t>$2.95 billion</w:t>
            </w:r>
          </w:p>
        </w:tc>
      </w:tr>
      <w:tr>
        <w:trPr>
          <w:trHeight w:val="163"/>
        </w:trPr>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September 1 through September 30, 2009</w:t>
            </w:r>
          </w:p>
        </w:tc>
        <w:tc>
          <w:tcPr>
            <w:tcW w:w="184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4"/>
                <w:szCs w:val="14"/>
                <w:color w:val="auto"/>
                <w:w w:val="76"/>
              </w:rPr>
              <w:t>0</w:t>
            </w:r>
          </w:p>
        </w:tc>
        <w:tc>
          <w:tcPr>
            <w:tcW w:w="2400" w:type="dxa"/>
            <w:vAlign w:val="bottom"/>
            <w:tcBorders>
              <w:bottom w:val="single" w:sz="8" w:color="auto"/>
            </w:tcBorders>
            <w:shd w:val="clear" w:color="auto" w:fill="CCEEFF"/>
          </w:tcPr>
          <w:p>
            <w:pPr>
              <w:jc w:val="center"/>
              <w:ind w:right="992"/>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1172"/>
              <w:spacing w:after="0"/>
              <w:rPr>
                <w:sz w:val="20"/>
                <w:szCs w:val="20"/>
                <w:color w:val="auto"/>
              </w:rPr>
            </w:pPr>
            <w:r>
              <w:rPr>
                <w:rFonts w:ascii="Arial" w:cs="Arial" w:eastAsia="Arial" w:hAnsi="Arial"/>
                <w:sz w:val="14"/>
                <w:szCs w:val="14"/>
                <w:color w:val="auto"/>
              </w:rPr>
              <w:t>0</w:t>
            </w:r>
          </w:p>
        </w:tc>
        <w:tc>
          <w:tcPr>
            <w:tcW w:w="25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$2.95 billion</w:t>
            </w:r>
          </w:p>
        </w:tc>
      </w:tr>
      <w:tr>
        <w:trPr>
          <w:trHeight w:val="256"/>
        </w:trPr>
        <w:tc>
          <w:tcPr>
            <w:tcW w:w="3040" w:type="dxa"/>
            <w:vAlign w:val="bottom"/>
          </w:tcPr>
          <w:p>
            <w:pPr>
              <w:spacing w:after="0"/>
              <w:rPr>
                <w:sz w:val="20"/>
                <w:szCs w:val="20"/>
                <w:color w:val="auto"/>
              </w:rPr>
            </w:pPr>
            <w:r>
              <w:rPr>
                <w:rFonts w:ascii="Arial" w:cs="Arial" w:eastAsia="Arial" w:hAnsi="Arial"/>
                <w:sz w:val="14"/>
                <w:szCs w:val="14"/>
                <w:color w:val="auto"/>
              </w:rPr>
              <w:t>Total</w:t>
            </w:r>
          </w:p>
        </w:tc>
        <w:tc>
          <w:tcPr>
            <w:tcW w:w="1840" w:type="dxa"/>
            <w:vAlign w:val="bottom"/>
          </w:tcPr>
          <w:p>
            <w:pPr>
              <w:jc w:val="right"/>
              <w:ind w:right="352"/>
              <w:spacing w:after="0"/>
              <w:rPr>
                <w:sz w:val="20"/>
                <w:szCs w:val="20"/>
                <w:color w:val="auto"/>
              </w:rPr>
            </w:pPr>
            <w:r>
              <w:rPr>
                <w:rFonts w:ascii="Arial" w:cs="Arial" w:eastAsia="Arial" w:hAnsi="Arial"/>
                <w:sz w:val="14"/>
                <w:szCs w:val="14"/>
                <w:color w:val="auto"/>
              </w:rPr>
              <w:t>10,489,000</w:t>
            </w:r>
          </w:p>
        </w:tc>
        <w:tc>
          <w:tcPr>
            <w:tcW w:w="2400" w:type="dxa"/>
            <w:vAlign w:val="bottom"/>
          </w:tcPr>
          <w:p>
            <w:pPr>
              <w:ind w:left="440"/>
              <w:spacing w:after="0"/>
              <w:rPr>
                <w:sz w:val="20"/>
                <w:szCs w:val="20"/>
                <w:color w:val="auto"/>
              </w:rPr>
            </w:pPr>
            <w:r>
              <w:rPr>
                <w:rFonts w:ascii="Arial" w:cs="Arial" w:eastAsia="Arial" w:hAnsi="Arial"/>
                <w:sz w:val="14"/>
                <w:szCs w:val="14"/>
                <w:color w:val="auto"/>
              </w:rPr>
              <w:t>$23.92</w:t>
            </w:r>
          </w:p>
        </w:tc>
        <w:tc>
          <w:tcPr>
            <w:tcW w:w="1620" w:type="dxa"/>
            <w:vAlign w:val="bottom"/>
          </w:tcPr>
          <w:p>
            <w:pPr>
              <w:jc w:val="right"/>
              <w:ind w:right="772"/>
              <w:spacing w:after="0"/>
              <w:rPr>
                <w:sz w:val="20"/>
                <w:szCs w:val="20"/>
                <w:color w:val="auto"/>
              </w:rPr>
            </w:pPr>
            <w:r>
              <w:rPr>
                <w:rFonts w:ascii="Arial" w:cs="Arial" w:eastAsia="Arial" w:hAnsi="Arial"/>
                <w:sz w:val="14"/>
                <w:szCs w:val="14"/>
                <w:color w:val="auto"/>
                <w:w w:val="89"/>
              </w:rPr>
              <w:t>10,489,000</w:t>
            </w:r>
            <w:r>
              <w:rPr>
                <w:rFonts w:ascii="Arial" w:cs="Arial" w:eastAsia="Arial" w:hAnsi="Arial"/>
                <w:sz w:val="18"/>
                <w:szCs w:val="18"/>
                <w:color w:val="auto"/>
                <w:w w:val="89"/>
                <w:vertAlign w:val="superscript"/>
              </w:rPr>
              <w:t>(2)</w:t>
            </w:r>
          </w:p>
        </w:tc>
        <w:tc>
          <w:tcPr>
            <w:tcW w:w="2560" w:type="dxa"/>
            <w:vAlign w:val="bottom"/>
          </w:tcPr>
          <w:p>
            <w:pPr>
              <w:ind w:left="1140"/>
              <w:spacing w:after="0"/>
              <w:rPr>
                <w:sz w:val="20"/>
                <w:szCs w:val="20"/>
                <w:color w:val="auto"/>
              </w:rPr>
            </w:pPr>
            <w:r>
              <w:rPr>
                <w:rFonts w:ascii="Arial" w:cs="Arial" w:eastAsia="Arial" w:hAnsi="Arial"/>
                <w:sz w:val="14"/>
                <w:szCs w:val="14"/>
                <w:color w:val="auto"/>
              </w:rPr>
              <w:t>$2.95 billion</w:t>
            </w:r>
          </w:p>
        </w:tc>
      </w:tr>
    </w:tbl>
    <w:p>
      <w:pPr>
        <w:spacing w:after="0" w:line="261" w:lineRule="exact"/>
        <w:rPr>
          <w:sz w:val="20"/>
          <w:szCs w:val="20"/>
          <w:color w:val="auto"/>
        </w:rPr>
      </w:pPr>
    </w:p>
    <w:p>
      <w:pPr>
        <w:ind w:left="240" w:hanging="221"/>
        <w:spacing w:after="0" w:line="259"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purchases during the quarter were made under an authorization to purchase up to $5 billion of additional shares of TI common stock announced on September 21, 2007. No expiration date has been specified for this authorization.</w:t>
      </w:r>
    </w:p>
    <w:p>
      <w:pPr>
        <w:spacing w:after="0" w:line="159" w:lineRule="exact"/>
        <w:rPr>
          <w:rFonts w:ascii="Arial" w:cs="Arial" w:eastAsia="Arial" w:hAnsi="Arial"/>
          <w:sz w:val="14"/>
          <w:szCs w:val="14"/>
          <w:color w:val="auto"/>
        </w:rPr>
      </w:pPr>
    </w:p>
    <w:p>
      <w:pPr>
        <w:jc w:val="both"/>
        <w:ind w:left="240" w:hanging="221"/>
        <w:spacing w:after="0" w:line="250"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purchases were made through open-market purchases except for 50,000 shares that were acquired in August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Designation of Exhibits in This</w:t>
            </w:r>
          </w:p>
        </w:tc>
        <w:tc>
          <w:tcPr>
            <w:tcW w:w="9680" w:type="dxa"/>
            <w:vAlign w:val="bottom"/>
            <w:tcBorders>
              <w:top w:val="single" w:sz="8" w:color="auto"/>
            </w:tcBorders>
          </w:tcPr>
          <w:p>
            <w:pPr>
              <w:spacing w:after="0"/>
              <w:rPr>
                <w:sz w:val="14"/>
                <w:szCs w:val="14"/>
                <w:color w:val="auto"/>
              </w:rPr>
            </w:pPr>
          </w:p>
        </w:tc>
      </w:tr>
      <w:tr>
        <w:trPr>
          <w:trHeight w:val="173"/>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Report</w:t>
            </w:r>
          </w:p>
        </w:tc>
        <w:tc>
          <w:tcPr>
            <w:tcW w:w="9680" w:type="dxa"/>
            <w:vAlign w:val="bottom"/>
            <w:tcBorders>
              <w:bottom w:val="single" w:sz="8" w:color="auto"/>
            </w:tcBorders>
          </w:tcPr>
          <w:p>
            <w:pPr>
              <w:ind w:left="4260"/>
              <w:spacing w:after="0"/>
              <w:rPr>
                <w:sz w:val="20"/>
                <w:szCs w:val="20"/>
                <w:color w:val="auto"/>
              </w:rPr>
            </w:pPr>
            <w:r>
              <w:rPr>
                <w:rFonts w:ascii="Arial" w:cs="Arial" w:eastAsia="Arial" w:hAnsi="Arial"/>
                <w:sz w:val="14"/>
                <w:szCs w:val="14"/>
                <w:color w:val="auto"/>
              </w:rPr>
              <w:t>Description of Exhibit</w:t>
            </w:r>
          </w:p>
        </w:tc>
      </w:tr>
      <w:tr>
        <w:trPr>
          <w:trHeight w:val="314"/>
        </w:trPr>
        <w:tc>
          <w:tcPr>
            <w:tcW w:w="1780" w:type="dxa"/>
            <w:vAlign w:val="bottom"/>
          </w:tcPr>
          <w:p>
            <w:pPr>
              <w:jc w:val="center"/>
              <w:spacing w:after="0"/>
              <w:rPr>
                <w:sz w:val="20"/>
                <w:szCs w:val="20"/>
                <w:color w:val="auto"/>
              </w:rPr>
            </w:pPr>
            <w:r>
              <w:rPr>
                <w:rFonts w:ascii="Arial" w:cs="Arial" w:eastAsia="Arial" w:hAnsi="Arial"/>
                <w:sz w:val="14"/>
                <w:szCs w:val="14"/>
                <w:color w:val="auto"/>
                <w:w w:val="80"/>
              </w:rPr>
              <w:t>10.1</w:t>
            </w:r>
          </w:p>
        </w:tc>
        <w:tc>
          <w:tcPr>
            <w:tcW w:w="9680" w:type="dxa"/>
            <w:vAlign w:val="bottom"/>
          </w:tcPr>
          <w:p>
            <w:pPr>
              <w:ind w:left="40"/>
              <w:spacing w:after="0"/>
              <w:rPr>
                <w:sz w:val="20"/>
                <w:szCs w:val="20"/>
                <w:color w:val="auto"/>
              </w:rPr>
            </w:pPr>
            <w:r>
              <w:rPr>
                <w:rFonts w:ascii="Arial" w:cs="Arial" w:eastAsia="Arial" w:hAnsi="Arial"/>
                <w:sz w:val="14"/>
                <w:szCs w:val="14"/>
                <w:color w:val="auto"/>
              </w:rPr>
              <w:t>Texas Instruments 2009 Long-Term Incentive Plan.</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0"/>
              </w:rPr>
              <w:t>10.2</w:t>
            </w:r>
          </w:p>
        </w:tc>
        <w:tc>
          <w:tcPr>
            <w:tcW w:w="9680" w:type="dxa"/>
            <w:vAlign w:val="bottom"/>
          </w:tcPr>
          <w:p>
            <w:pPr>
              <w:ind w:left="40"/>
              <w:spacing w:after="0"/>
              <w:rPr>
                <w:sz w:val="20"/>
                <w:szCs w:val="20"/>
                <w:color w:val="auto"/>
              </w:rPr>
            </w:pPr>
            <w:r>
              <w:rPr>
                <w:rFonts w:ascii="Arial" w:cs="Arial" w:eastAsia="Arial" w:hAnsi="Arial"/>
                <w:sz w:val="14"/>
                <w:szCs w:val="14"/>
                <w:color w:val="auto"/>
              </w:rPr>
              <w:t>Texas Instruments Executive Officer Performance Plan.</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0"/>
              </w:rPr>
              <w:t>31.1</w:t>
            </w:r>
          </w:p>
        </w:tc>
        <w:tc>
          <w:tcPr>
            <w:tcW w:w="968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of Periodic Report Pursuant to Rule 13a-15(e) or Rule 15d-15(e).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0"/>
              </w:rPr>
              <w:t>31.2</w:t>
            </w:r>
          </w:p>
        </w:tc>
        <w:tc>
          <w:tcPr>
            <w:tcW w:w="968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of Periodic Report Pursuant to Rule 13a-15(e) or Rule 15d-15(e).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0"/>
              </w:rPr>
              <w:t>32.1</w:t>
            </w:r>
          </w:p>
        </w:tc>
        <w:tc>
          <w:tcPr>
            <w:tcW w:w="9680" w:type="dxa"/>
            <w:vAlign w:val="bottom"/>
          </w:tcPr>
          <w:p>
            <w:pPr>
              <w:ind w:left="40"/>
              <w:spacing w:after="0"/>
              <w:rPr>
                <w:sz w:val="20"/>
                <w:szCs w:val="20"/>
                <w:color w:val="auto"/>
              </w:rPr>
            </w:pPr>
            <w:r>
              <w:rPr>
                <w:rFonts w:ascii="Arial" w:cs="Arial" w:eastAsia="Arial" w:hAnsi="Arial"/>
                <w:sz w:val="14"/>
                <w:szCs w:val="14"/>
                <w:color w:val="auto"/>
              </w:rPr>
              <w:t>Certification by Chief Executive Officer of Periodic Report Pursuant to 18 U.S.C. Section 1350.</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0"/>
              </w:rPr>
              <w:t>32.2</w:t>
            </w:r>
          </w:p>
        </w:tc>
        <w:tc>
          <w:tcPr>
            <w:tcW w:w="9680" w:type="dxa"/>
            <w:vAlign w:val="bottom"/>
          </w:tcPr>
          <w:p>
            <w:pPr>
              <w:ind w:left="40"/>
              <w:spacing w:after="0"/>
              <w:rPr>
                <w:sz w:val="20"/>
                <w:szCs w:val="20"/>
                <w:color w:val="auto"/>
              </w:rPr>
            </w:pPr>
            <w:r>
              <w:rPr>
                <w:rFonts w:ascii="Arial" w:cs="Arial" w:eastAsia="Arial" w:hAnsi="Arial"/>
                <w:sz w:val="14"/>
                <w:szCs w:val="14"/>
                <w:color w:val="auto"/>
              </w:rPr>
              <w:t>Certification by Chief Financial Officer of Periodic Report Pursuant to 18 U.S.C. Section 1350.</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90"/>
              </w:rPr>
              <w:t>101.INS</w:t>
            </w:r>
          </w:p>
        </w:tc>
        <w:tc>
          <w:tcPr>
            <w:tcW w:w="9680" w:type="dxa"/>
            <w:vAlign w:val="bottom"/>
          </w:tcPr>
          <w:p>
            <w:pPr>
              <w:ind w:left="40"/>
              <w:spacing w:after="0"/>
              <w:rPr>
                <w:sz w:val="20"/>
                <w:szCs w:val="20"/>
                <w:color w:val="auto"/>
              </w:rPr>
            </w:pPr>
            <w:r>
              <w:rPr>
                <w:rFonts w:ascii="Arial" w:cs="Arial" w:eastAsia="Arial" w:hAnsi="Arial"/>
                <w:sz w:val="14"/>
                <w:szCs w:val="14"/>
                <w:color w:val="auto"/>
              </w:rPr>
              <w:t>XBRL Instance Document.*</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7"/>
              </w:rPr>
              <w:t>101.SCH</w:t>
            </w:r>
          </w:p>
        </w:tc>
        <w:tc>
          <w:tcPr>
            <w:tcW w:w="9680" w:type="dxa"/>
            <w:vAlign w:val="bottom"/>
          </w:tcPr>
          <w:p>
            <w:pPr>
              <w:ind w:left="40"/>
              <w:spacing w:after="0"/>
              <w:rPr>
                <w:sz w:val="20"/>
                <w:szCs w:val="20"/>
                <w:color w:val="auto"/>
              </w:rPr>
            </w:pPr>
            <w:r>
              <w:rPr>
                <w:rFonts w:ascii="Arial" w:cs="Arial" w:eastAsia="Arial" w:hAnsi="Arial"/>
                <w:sz w:val="14"/>
                <w:szCs w:val="14"/>
                <w:color w:val="auto"/>
              </w:rPr>
              <w:t>XBRL Taxonomy Extension Schema.*</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91"/>
              </w:rPr>
              <w:t>101.CAL</w:t>
            </w:r>
          </w:p>
        </w:tc>
        <w:tc>
          <w:tcPr>
            <w:tcW w:w="968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93"/>
              </w:rPr>
              <w:t>101.LAB</w:t>
            </w:r>
          </w:p>
        </w:tc>
        <w:tc>
          <w:tcPr>
            <w:tcW w:w="9680" w:type="dxa"/>
            <w:vAlign w:val="bottom"/>
          </w:tcPr>
          <w:p>
            <w:pPr>
              <w:ind w:left="40"/>
              <w:spacing w:after="0"/>
              <w:rPr>
                <w:sz w:val="20"/>
                <w:szCs w:val="20"/>
                <w:color w:val="auto"/>
              </w:rPr>
            </w:pPr>
            <w:r>
              <w:rPr>
                <w:rFonts w:ascii="Arial" w:cs="Arial" w:eastAsia="Arial" w:hAnsi="Arial"/>
                <w:sz w:val="14"/>
                <w:szCs w:val="14"/>
                <w:color w:val="auto"/>
              </w:rPr>
              <w:t>XBRL Taxonomy Extension Labels Linkbase.*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89"/>
              </w:rPr>
              <w:t>101.PRE</w:t>
            </w:r>
          </w:p>
        </w:tc>
        <w:tc>
          <w:tcPr>
            <w:tcW w:w="968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color w:val="auto"/>
                <w:w w:val="90"/>
              </w:rPr>
              <w:t>101.DEF</w:t>
            </w:r>
          </w:p>
        </w:tc>
        <w:tc>
          <w:tcPr>
            <w:tcW w:w="9680" w:type="dxa"/>
            <w:vAlign w:val="bottom"/>
          </w:tcPr>
          <w:p>
            <w:pPr>
              <w:ind w:left="40"/>
              <w:spacing w:after="0"/>
              <w:rPr>
                <w:sz w:val="20"/>
                <w:szCs w:val="20"/>
                <w:color w:val="auto"/>
              </w:rPr>
            </w:pPr>
            <w:r>
              <w:rPr>
                <w:rFonts w:ascii="Arial" w:cs="Arial" w:eastAsia="Arial" w:hAnsi="Arial"/>
                <w:sz w:val="14"/>
                <w:szCs w:val="14"/>
                <w:color w:val="auto"/>
              </w:rPr>
              <w:t>XBRL Taxonomy Extension Definition Document.*</w:t>
            </w:r>
          </w:p>
        </w:tc>
      </w:tr>
      <w:tr>
        <w:trPr>
          <w:trHeight w:val="173"/>
        </w:trPr>
        <w:tc>
          <w:tcPr>
            <w:tcW w:w="1780" w:type="dxa"/>
            <w:vAlign w:val="bottom"/>
          </w:tcPr>
          <w:p>
            <w:pPr>
              <w:ind w:left="160"/>
              <w:spacing w:after="0"/>
              <w:rPr>
                <w:sz w:val="20"/>
                <w:szCs w:val="20"/>
                <w:color w:val="auto"/>
              </w:rPr>
            </w:pPr>
            <w:r>
              <w:rPr>
                <w:rFonts w:ascii="Arial" w:cs="Arial" w:eastAsia="Arial" w:hAnsi="Arial"/>
                <w:sz w:val="14"/>
                <w:szCs w:val="14"/>
                <w:color w:val="auto"/>
              </w:rPr>
              <w:t>* Furnished, not filed.</w:t>
            </w:r>
          </w:p>
        </w:tc>
        <w:tc>
          <w:tcPr>
            <w:tcW w:w="9680" w:type="dxa"/>
            <w:vAlign w:val="bottom"/>
          </w:tcPr>
          <w:p>
            <w:pPr>
              <w:spacing w:after="0"/>
              <w:rPr>
                <w:sz w:val="15"/>
                <w:szCs w:val="15"/>
                <w:color w:val="auto"/>
              </w:rPr>
            </w:pPr>
          </w:p>
        </w:tc>
      </w:tr>
      <w:tr>
        <w:trPr>
          <w:trHeight w:val="452"/>
        </w:trPr>
        <w:tc>
          <w:tcPr>
            <w:tcW w:w="1780" w:type="dxa"/>
            <w:vAlign w:val="bottom"/>
            <w:tcBorders>
              <w:bottom w:val="single" w:sz="8" w:color="808080"/>
            </w:tcBorders>
          </w:tcPr>
          <w:p>
            <w:pPr>
              <w:spacing w:after="0"/>
              <w:rPr>
                <w:sz w:val="24"/>
                <w:szCs w:val="24"/>
                <w:color w:val="auto"/>
              </w:rPr>
            </w:pPr>
          </w:p>
        </w:tc>
        <w:tc>
          <w:tcPr>
            <w:tcW w:w="9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“Safe Harbor” Statement under the Private Securities Litigation Reform Act of 1995:</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We urge you to carefully consider the following important factors that could cause actual results to differ materially from the expectations of TI or its management:</w:t>
      </w:r>
    </w:p>
    <w:p>
      <w:pPr>
        <w:spacing w:after="0" w:line="184" w:lineRule="exact"/>
        <w:rPr>
          <w:sz w:val="20"/>
          <w:szCs w:val="20"/>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Market demand for semiconductors, particularly in key markets such as communications, entertainment electronics and computing;</w:t>
      </w:r>
    </w:p>
    <w:p>
      <w:pPr>
        <w:spacing w:after="0" w:line="183" w:lineRule="exact"/>
        <w:rPr>
          <w:rFonts w:ascii="Arial" w:cs="Arial" w:eastAsia="Arial" w:hAnsi="Arial"/>
          <w:sz w:val="14"/>
          <w:szCs w:val="14"/>
          <w:color w:val="auto"/>
        </w:rPr>
      </w:pPr>
    </w:p>
    <w:p>
      <w:pPr>
        <w:ind w:left="360" w:hanging="95"/>
        <w:spacing w:after="0" w:line="259"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59"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TI's ability to develop, manufacture and market innovative products in a rapidly changing technological environment;</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TI's ability to compete in products and prices in an intensely competitive industry;</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TI's ability to maintain and enforce a strong intellectual property portfolio and obtain needed licenses from third parties;</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Expiration of license agreements between TI and its patent licensees, and market conditions reducing royalty payments to TI;</w:t>
      </w:r>
    </w:p>
    <w:p>
      <w:pPr>
        <w:spacing w:after="0" w:line="183" w:lineRule="exact"/>
        <w:rPr>
          <w:rFonts w:ascii="Arial" w:cs="Arial" w:eastAsia="Arial" w:hAnsi="Arial"/>
          <w:sz w:val="14"/>
          <w:szCs w:val="14"/>
          <w:color w:val="auto"/>
        </w:rPr>
      </w:pPr>
    </w:p>
    <w:p>
      <w:pPr>
        <w:ind w:left="360" w:hanging="95"/>
        <w:spacing w:after="0" w:line="259"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59"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Natural events such as severe weather and earthquakes in the locations in which TI, its customers or its suppliers operate;</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Availability and cost of raw materials, utilities, manufacturing equipment, third-party manufacturing services and manufacturing technology;</w:t>
      </w:r>
    </w:p>
    <w:p>
      <w:pPr>
        <w:spacing w:after="0" w:line="183" w:lineRule="exact"/>
        <w:rPr>
          <w:rFonts w:ascii="Arial" w:cs="Arial" w:eastAsia="Arial" w:hAnsi="Arial"/>
          <w:sz w:val="14"/>
          <w:szCs w:val="14"/>
          <w:color w:val="auto"/>
        </w:rPr>
      </w:pPr>
    </w:p>
    <w:p>
      <w:pPr>
        <w:ind w:left="360" w:hanging="95"/>
        <w:spacing w:after="0" w:line="259"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59" w:lineRule="exact"/>
        <w:rPr>
          <w:rFonts w:ascii="Arial" w:cs="Arial" w:eastAsia="Arial" w:hAnsi="Arial"/>
          <w:sz w:val="14"/>
          <w:szCs w:val="14"/>
          <w:color w:val="auto"/>
        </w:rPr>
      </w:pPr>
    </w:p>
    <w:p>
      <w:pPr>
        <w:ind w:left="360" w:hanging="95"/>
        <w:spacing w:after="0" w:line="259"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9"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Losses or curtailments of purchases from key customers and the timing and amount of distributor and other customer inventory adjustments;</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demand that differs from our forecasts;</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financial impact of inadequate or excess TI inventory that results from demand that differs from projections;</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TI and its customers and suppliers to access their bank accounts and lines of credit or otherwise access the capital markets;</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Product liability or warranty claims, claims based on epidemic or delivery failure or recalls by TI customers for a product containing a TI part;</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TI's ability to recruit and retain skilled personnel; and</w:t>
      </w:r>
    </w:p>
    <w:p>
      <w:pPr>
        <w:spacing w:after="0" w:line="183" w:lineRule="exact"/>
        <w:rPr>
          <w:rFonts w:ascii="Arial" w:cs="Arial" w:eastAsia="Arial" w:hAnsi="Arial"/>
          <w:sz w:val="14"/>
          <w:szCs w:val="14"/>
          <w:color w:val="auto"/>
        </w:rPr>
      </w:pPr>
    </w:p>
    <w:p>
      <w:pPr>
        <w:ind w:left="360" w:hanging="95"/>
        <w:spacing w:after="0"/>
        <w:tabs>
          <w:tab w:leader="none" w:pos="3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Timely implementation of new manufacturing technologies, installation of manufacturing equipment and the ability to obtain needed third-party foundry and assembly/test subcontract services.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TEXAS INSTRUMENTS INCORPORATED</w:t>
      </w:r>
    </w:p>
    <w:p>
      <w:pPr>
        <w:spacing w:after="0" w:line="164" w:lineRule="exact"/>
        <w:rPr>
          <w:sz w:val="20"/>
          <w:szCs w:val="20"/>
          <w:color w:val="auto"/>
        </w:rPr>
      </w:pPr>
    </w:p>
    <w:p>
      <w:pPr>
        <w:spacing w:after="0"/>
        <w:tabs>
          <w:tab w:leader="none" w:pos="5640" w:val="left"/>
          <w:tab w:leader="none" w:pos="6100" w:val="left"/>
        </w:tabs>
        <w:rPr>
          <w:sz w:val="20"/>
          <w:szCs w:val="20"/>
          <w:color w:val="auto"/>
        </w:rPr>
      </w:pPr>
      <w:r>
        <w:rPr>
          <w:rFonts w:ascii="Arial" w:cs="Arial" w:eastAsia="Arial" w:hAnsi="Arial"/>
          <w:sz w:val="14"/>
          <w:szCs w:val="14"/>
          <w:color w:val="auto"/>
        </w:rPr>
        <w:t>Date: October 30, 2009</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7620</wp:posOffset>
            </wp:positionV>
            <wp:extent cx="339534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5345" cy="12700"/>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Kevin P. March</w:t>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Senior Vice President</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and Chief Financial Officer</w:t>
      </w:r>
    </w:p>
    <w:p>
      <w:pPr>
        <w:sectPr>
          <w:pgSz w:w="11900" w:h="16838" w:orient="portrait"/>
          <w:cols w:equalWidth="0" w:num="1">
            <w:col w:w="11460"/>
          </w:cols>
          <w:pgMar w:left="220" w:top="311" w:right="219" w:bottom="1440" w:gutter="0" w:footer="0" w:header="0"/>
        </w:sectPr>
      </w:pPr>
    </w:p>
    <w:bookmarkStart w:id="17" w:name="page18"/>
    <w:bookmarkEnd w:id="17"/>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Exhibit 10.1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TEXAS INSTRUMENTS 2009 LONG-TERM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As amended September 17, 2009</w:t>
      </w:r>
    </w:p>
    <w:p>
      <w:pPr>
        <w:spacing w:after="0" w:line="172"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2"/>
          <w:szCs w:val="12"/>
          <w:i w:val="1"/>
          <w:iCs w:val="1"/>
          <w:color w:val="auto"/>
        </w:rPr>
        <w:t>. Purpose.</w:t>
      </w:r>
    </w:p>
    <w:p>
      <w:pPr>
        <w:spacing w:after="0" w:line="166" w:lineRule="exact"/>
        <w:rPr>
          <w:sz w:val="20"/>
          <w:szCs w:val="20"/>
          <w:color w:val="auto"/>
        </w:rPr>
      </w:pPr>
    </w:p>
    <w:p>
      <w:pPr>
        <w:jc w:val="both"/>
        <w:ind w:firstLine="569"/>
        <w:spacing w:after="0" w:line="250" w:lineRule="auto"/>
        <w:rPr>
          <w:sz w:val="20"/>
          <w:szCs w:val="20"/>
          <w:color w:val="auto"/>
        </w:rPr>
      </w:pPr>
      <w:r>
        <w:rPr>
          <w:rFonts w:ascii="Arial" w:cs="Arial" w:eastAsia="Arial" w:hAnsi="Arial"/>
          <w:sz w:val="14"/>
          <w:szCs w:val="14"/>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65"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2</w:t>
      </w:r>
      <w:r>
        <w:rPr>
          <w:sz w:val="20"/>
          <w:szCs w:val="20"/>
          <w:color w:val="auto"/>
        </w:rPr>
        <w:tab/>
      </w:r>
      <w:r>
        <w:rPr>
          <w:rFonts w:ascii="Arial" w:cs="Arial" w:eastAsia="Arial" w:hAnsi="Arial"/>
          <w:sz w:val="12"/>
          <w:szCs w:val="12"/>
          <w:i w:val="1"/>
          <w:iCs w:val="1"/>
          <w:color w:val="auto"/>
        </w:rPr>
        <w:t>. Definitions.</w:t>
      </w:r>
    </w:p>
    <w:p>
      <w:pPr>
        <w:spacing w:after="0" w:line="166" w:lineRule="exact"/>
        <w:rPr>
          <w:sz w:val="20"/>
          <w:szCs w:val="20"/>
          <w:color w:val="auto"/>
        </w:rPr>
      </w:pPr>
    </w:p>
    <w:p>
      <w:pPr>
        <w:jc w:val="both"/>
        <w:ind w:firstLine="506"/>
        <w:spacing w:after="0" w:line="259" w:lineRule="auto"/>
        <w:rPr>
          <w:sz w:val="20"/>
          <w:szCs w:val="20"/>
          <w:color w:val="auto"/>
        </w:rPr>
      </w:pPr>
      <w:r>
        <w:rPr>
          <w:rFonts w:ascii="Arial" w:cs="Arial" w:eastAsia="Arial" w:hAnsi="Arial"/>
          <w:sz w:val="14"/>
          <w:szCs w:val="14"/>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138" w:lineRule="exact"/>
        <w:rPr>
          <w:sz w:val="20"/>
          <w:szCs w:val="20"/>
          <w:color w:val="auto"/>
        </w:rPr>
      </w:pPr>
    </w:p>
    <w:p>
      <w:pPr>
        <w:ind w:firstLine="502"/>
        <w:spacing w:after="0" w:line="262" w:lineRule="auto"/>
        <w:tabs>
          <w:tab w:leader="none" w:pos="684" w:val="left"/>
        </w:tabs>
        <w:numPr>
          <w:ilvl w:val="0"/>
          <w:numId w:val="1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shall mean (i) any entity that, directly or indirectly, is controlled by the Company and (ii) any entity in which the Company has a significant equity interest, in either case as determined by the Committee.</w:t>
      </w:r>
    </w:p>
    <w:p>
      <w:pPr>
        <w:spacing w:after="0" w:line="155" w:lineRule="exact"/>
        <w:rPr>
          <w:rFonts w:ascii="Arial" w:cs="Arial" w:eastAsia="Arial" w:hAnsi="Arial"/>
          <w:sz w:val="14"/>
          <w:szCs w:val="14"/>
          <w:color w:val="auto"/>
        </w:rPr>
      </w:pPr>
    </w:p>
    <w:p>
      <w:pPr>
        <w:ind w:left="820" w:hanging="318"/>
        <w:spacing w:after="0"/>
        <w:tabs>
          <w:tab w:leader="none" w:pos="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Award</w:t>
      </w:r>
      <w:r>
        <w:rPr>
          <w:rFonts w:ascii="Arial" w:cs="Arial" w:eastAsia="Arial" w:hAnsi="Arial"/>
          <w:sz w:val="14"/>
          <w:szCs w:val="14"/>
          <w:color w:val="auto"/>
        </w:rPr>
        <w:t>” shall mean any Option, award of Restricted Stock, Restricted Stock Unit, Performance Unit or Other Stock-Based Award granted under the Plan.</w:t>
      </w:r>
    </w:p>
    <w:p>
      <w:pPr>
        <w:spacing w:after="0" w:line="183" w:lineRule="exact"/>
        <w:rPr>
          <w:rFonts w:ascii="Arial" w:cs="Arial" w:eastAsia="Arial" w:hAnsi="Arial"/>
          <w:sz w:val="14"/>
          <w:szCs w:val="14"/>
          <w:color w:val="auto"/>
        </w:rPr>
      </w:pPr>
    </w:p>
    <w:p>
      <w:pPr>
        <w:ind w:firstLine="583"/>
        <w:spacing w:after="0" w:line="262" w:lineRule="auto"/>
        <w:tabs>
          <w:tab w:leader="none" w:pos="914" w:val="left"/>
        </w:tabs>
        <w:numPr>
          <w:ilvl w:val="1"/>
          <w:numId w:val="1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Award Agreement</w:t>
      </w:r>
      <w:r>
        <w:rPr>
          <w:rFonts w:ascii="Arial" w:cs="Arial" w:eastAsia="Arial" w:hAnsi="Arial"/>
          <w:sz w:val="14"/>
          <w:szCs w:val="14"/>
          <w:color w:val="auto"/>
        </w:rPr>
        <w:t>” shall mean any written agreement, contract or other instrument or document evidencing an Award granted under the Plan, which may, but need not, be executed or acknowledged by a Participant. An Award Agreement may be in electronic form.</w:t>
      </w:r>
    </w:p>
    <w:p>
      <w:pPr>
        <w:spacing w:after="0" w:line="156" w:lineRule="exact"/>
        <w:rPr>
          <w:sz w:val="20"/>
          <w:szCs w:val="20"/>
          <w:color w:val="auto"/>
        </w:rPr>
      </w:pPr>
    </w:p>
    <w:p>
      <w:pPr>
        <w:ind w:left="820" w:hanging="318"/>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shall mean the board of directors of the Company.</w:t>
      </w:r>
    </w:p>
    <w:p>
      <w:pPr>
        <w:spacing w:after="0" w:line="163" w:lineRule="exact"/>
        <w:rPr>
          <w:rFonts w:ascii="Arial" w:cs="Arial" w:eastAsia="Arial" w:hAnsi="Arial"/>
          <w:sz w:val="14"/>
          <w:szCs w:val="14"/>
          <w:color w:val="auto"/>
        </w:rPr>
      </w:pPr>
    </w:p>
    <w:p>
      <w:pPr>
        <w:ind w:left="680" w:hanging="178"/>
        <w:spacing w:after="0"/>
        <w:tabs>
          <w:tab w:leader="none" w:pos="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Cash Flow</w:t>
      </w:r>
      <w:r>
        <w:rPr>
          <w:rFonts w:ascii="Arial" w:cs="Arial" w:eastAsia="Arial" w:hAnsi="Arial"/>
          <w:sz w:val="14"/>
          <w:szCs w:val="14"/>
          <w:color w:val="auto"/>
        </w:rPr>
        <w:t>” for a period shall mean net cash provided by operating activities.</w:t>
      </w:r>
    </w:p>
    <w:p>
      <w:pPr>
        <w:spacing w:after="0" w:line="163" w:lineRule="exact"/>
        <w:rPr>
          <w:rFonts w:ascii="Arial" w:cs="Arial" w:eastAsia="Arial" w:hAnsi="Arial"/>
          <w:sz w:val="14"/>
          <w:szCs w:val="14"/>
          <w:color w:val="auto"/>
        </w:rPr>
      </w:pPr>
    </w:p>
    <w:p>
      <w:pPr>
        <w:ind w:left="680" w:hanging="178"/>
        <w:spacing w:after="0"/>
        <w:tabs>
          <w:tab w:leader="none" w:pos="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an event that will be deemed to have occurred:</w:t>
      </w:r>
    </w:p>
    <w:p>
      <w:pPr>
        <w:spacing w:after="0" w:line="185" w:lineRule="exact"/>
        <w:rPr>
          <w:rFonts w:ascii="Arial" w:cs="Arial" w:eastAsia="Arial" w:hAnsi="Arial"/>
          <w:sz w:val="14"/>
          <w:szCs w:val="14"/>
          <w:color w:val="auto"/>
        </w:rPr>
      </w:pPr>
    </w:p>
    <w:p>
      <w:pPr>
        <w:ind w:left="1220" w:right="100" w:hanging="488"/>
        <w:spacing w:after="0" w:line="297" w:lineRule="auto"/>
        <w:tabs>
          <w:tab w:leader="none" w:pos="12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140" w:lineRule="exact"/>
        <w:rPr>
          <w:rFonts w:ascii="Arial" w:cs="Arial" w:eastAsia="Arial" w:hAnsi="Arial"/>
          <w:sz w:val="12"/>
          <w:szCs w:val="12"/>
          <w:color w:val="auto"/>
        </w:rPr>
      </w:pPr>
    </w:p>
    <w:p>
      <w:pPr>
        <w:ind w:left="1220" w:right="200" w:hanging="488"/>
        <w:spacing w:after="0" w:line="259" w:lineRule="auto"/>
        <w:tabs>
          <w:tab w:leader="none" w:pos="12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59" w:lineRule="exact"/>
        <w:rPr>
          <w:rFonts w:ascii="Arial" w:cs="Arial" w:eastAsia="Arial" w:hAnsi="Arial"/>
          <w:sz w:val="14"/>
          <w:szCs w:val="14"/>
          <w:color w:val="auto"/>
        </w:rPr>
      </w:pPr>
    </w:p>
    <w:p>
      <w:pPr>
        <w:ind w:left="1220" w:right="60" w:hanging="488"/>
        <w:spacing w:after="0" w:line="285" w:lineRule="auto"/>
        <w:tabs>
          <w:tab w:leader="none" w:pos="12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w:t>
      </w:r>
    </w:p>
    <w:p>
      <w:pPr>
        <w:spacing w:after="0" w:line="2" w:lineRule="exact"/>
        <w:rPr>
          <w:rFonts w:ascii="Arial" w:cs="Arial" w:eastAsia="Arial" w:hAnsi="Arial"/>
          <w:sz w:val="12"/>
          <w:szCs w:val="12"/>
          <w:color w:val="auto"/>
        </w:rPr>
      </w:pPr>
    </w:p>
    <w:p>
      <w:pPr>
        <w:ind w:left="1220" w:right="120" w:hanging="1"/>
        <w:spacing w:after="0" w:line="243" w:lineRule="auto"/>
        <w:tabs>
          <w:tab w:leader="none" w:pos="1457" w:val="left"/>
        </w:tabs>
        <w:numPr>
          <w:ilvl w:val="3"/>
          <w:numId w:val="15"/>
        </w:numPr>
        <w:rPr>
          <w:rFonts w:ascii="Arial" w:cs="Arial" w:eastAsia="Arial" w:hAnsi="Arial"/>
          <w:sz w:val="14"/>
          <w:szCs w:val="14"/>
          <w:color w:val="auto"/>
        </w:rPr>
      </w:pPr>
      <w:r>
        <w:rPr>
          <w:rFonts w:ascii="Arial" w:cs="Arial" w:eastAsia="Arial" w:hAnsi="Arial"/>
          <w:sz w:val="14"/>
          <w:szCs w:val="14"/>
          <w:color w:val="auto"/>
        </w:rPr>
        <w:t>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170" w:lineRule="exact"/>
        <w:rPr>
          <w:rFonts w:ascii="Arial" w:cs="Arial" w:eastAsia="Arial" w:hAnsi="Arial"/>
          <w:sz w:val="14"/>
          <w:szCs w:val="14"/>
          <w:color w:val="auto"/>
        </w:rPr>
      </w:pPr>
    </w:p>
    <w:p>
      <w:pPr>
        <w:ind w:left="1220" w:hanging="488"/>
        <w:spacing w:after="0"/>
        <w:tabs>
          <w:tab w:leader="none" w:pos="12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For purposes of (i), (ii) and (iii) of this Section 2(f),</w:t>
      </w:r>
    </w:p>
    <w:p>
      <w:pPr>
        <w:spacing w:after="0" w:line="183" w:lineRule="exact"/>
        <w:rPr>
          <w:rFonts w:ascii="Arial" w:cs="Arial" w:eastAsia="Arial" w:hAnsi="Arial"/>
          <w:sz w:val="14"/>
          <w:szCs w:val="14"/>
          <w:color w:val="auto"/>
        </w:rPr>
      </w:pPr>
    </w:p>
    <w:p>
      <w:pPr>
        <w:ind w:left="1460" w:hanging="485"/>
        <w:spacing w:after="0"/>
        <w:tabs>
          <w:tab w:leader="none" w:pos="1460" w:val="left"/>
        </w:tabs>
        <w:numPr>
          <w:ilvl w:val="2"/>
          <w:numId w:val="15"/>
        </w:numPr>
        <w:rPr>
          <w:rFonts w:ascii="Arial" w:cs="Arial" w:eastAsia="Arial" w:hAnsi="Arial"/>
          <w:sz w:val="14"/>
          <w:szCs w:val="14"/>
          <w:color w:val="auto"/>
        </w:rPr>
      </w:pPr>
      <w:r>
        <w:rPr>
          <w:rFonts w:ascii="Arial" w:cs="Arial" w:eastAsia="Arial" w:hAnsi="Arial"/>
          <w:sz w:val="14"/>
          <w:szCs w:val="14"/>
          <w:color w:val="auto"/>
        </w:rPr>
        <w:t>“Affiliate” shall have the meaning set forth in Rule 12b-2 promulgated under Section 12 of the Securities Exchange Act of 1934, as amended;</w:t>
      </w:r>
    </w:p>
    <w:p>
      <w:pPr>
        <w:spacing w:after="0" w:line="183" w:lineRule="exact"/>
        <w:rPr>
          <w:rFonts w:ascii="Arial" w:cs="Arial" w:eastAsia="Arial" w:hAnsi="Arial"/>
          <w:sz w:val="14"/>
          <w:szCs w:val="14"/>
          <w:color w:val="auto"/>
        </w:rPr>
      </w:pPr>
    </w:p>
    <w:p>
      <w:pPr>
        <w:ind w:left="1460" w:right="240" w:hanging="485"/>
        <w:spacing w:after="0" w:line="259" w:lineRule="auto"/>
        <w:tabs>
          <w:tab w:leader="none" w:pos="1460" w:val="left"/>
        </w:tabs>
        <w:numPr>
          <w:ilvl w:val="2"/>
          <w:numId w:val="15"/>
        </w:numPr>
        <w:rPr>
          <w:rFonts w:ascii="Arial" w:cs="Arial" w:eastAsia="Arial" w:hAnsi="Arial"/>
          <w:sz w:val="14"/>
          <w:szCs w:val="14"/>
          <w:color w:val="auto"/>
        </w:rPr>
      </w:pPr>
      <w:r>
        <w:rPr>
          <w:rFonts w:ascii="Arial" w:cs="Arial" w:eastAsia="Arial" w:hAnsi="Arial"/>
          <w:sz w:val="14"/>
          <w:szCs w:val="14"/>
          <w:color w:val="auto"/>
        </w:rPr>
        <w:t>“Person” shall have the meaning given in Section 7701(a)(1) of the Code. Person shall include more than one Person acting as a group as defined by the Final Treasury Regulations issued under Section 409A of the Code; and</w:t>
      </w:r>
    </w:p>
    <w:p>
      <w:pPr>
        <w:spacing w:after="0" w:line="159" w:lineRule="exact"/>
        <w:rPr>
          <w:rFonts w:ascii="Arial" w:cs="Arial" w:eastAsia="Arial" w:hAnsi="Arial"/>
          <w:sz w:val="14"/>
          <w:szCs w:val="14"/>
          <w:color w:val="auto"/>
        </w:rPr>
      </w:pPr>
    </w:p>
    <w:p>
      <w:pPr>
        <w:ind w:left="1460" w:right="140" w:hanging="485"/>
        <w:spacing w:after="0" w:line="259" w:lineRule="auto"/>
        <w:tabs>
          <w:tab w:leader="none" w:pos="1460" w:val="left"/>
        </w:tabs>
        <w:numPr>
          <w:ilvl w:val="2"/>
          <w:numId w:val="15"/>
        </w:numPr>
        <w:rPr>
          <w:rFonts w:ascii="Arial" w:cs="Arial" w:eastAsia="Arial" w:hAnsi="Arial"/>
          <w:sz w:val="14"/>
          <w:szCs w:val="14"/>
          <w:color w:val="auto"/>
        </w:rPr>
      </w:pPr>
      <w:r>
        <w:rPr>
          <w:rFonts w:ascii="Arial" w:cs="Arial" w:eastAsia="Arial" w:hAnsi="Arial"/>
          <w:sz w:val="14"/>
          <w:szCs w:val="14"/>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59" w:lineRule="exact"/>
        <w:rPr>
          <w:rFonts w:ascii="Arial" w:cs="Arial" w:eastAsia="Arial" w:hAnsi="Arial"/>
          <w:sz w:val="14"/>
          <w:szCs w:val="14"/>
          <w:color w:val="auto"/>
        </w:rPr>
      </w:pPr>
    </w:p>
    <w:p>
      <w:pPr>
        <w:ind w:left="1340" w:right="340" w:hanging="608"/>
        <w:spacing w:after="0" w:line="259" w:lineRule="auto"/>
        <w:tabs>
          <w:tab w:leader="none" w:pos="13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Notwithstanding the foregoing, in no case will an event in (i), (ii) or (iii) of this Section 2(f) be treated as a Change in Control unless such event also constitutes a “change in control event” with respect to the Company within the meaning of Treas. Reg. § 1.409A-3(i)(5) or any successor provision.</w:t>
      </w:r>
    </w:p>
    <w:p>
      <w:pPr>
        <w:spacing w:after="0" w:line="137" w:lineRule="exact"/>
        <w:rPr>
          <w:rFonts w:ascii="Arial" w:cs="Arial" w:eastAsia="Arial" w:hAnsi="Arial"/>
          <w:sz w:val="14"/>
          <w:szCs w:val="14"/>
          <w:color w:val="auto"/>
        </w:rPr>
      </w:pPr>
    </w:p>
    <w:p>
      <w:pPr>
        <w:ind w:left="700" w:hanging="198"/>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shall mean the Internal Revenue Code of 1986, as amended from time to time.</w:t>
      </w:r>
    </w:p>
    <w:p>
      <w:pPr>
        <w:spacing w:after="0" w:line="164" w:lineRule="exact"/>
        <w:rPr>
          <w:sz w:val="20"/>
          <w:szCs w:val="20"/>
          <w:color w:val="auto"/>
        </w:rPr>
      </w:pPr>
    </w:p>
    <w:p>
      <w:pPr>
        <w:ind w:firstLine="542"/>
        <w:spacing w:after="0" w:line="262" w:lineRule="auto"/>
        <w:tabs>
          <w:tab w:leader="none" w:pos="743" w:val="left"/>
        </w:tabs>
        <w:numPr>
          <w:ilvl w:val="3"/>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Committee</w:t>
      </w:r>
      <w:r>
        <w:rPr>
          <w:rFonts w:ascii="Arial" w:cs="Arial" w:eastAsia="Arial" w:hAnsi="Arial"/>
          <w:sz w:val="14"/>
          <w:szCs w:val="14"/>
          <w:color w:val="auto"/>
        </w:rPr>
        <w:t>” shall mean a committee of the Board designated by the Board to administer the Plan. Unless otherwise determined by the Board, the Compensation Committee designated by the Board shall be the Committee under the Plan.</w:t>
      </w:r>
    </w:p>
    <w:p>
      <w:pPr>
        <w:spacing w:after="0" w:line="135" w:lineRule="exact"/>
        <w:rPr>
          <w:rFonts w:ascii="Arial" w:cs="Arial" w:eastAsia="Arial" w:hAnsi="Arial"/>
          <w:sz w:val="14"/>
          <w:szCs w:val="14"/>
          <w:color w:val="auto"/>
        </w:rPr>
      </w:pPr>
    </w:p>
    <w:p>
      <w:pPr>
        <w:ind w:left="660" w:hanging="15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shall mean Texas Instruments Incorporated, together with any successor thereto.</w:t>
      </w:r>
    </w:p>
    <w:p>
      <w:pPr>
        <w:spacing w:after="0" w:line="163" w:lineRule="exact"/>
        <w:rPr>
          <w:rFonts w:ascii="Arial" w:cs="Arial" w:eastAsia="Arial" w:hAnsi="Arial"/>
          <w:sz w:val="14"/>
          <w:szCs w:val="14"/>
          <w:color w:val="auto"/>
        </w:rPr>
      </w:pPr>
    </w:p>
    <w:p>
      <w:pPr>
        <w:ind w:left="660" w:hanging="15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Cycle Time</w:t>
      </w:r>
      <w:r>
        <w:rPr>
          <w:rFonts w:ascii="Arial" w:cs="Arial" w:eastAsia="Arial" w:hAnsi="Arial"/>
          <w:sz w:val="14"/>
          <w:szCs w:val="14"/>
          <w:color w:val="auto"/>
        </w:rPr>
        <w:t>” shall mean the actual time a specific process relating to a product or service of the Company takes to accomplish.</w:t>
      </w:r>
    </w:p>
    <w:p>
      <w:pPr>
        <w:spacing w:after="0" w:line="163" w:lineRule="exact"/>
        <w:rPr>
          <w:rFonts w:ascii="Arial" w:cs="Arial" w:eastAsia="Arial" w:hAnsi="Arial"/>
          <w:sz w:val="14"/>
          <w:szCs w:val="14"/>
          <w:color w:val="auto"/>
        </w:rPr>
      </w:pPr>
    </w:p>
    <w:p>
      <w:pPr>
        <w:ind w:left="700" w:hanging="198"/>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Earnings Before Income Taxes</w:t>
      </w:r>
      <w:r>
        <w:rPr>
          <w:rFonts w:ascii="Arial" w:cs="Arial" w:eastAsia="Arial" w:hAnsi="Arial"/>
          <w:sz w:val="14"/>
          <w:szCs w:val="14"/>
          <w:color w:val="auto"/>
        </w:rPr>
        <w:t>” shall mean income from continuing operations plus provision for income taxes.</w:t>
      </w:r>
    </w:p>
    <w:p>
      <w:pPr>
        <w:spacing w:after="0" w:line="163" w:lineRule="exact"/>
        <w:rPr>
          <w:rFonts w:ascii="Arial" w:cs="Arial" w:eastAsia="Arial" w:hAnsi="Arial"/>
          <w:sz w:val="14"/>
          <w:szCs w:val="14"/>
          <w:color w:val="auto"/>
        </w:rPr>
      </w:pPr>
    </w:p>
    <w:p>
      <w:pPr>
        <w:ind w:firstLine="502"/>
        <w:spacing w:after="0" w:line="262" w:lineRule="auto"/>
        <w:tabs>
          <w:tab w:leader="none" w:pos="66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Earnings Before Income Taxes, Depreciation and Amortization</w:t>
      </w:r>
      <w:r>
        <w:rPr>
          <w:rFonts w:ascii="Arial" w:cs="Arial" w:eastAsia="Arial" w:hAnsi="Arial"/>
          <w:sz w:val="14"/>
          <w:szCs w:val="14"/>
          <w:color w:val="auto"/>
        </w:rPr>
        <w:t>” or “</w:t>
      </w:r>
      <w:r>
        <w:rPr>
          <w:rFonts w:ascii="Arial" w:cs="Arial" w:eastAsia="Arial" w:hAnsi="Arial"/>
          <w:sz w:val="14"/>
          <w:szCs w:val="14"/>
          <w:b w:val="1"/>
          <w:bCs w:val="1"/>
          <w:color w:val="auto"/>
        </w:rPr>
        <w:t>EBITDA</w:t>
      </w:r>
      <w:r>
        <w:rPr>
          <w:rFonts w:ascii="Arial" w:cs="Arial" w:eastAsia="Arial" w:hAnsi="Arial"/>
          <w:sz w:val="14"/>
          <w:szCs w:val="14"/>
          <w:color w:val="auto"/>
        </w:rPr>
        <w:t>” shall mean income from continuing operations plus 1) provision for income taxes, 2) depreciation expense and 3) amortization expense.</w:t>
      </w:r>
    </w:p>
    <w:p>
      <w:pPr>
        <w:spacing w:after="0" w:line="135" w:lineRule="exact"/>
        <w:rPr>
          <w:rFonts w:ascii="Arial" w:cs="Arial" w:eastAsia="Arial" w:hAnsi="Arial"/>
          <w:sz w:val="14"/>
          <w:szCs w:val="14"/>
          <w:color w:val="auto"/>
        </w:rPr>
      </w:pPr>
    </w:p>
    <w:p>
      <w:pPr>
        <w:ind w:left="740" w:hanging="23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Earnings Per Share</w:t>
      </w:r>
      <w:r>
        <w:rPr>
          <w:rFonts w:ascii="Arial" w:cs="Arial" w:eastAsia="Arial" w:hAnsi="Arial"/>
          <w:sz w:val="14"/>
          <w:szCs w:val="14"/>
          <w:color w:val="auto"/>
        </w:rPr>
        <w:t>” for a period shall mean diluted earnings per common share from continuing operations before extraordinary items.</w:t>
      </w:r>
    </w:p>
    <w:p>
      <w:pPr>
        <w:spacing w:after="0" w:line="163" w:lineRule="exact"/>
        <w:rPr>
          <w:rFonts w:ascii="Arial" w:cs="Arial" w:eastAsia="Arial" w:hAnsi="Arial"/>
          <w:sz w:val="14"/>
          <w:szCs w:val="14"/>
          <w:color w:val="auto"/>
        </w:rPr>
      </w:pPr>
    </w:p>
    <w:p>
      <w:pPr>
        <w:ind w:firstLine="527"/>
        <w:spacing w:after="0" w:line="345" w:lineRule="auto"/>
        <w:tabs>
          <w:tab w:leader="none" w:pos="722" w:val="left"/>
        </w:tabs>
        <w:numPr>
          <w:ilvl w:val="2"/>
          <w:numId w:val="1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Executive Group</w:t>
      </w:r>
      <w:r>
        <w:rPr>
          <w:rFonts w:ascii="Arial" w:cs="Arial" w:eastAsia="Arial" w:hAnsi="Arial"/>
          <w:sz w:val="12"/>
          <w:szCs w:val="12"/>
          <w:color w:val="auto"/>
        </w:rPr>
        <w:t>” shall mean every person who is expected by the Committee to be both (i) a “covered employee” as defined in Section 162(m) of the Code as of the end of the taxable year in which an amount related to or arising in connection with the Award may be deducted by the Company, and (ii) the recipient of taxable compensation of more than $1,000,000 for that taxable year.</w:t>
      </w:r>
    </w:p>
    <w:p>
      <w:pPr>
        <w:spacing w:after="0" w:line="90" w:lineRule="exact"/>
        <w:rPr>
          <w:rFonts w:ascii="Arial" w:cs="Arial" w:eastAsia="Arial" w:hAnsi="Arial"/>
          <w:sz w:val="12"/>
          <w:szCs w:val="12"/>
          <w:color w:val="auto"/>
        </w:rPr>
      </w:pPr>
    </w:p>
    <w:p>
      <w:pPr>
        <w:ind w:firstLine="517"/>
        <w:spacing w:after="0" w:line="262" w:lineRule="auto"/>
        <w:tabs>
          <w:tab w:leader="none" w:pos="712" w:val="left"/>
        </w:tabs>
        <w:numPr>
          <w:ilvl w:val="1"/>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Fair Market Value</w:t>
      </w:r>
      <w:r>
        <w:rPr>
          <w:rFonts w:ascii="Arial" w:cs="Arial" w:eastAsia="Arial" w:hAnsi="Arial"/>
          <w:sz w:val="14"/>
          <w:szCs w:val="14"/>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136" w:lineRule="exact"/>
        <w:rPr>
          <w:sz w:val="20"/>
          <w:szCs w:val="20"/>
          <w:color w:val="auto"/>
        </w:rPr>
      </w:pPr>
    </w:p>
    <w:p>
      <w:pPr>
        <w:ind w:left="700" w:hanging="198"/>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Free Cash Flow</w:t>
      </w:r>
      <w:r>
        <w:rPr>
          <w:rFonts w:ascii="Arial" w:cs="Arial" w:eastAsia="Arial" w:hAnsi="Arial"/>
          <w:sz w:val="14"/>
          <w:szCs w:val="14"/>
          <w:color w:val="auto"/>
        </w:rPr>
        <w:t>” for a period shall mean net cash provided by operating activities of continuing operations less additions to property, plant and equipment.</w:t>
      </w:r>
    </w:p>
    <w:p>
      <w:pPr>
        <w:spacing w:after="0" w:line="163" w:lineRule="exact"/>
        <w:rPr>
          <w:rFonts w:ascii="Arial" w:cs="Arial" w:eastAsia="Arial" w:hAnsi="Arial"/>
          <w:sz w:val="14"/>
          <w:szCs w:val="14"/>
          <w:color w:val="auto"/>
        </w:rPr>
      </w:pPr>
    </w:p>
    <w:p>
      <w:pPr>
        <w:ind w:left="700" w:hanging="198"/>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Gross Profit</w:t>
      </w:r>
      <w:r>
        <w:rPr>
          <w:rFonts w:ascii="Arial" w:cs="Arial" w:eastAsia="Arial" w:hAnsi="Arial"/>
          <w:sz w:val="14"/>
          <w:szCs w:val="14"/>
          <w:color w:val="auto"/>
        </w:rPr>
        <w:t>” for a period shall mean net revenue less cost of revenue.</w:t>
      </w:r>
    </w:p>
    <w:p>
      <w:pPr>
        <w:spacing w:after="0" w:line="163" w:lineRule="exact"/>
        <w:rPr>
          <w:rFonts w:ascii="Arial" w:cs="Arial" w:eastAsia="Arial" w:hAnsi="Arial"/>
          <w:sz w:val="14"/>
          <w:szCs w:val="14"/>
          <w:color w:val="auto"/>
        </w:rPr>
      </w:pPr>
    </w:p>
    <w:p>
      <w:pPr>
        <w:ind w:left="680" w:hanging="178"/>
        <w:spacing w:after="0"/>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Gross Profit Margin</w:t>
      </w:r>
      <w:r>
        <w:rPr>
          <w:rFonts w:ascii="Arial" w:cs="Arial" w:eastAsia="Arial" w:hAnsi="Arial"/>
          <w:sz w:val="14"/>
          <w:szCs w:val="14"/>
          <w:color w:val="auto"/>
        </w:rPr>
        <w:t>” for a period shall mean Gross Profit divided by net revenue.</w:t>
      </w:r>
    </w:p>
    <w:p>
      <w:pPr>
        <w:spacing w:after="0" w:line="163" w:lineRule="exact"/>
        <w:rPr>
          <w:rFonts w:ascii="Arial" w:cs="Arial" w:eastAsia="Arial" w:hAnsi="Arial"/>
          <w:sz w:val="14"/>
          <w:szCs w:val="14"/>
          <w:color w:val="auto"/>
        </w:rPr>
      </w:pPr>
    </w:p>
    <w:p>
      <w:pPr>
        <w:ind w:left="680" w:hanging="178"/>
        <w:spacing w:after="0"/>
        <w:tabs>
          <w:tab w:leader="none" w:pos="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Incentive Stock Option</w:t>
      </w:r>
      <w:r>
        <w:rPr>
          <w:rFonts w:ascii="Arial" w:cs="Arial" w:eastAsia="Arial" w:hAnsi="Arial"/>
          <w:sz w:val="12"/>
          <w:szCs w:val="12"/>
          <w:color w:val="auto"/>
        </w:rPr>
        <w:t>” shall mean an option granted under Section 6 that is intended to meet the requirements of Section 422 of the Code, or any successor provision thereto.</w:t>
      </w:r>
    </w:p>
    <w:p>
      <w:pPr>
        <w:spacing w:after="0" w:line="186" w:lineRule="exact"/>
        <w:rPr>
          <w:rFonts w:ascii="Arial" w:cs="Arial" w:eastAsia="Arial" w:hAnsi="Arial"/>
          <w:sz w:val="12"/>
          <w:szCs w:val="12"/>
          <w:color w:val="auto"/>
        </w:rPr>
      </w:pPr>
    </w:p>
    <w:p>
      <w:pPr>
        <w:ind w:firstLine="512"/>
        <w:spacing w:after="0" w:line="345" w:lineRule="auto"/>
        <w:tabs>
          <w:tab w:leader="none" w:pos="672" w:val="left"/>
        </w:tabs>
        <w:numPr>
          <w:ilvl w:val="1"/>
          <w:numId w:val="18"/>
        </w:numPr>
        <w:rPr>
          <w:rFonts w:ascii="Arial" w:cs="Arial" w:eastAsia="Arial" w:hAnsi="Arial"/>
          <w:sz w:val="12"/>
          <w:szCs w:val="12"/>
          <w:color w:val="auto"/>
        </w:rPr>
      </w:pPr>
      <w:r>
        <w:rPr>
          <w:rFonts w:ascii="Arial" w:cs="Arial" w:eastAsia="Arial" w:hAnsi="Arial"/>
          <w:sz w:val="12"/>
          <w:szCs w:val="12"/>
          <w:b w:val="1"/>
          <w:bCs w:val="1"/>
          <w:color w:val="auto"/>
        </w:rPr>
        <w:t>“Involuntary Termination</w:t>
      </w:r>
      <w:r>
        <w:rPr>
          <w:rFonts w:ascii="Arial" w:cs="Arial" w:eastAsia="Arial" w:hAnsi="Arial"/>
          <w:sz w:val="12"/>
          <w:szCs w:val="12"/>
          <w:color w:val="auto"/>
        </w:rPr>
        <w:t>” shall mean a Termination of Employment, other than for cause, due to the independent exercise of unilateral authority of TI to terminate the Participant’s services, other</w:t>
      </w:r>
      <w:r>
        <w:rPr>
          <w:rFonts w:ascii="Arial" w:cs="Arial" w:eastAsia="Arial" w:hAnsi="Arial"/>
          <w:sz w:val="12"/>
          <w:szCs w:val="12"/>
          <w:b w:val="1"/>
          <w:bCs w:val="1"/>
          <w:color w:val="auto"/>
        </w:rPr>
        <w:t xml:space="preserve"> </w:t>
      </w:r>
      <w:r>
        <w:rPr>
          <w:rFonts w:ascii="Arial" w:cs="Arial" w:eastAsia="Arial" w:hAnsi="Arial"/>
          <w:sz w:val="12"/>
          <w:szCs w:val="12"/>
          <w:color w:val="auto"/>
        </w:rPr>
        <w:t>than due to the Participant’s implicit or explicit request, where the Participant was willing and able to continue to perform services, in accordance with Treas. Reg. § 1.409A-1(n)(1) or any successor provision.</w:t>
      </w:r>
    </w:p>
    <w:p>
      <w:pPr>
        <w:spacing w:after="0" w:line="90" w:lineRule="exact"/>
        <w:rPr>
          <w:sz w:val="20"/>
          <w:szCs w:val="20"/>
          <w:color w:val="auto"/>
        </w:rPr>
      </w:pPr>
    </w:p>
    <w:p>
      <w:pPr>
        <w:ind w:left="700" w:hanging="198"/>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Manufacturing Process Yield</w:t>
      </w:r>
      <w:r>
        <w:rPr>
          <w:rFonts w:ascii="Arial" w:cs="Arial" w:eastAsia="Arial" w:hAnsi="Arial"/>
          <w:sz w:val="14"/>
          <w:szCs w:val="14"/>
          <w:color w:val="auto"/>
        </w:rPr>
        <w:t>” shall mean the good units produced as a percent of the total units processed.</w:t>
      </w:r>
    </w:p>
    <w:p>
      <w:pPr>
        <w:spacing w:after="0" w:line="163" w:lineRule="exact"/>
        <w:rPr>
          <w:rFonts w:ascii="Arial" w:cs="Arial" w:eastAsia="Arial" w:hAnsi="Arial"/>
          <w:sz w:val="14"/>
          <w:szCs w:val="14"/>
          <w:color w:val="auto"/>
        </w:rPr>
      </w:pPr>
    </w:p>
    <w:p>
      <w:pPr>
        <w:ind w:firstLine="527"/>
        <w:spacing w:after="0" w:line="262" w:lineRule="auto"/>
        <w:tabs>
          <w:tab w:leader="none" w:pos="722" w:val="left"/>
        </w:tabs>
        <w:numPr>
          <w:ilvl w:val="1"/>
          <w:numId w:val="1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 Share</w:t>
      </w:r>
      <w:r>
        <w:rPr>
          <w:rFonts w:ascii="Arial" w:cs="Arial" w:eastAsia="Arial" w:hAnsi="Arial"/>
          <w:sz w:val="14"/>
          <w:szCs w:val="14"/>
          <w:color w:val="auto"/>
        </w:rPr>
        <w:t>” shall mean the percent of sales of the total available market in an industry, product line or product attained by the Company or one or more of its business units, product lines or products during a time period.</w:t>
      </w:r>
    </w:p>
    <w:p>
      <w:pPr>
        <w:spacing w:after="0" w:line="136" w:lineRule="exact"/>
        <w:rPr>
          <w:sz w:val="20"/>
          <w:szCs w:val="20"/>
          <w:color w:val="auto"/>
        </w:rPr>
      </w:pPr>
    </w:p>
    <w:p>
      <w:pPr>
        <w:ind w:firstLine="517"/>
        <w:spacing w:after="0" w:line="262" w:lineRule="auto"/>
        <w:tabs>
          <w:tab w:leader="none" w:pos="742" w:val="left"/>
        </w:tabs>
        <w:numPr>
          <w:ilvl w:val="0"/>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Net Revenue Per Employee</w:t>
      </w:r>
      <w:r>
        <w:rPr>
          <w:rFonts w:ascii="Arial" w:cs="Arial" w:eastAsia="Arial" w:hAnsi="Arial"/>
          <w:sz w:val="14"/>
          <w:szCs w:val="14"/>
          <w:color w:val="auto"/>
        </w:rPr>
        <w:t>” in a period shall mean net revenue divided by the average number of employees, with average defined as the sum of the number of employees at the beginning and ending of the period divided by two.</w:t>
      </w:r>
    </w:p>
    <w:p>
      <w:pPr>
        <w:sectPr>
          <w:pgSz w:w="11900" w:h="16852" w:orient="portrait"/>
          <w:cols w:equalWidth="0" w:num="1">
            <w:col w:w="11460"/>
          </w:cols>
          <w:pgMar w:left="220" w:top="127" w:right="219" w:bottom="0" w:gutter="0" w:footer="0" w:header="0"/>
        </w:sectPr>
      </w:pPr>
    </w:p>
    <w:bookmarkStart w:id="18" w:name="page19"/>
    <w:bookmarkEnd w:id="18"/>
    <w:p>
      <w:pPr>
        <w:spacing w:after="0" w:line="81" w:lineRule="exact"/>
        <w:rPr>
          <w:sz w:val="20"/>
          <w:szCs w:val="20"/>
          <w:color w:val="auto"/>
        </w:rPr>
      </w:pPr>
    </w:p>
    <w:p>
      <w:pPr>
        <w:ind w:left="700" w:hanging="198"/>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Non-Qualified Stock Option</w:t>
      </w:r>
      <w:r>
        <w:rPr>
          <w:rFonts w:ascii="Arial" w:cs="Arial" w:eastAsia="Arial" w:hAnsi="Arial"/>
          <w:sz w:val="14"/>
          <w:szCs w:val="14"/>
          <w:color w:val="auto"/>
        </w:rPr>
        <w:t>” shall mean an option granted under Section 6 that is not intended to be an Incentive Stock Option.</w:t>
      </w:r>
    </w:p>
    <w:p>
      <w:pPr>
        <w:spacing w:after="0" w:line="163" w:lineRule="exact"/>
        <w:rPr>
          <w:rFonts w:ascii="Arial" w:cs="Arial" w:eastAsia="Arial" w:hAnsi="Arial"/>
          <w:sz w:val="14"/>
          <w:szCs w:val="14"/>
          <w:color w:val="auto"/>
        </w:rPr>
      </w:pPr>
    </w:p>
    <w:p>
      <w:pPr>
        <w:ind w:left="700" w:hanging="198"/>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w:t>
      </w:r>
      <w:r>
        <w:rPr>
          <w:rFonts w:ascii="Arial" w:cs="Arial" w:eastAsia="Arial" w:hAnsi="Arial"/>
          <w:sz w:val="14"/>
          <w:szCs w:val="14"/>
          <w:color w:val="auto"/>
        </w:rPr>
        <w:t>” shall mean an Incentive Stock Option or a Non-Qualified Stock Option.</w:t>
      </w:r>
    </w:p>
    <w:p>
      <w:pPr>
        <w:spacing w:after="0" w:line="163" w:lineRule="exact"/>
        <w:rPr>
          <w:rFonts w:ascii="Arial" w:cs="Arial" w:eastAsia="Arial" w:hAnsi="Arial"/>
          <w:sz w:val="14"/>
          <w:szCs w:val="14"/>
          <w:color w:val="auto"/>
        </w:rPr>
      </w:pPr>
    </w:p>
    <w:p>
      <w:pPr>
        <w:ind w:left="680" w:hanging="178"/>
        <w:spacing w:after="0"/>
        <w:tabs>
          <w:tab w:leader="none" w:pos="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Stock-Based Award</w:t>
      </w:r>
      <w:r>
        <w:rPr>
          <w:rFonts w:ascii="Arial" w:cs="Arial" w:eastAsia="Arial" w:hAnsi="Arial"/>
          <w:sz w:val="14"/>
          <w:szCs w:val="14"/>
          <w:color w:val="auto"/>
        </w:rPr>
        <w:t>” shall mean any right granted under Section 10.</w:t>
      </w:r>
    </w:p>
    <w:p>
      <w:pPr>
        <w:spacing w:after="0" w:line="164" w:lineRule="exact"/>
        <w:rPr>
          <w:sz w:val="20"/>
          <w:szCs w:val="20"/>
          <w:color w:val="auto"/>
        </w:rPr>
      </w:pPr>
    </w:p>
    <w:p>
      <w:pPr>
        <w:ind w:left="740" w:hanging="23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w:t>
      </w:r>
      <w:r>
        <w:rPr>
          <w:rFonts w:ascii="Arial" w:cs="Arial" w:eastAsia="Arial" w:hAnsi="Arial"/>
          <w:sz w:val="12"/>
          <w:szCs w:val="12"/>
          <w:color w:val="auto"/>
        </w:rPr>
        <w:t>” shall mean an individual granted an Award under the Plan.</w:t>
      </w:r>
    </w:p>
    <w:p>
      <w:pPr>
        <w:spacing w:after="0" w:line="186" w:lineRule="exact"/>
        <w:rPr>
          <w:rFonts w:ascii="Arial" w:cs="Arial" w:eastAsia="Arial" w:hAnsi="Arial"/>
          <w:sz w:val="12"/>
          <w:szCs w:val="12"/>
          <w:color w:val="auto"/>
        </w:rPr>
      </w:pPr>
    </w:p>
    <w:p>
      <w:pPr>
        <w:ind w:left="760" w:hanging="258"/>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Performance Unit</w:t>
      </w:r>
      <w:r>
        <w:rPr>
          <w:rFonts w:ascii="Arial" w:cs="Arial" w:eastAsia="Arial" w:hAnsi="Arial"/>
          <w:sz w:val="14"/>
          <w:szCs w:val="14"/>
          <w:color w:val="auto"/>
        </w:rPr>
        <w:t>” shall mean any right granted under Section 8.</w:t>
      </w:r>
    </w:p>
    <w:p>
      <w:pPr>
        <w:spacing w:after="0" w:line="163" w:lineRule="exact"/>
        <w:rPr>
          <w:rFonts w:ascii="Arial" w:cs="Arial" w:eastAsia="Arial" w:hAnsi="Arial"/>
          <w:sz w:val="14"/>
          <w:szCs w:val="14"/>
          <w:color w:val="auto"/>
        </w:rPr>
      </w:pPr>
    </w:p>
    <w:p>
      <w:pPr>
        <w:ind w:left="740" w:hanging="238"/>
        <w:spacing w:after="0"/>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“Plan</w:t>
      </w:r>
      <w:r>
        <w:rPr>
          <w:rFonts w:ascii="Arial" w:cs="Arial" w:eastAsia="Arial" w:hAnsi="Arial"/>
          <w:sz w:val="14"/>
          <w:szCs w:val="14"/>
          <w:color w:val="auto"/>
        </w:rPr>
        <w:t>” shall mean this Texas Instruments 2009 Long-Term Incentive Plan.</w:t>
      </w:r>
    </w:p>
    <w:p>
      <w:pPr>
        <w:spacing w:after="0" w:line="163" w:lineRule="exact"/>
        <w:rPr>
          <w:rFonts w:ascii="Arial" w:cs="Arial" w:eastAsia="Arial" w:hAnsi="Arial"/>
          <w:sz w:val="14"/>
          <w:szCs w:val="14"/>
          <w:color w:val="auto"/>
        </w:rPr>
      </w:pPr>
    </w:p>
    <w:p>
      <w:pPr>
        <w:ind w:left="760" w:hanging="258"/>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“Operating Profit</w:t>
      </w:r>
      <w:r>
        <w:rPr>
          <w:rFonts w:ascii="Arial" w:cs="Arial" w:eastAsia="Arial" w:hAnsi="Arial"/>
          <w:sz w:val="14"/>
          <w:szCs w:val="14"/>
          <w:color w:val="auto"/>
        </w:rPr>
        <w:t>” shall mean revenue less (i) cost of revenue, (ii) research and development expense and (iii) selling, general and administrative expense.</w:t>
      </w:r>
    </w:p>
    <w:p>
      <w:pPr>
        <w:spacing w:after="0" w:line="163" w:lineRule="exact"/>
        <w:rPr>
          <w:rFonts w:ascii="Arial" w:cs="Arial" w:eastAsia="Arial" w:hAnsi="Arial"/>
          <w:sz w:val="14"/>
          <w:szCs w:val="14"/>
          <w:color w:val="auto"/>
        </w:rPr>
      </w:pPr>
    </w:p>
    <w:p>
      <w:pPr>
        <w:ind w:left="740" w:hanging="23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b w:val="1"/>
          <w:bCs w:val="1"/>
          <w:color w:val="auto"/>
        </w:rPr>
        <w:t>“Restricted Stock</w:t>
      </w:r>
      <w:r>
        <w:rPr>
          <w:rFonts w:ascii="Arial" w:cs="Arial" w:eastAsia="Arial" w:hAnsi="Arial"/>
          <w:sz w:val="12"/>
          <w:szCs w:val="12"/>
          <w:color w:val="auto"/>
        </w:rPr>
        <w:t>” shall mean any Share granted under Section 7.</w:t>
      </w:r>
    </w:p>
    <w:p>
      <w:pPr>
        <w:spacing w:after="0" w:line="186" w:lineRule="exact"/>
        <w:rPr>
          <w:rFonts w:ascii="Arial" w:cs="Arial" w:eastAsia="Arial" w:hAnsi="Arial"/>
          <w:sz w:val="12"/>
          <w:szCs w:val="12"/>
          <w:color w:val="auto"/>
        </w:rPr>
      </w:pPr>
    </w:p>
    <w:p>
      <w:pPr>
        <w:ind w:firstLine="502"/>
        <w:spacing w:after="0" w:line="262" w:lineRule="auto"/>
        <w:tabs>
          <w:tab w:leader="none" w:pos="712"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“Restricted Stock Unit</w:t>
      </w:r>
      <w:r>
        <w:rPr>
          <w:rFonts w:ascii="Arial" w:cs="Arial" w:eastAsia="Arial" w:hAnsi="Arial"/>
          <w:sz w:val="14"/>
          <w:szCs w:val="14"/>
          <w:color w:val="auto"/>
        </w:rPr>
        <w:t>” shall mean a contractual right granted under Section 7 that is denominated in Shares, each of which represents a right to receive the value of a Share (or a percentage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value, which percentage may be higher than 100%) on the terms and conditions set forth in the Plan and the applicable Award Agreement.</w:t>
      </w:r>
    </w:p>
    <w:p>
      <w:pPr>
        <w:spacing w:after="0" w:line="135" w:lineRule="exact"/>
        <w:rPr>
          <w:rFonts w:ascii="Arial" w:cs="Arial" w:eastAsia="Arial" w:hAnsi="Arial"/>
          <w:sz w:val="14"/>
          <w:szCs w:val="14"/>
          <w:color w:val="auto"/>
        </w:rPr>
      </w:pPr>
    </w:p>
    <w:p>
      <w:pPr>
        <w:ind w:left="760" w:hanging="258"/>
        <w:spacing w:after="0"/>
        <w:tabs>
          <w:tab w:leader="none" w:pos="760" w:val="left"/>
        </w:tabs>
        <w:numPr>
          <w:ilvl w:val="0"/>
          <w:numId w:val="22"/>
        </w:numPr>
        <w:rPr>
          <w:rFonts w:ascii="Arial" w:cs="Arial" w:eastAsia="Arial" w:hAnsi="Arial"/>
          <w:sz w:val="12"/>
          <w:szCs w:val="12"/>
          <w:color w:val="auto"/>
        </w:rPr>
      </w:pPr>
      <w:r>
        <w:rPr>
          <w:rFonts w:ascii="Arial" w:cs="Arial" w:eastAsia="Arial" w:hAnsi="Arial"/>
          <w:sz w:val="12"/>
          <w:szCs w:val="12"/>
          <w:b w:val="1"/>
          <w:bCs w:val="1"/>
          <w:color w:val="auto"/>
        </w:rPr>
        <w:t>“Return on Assets</w:t>
      </w:r>
      <w:r>
        <w:rPr>
          <w:rFonts w:ascii="Arial" w:cs="Arial" w:eastAsia="Arial" w:hAnsi="Arial"/>
          <w:sz w:val="12"/>
          <w:szCs w:val="12"/>
          <w:color w:val="auto"/>
        </w:rPr>
        <w:t>” for a period shall mean net income divided by average total assets, with average defined as the sum of the amount of assets at the beginning and ending of the period divided by</w:t>
      </w:r>
    </w:p>
    <w:p>
      <w:pPr>
        <w:spacing w:after="0" w:line="3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two.</w:t>
      </w:r>
    </w:p>
    <w:p>
      <w:pPr>
        <w:spacing w:after="0" w:line="151" w:lineRule="exact"/>
        <w:rPr>
          <w:rFonts w:ascii="Arial" w:cs="Arial" w:eastAsia="Arial" w:hAnsi="Arial"/>
          <w:sz w:val="12"/>
          <w:szCs w:val="12"/>
          <w:color w:val="auto"/>
        </w:rPr>
      </w:pPr>
    </w:p>
    <w:p>
      <w:pPr>
        <w:ind w:left="760" w:hanging="258"/>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“Return on Capital</w:t>
      </w:r>
      <w:r>
        <w:rPr>
          <w:rFonts w:ascii="Arial" w:cs="Arial" w:eastAsia="Arial" w:hAnsi="Arial"/>
          <w:sz w:val="14"/>
          <w:szCs w:val="14"/>
          <w:color w:val="auto"/>
        </w:rPr>
        <w:t>” for a period shall mean net income divided by stockholders’ equity.</w:t>
      </w:r>
    </w:p>
    <w:p>
      <w:pPr>
        <w:spacing w:after="0" w:line="163" w:lineRule="exact"/>
        <w:rPr>
          <w:rFonts w:ascii="Arial" w:cs="Arial" w:eastAsia="Arial" w:hAnsi="Arial"/>
          <w:sz w:val="14"/>
          <w:szCs w:val="14"/>
          <w:color w:val="auto"/>
        </w:rPr>
      </w:pPr>
    </w:p>
    <w:p>
      <w:pPr>
        <w:ind w:left="700" w:hanging="198"/>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“Return on Common Equity</w:t>
      </w:r>
      <w:r>
        <w:rPr>
          <w:rFonts w:ascii="Arial" w:cs="Arial" w:eastAsia="Arial" w:hAnsi="Arial"/>
          <w:sz w:val="14"/>
          <w:szCs w:val="14"/>
          <w:color w:val="auto"/>
        </w:rPr>
        <w:t>” for a period shall mean net income divided by total stockholders’ equity, less amounts, if any, attributable to preferred stock.</w:t>
      </w:r>
    </w:p>
    <w:p>
      <w:pPr>
        <w:spacing w:after="0" w:line="163" w:lineRule="exact"/>
        <w:rPr>
          <w:rFonts w:ascii="Arial" w:cs="Arial" w:eastAsia="Arial" w:hAnsi="Arial"/>
          <w:sz w:val="14"/>
          <w:szCs w:val="14"/>
          <w:color w:val="auto"/>
        </w:rPr>
      </w:pPr>
    </w:p>
    <w:p>
      <w:pPr>
        <w:ind w:left="700" w:hanging="198"/>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“Return on Invested Capital</w:t>
      </w:r>
      <w:r>
        <w:rPr>
          <w:rFonts w:ascii="Arial" w:cs="Arial" w:eastAsia="Arial" w:hAnsi="Arial"/>
          <w:sz w:val="14"/>
          <w:szCs w:val="14"/>
          <w:color w:val="auto"/>
        </w:rPr>
        <w:t>” for a period shall mean net income divided by the sum of stockholders’ equity and long-term debt.</w:t>
      </w:r>
    </w:p>
    <w:p>
      <w:pPr>
        <w:spacing w:after="0" w:line="163" w:lineRule="exact"/>
        <w:rPr>
          <w:rFonts w:ascii="Arial" w:cs="Arial" w:eastAsia="Arial" w:hAnsi="Arial"/>
          <w:sz w:val="14"/>
          <w:szCs w:val="14"/>
          <w:color w:val="auto"/>
        </w:rPr>
      </w:pPr>
    </w:p>
    <w:p>
      <w:pPr>
        <w:ind w:firstLine="502"/>
        <w:spacing w:after="0" w:line="262" w:lineRule="auto"/>
        <w:tabs>
          <w:tab w:leader="none" w:pos="759"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“Return on Net Assets</w:t>
      </w:r>
      <w:r>
        <w:rPr>
          <w:rFonts w:ascii="Arial" w:cs="Arial" w:eastAsia="Arial" w:hAnsi="Arial"/>
          <w:sz w:val="14"/>
          <w:szCs w:val="14"/>
          <w:color w:val="auto"/>
        </w:rPr>
        <w:t>” for a period shall mean net income divided by the difference of average total assets less average non-debt liabilities, with average defined as the sum of assets or liabilities</w:t>
      </w:r>
      <w:r>
        <w:rPr>
          <w:rFonts w:ascii="Arial" w:cs="Arial" w:eastAsia="Arial" w:hAnsi="Arial"/>
          <w:sz w:val="14"/>
          <w:szCs w:val="14"/>
          <w:b w:val="1"/>
          <w:bCs w:val="1"/>
          <w:color w:val="auto"/>
        </w:rPr>
        <w:t xml:space="preserve"> </w:t>
      </w:r>
      <w:r>
        <w:rPr>
          <w:rFonts w:ascii="Arial" w:cs="Arial" w:eastAsia="Arial" w:hAnsi="Arial"/>
          <w:sz w:val="14"/>
          <w:szCs w:val="14"/>
          <w:color w:val="auto"/>
        </w:rPr>
        <w:t>at the beginning and ending of the period divided by two.</w:t>
      </w:r>
    </w:p>
    <w:p>
      <w:pPr>
        <w:spacing w:after="0" w:line="135" w:lineRule="exact"/>
        <w:rPr>
          <w:rFonts w:ascii="Arial" w:cs="Arial" w:eastAsia="Arial" w:hAnsi="Arial"/>
          <w:sz w:val="14"/>
          <w:szCs w:val="14"/>
          <w:color w:val="auto"/>
        </w:rPr>
      </w:pPr>
    </w:p>
    <w:p>
      <w:pPr>
        <w:ind w:left="700" w:hanging="198"/>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“Revenue Growth</w:t>
      </w:r>
      <w:r>
        <w:rPr>
          <w:rFonts w:ascii="Arial" w:cs="Arial" w:eastAsia="Arial" w:hAnsi="Arial"/>
          <w:sz w:val="14"/>
          <w:szCs w:val="14"/>
          <w:color w:val="auto"/>
        </w:rPr>
        <w:t>” shall mean the percentage change in revenue from one period to another.</w:t>
      </w:r>
    </w:p>
    <w:p>
      <w:pPr>
        <w:spacing w:after="0" w:line="163" w:lineRule="exact"/>
        <w:rPr>
          <w:rFonts w:ascii="Arial" w:cs="Arial" w:eastAsia="Arial" w:hAnsi="Arial"/>
          <w:sz w:val="14"/>
          <w:szCs w:val="14"/>
          <w:color w:val="auto"/>
        </w:rPr>
      </w:pPr>
    </w:p>
    <w:p>
      <w:pPr>
        <w:ind w:left="840" w:hanging="338"/>
        <w:spacing w:after="0"/>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“Shares</w:t>
      </w:r>
      <w:r>
        <w:rPr>
          <w:rFonts w:ascii="Arial" w:cs="Arial" w:eastAsia="Arial" w:hAnsi="Arial"/>
          <w:sz w:val="14"/>
          <w:szCs w:val="14"/>
          <w:color w:val="auto"/>
        </w:rPr>
        <w:t>” shall mean shares of the common stock of the Company, $1.00 par value.</w:t>
      </w:r>
    </w:p>
    <w:p>
      <w:pPr>
        <w:spacing w:after="0" w:line="163" w:lineRule="exact"/>
        <w:rPr>
          <w:rFonts w:ascii="Arial" w:cs="Arial" w:eastAsia="Arial" w:hAnsi="Arial"/>
          <w:sz w:val="14"/>
          <w:szCs w:val="14"/>
          <w:color w:val="auto"/>
        </w:rPr>
      </w:pPr>
    </w:p>
    <w:p>
      <w:pPr>
        <w:ind w:firstLine="542"/>
        <w:spacing w:after="0" w:line="262" w:lineRule="auto"/>
        <w:tabs>
          <w:tab w:leader="none" w:pos="810" w:val="left"/>
        </w:tabs>
        <w:numPr>
          <w:ilvl w:val="2"/>
          <w:numId w:val="22"/>
        </w:numPr>
        <w:rPr>
          <w:rFonts w:ascii="Arial" w:cs="Arial" w:eastAsia="Arial" w:hAnsi="Arial"/>
          <w:sz w:val="14"/>
          <w:szCs w:val="14"/>
          <w:color w:val="auto"/>
        </w:rPr>
      </w:pPr>
      <w:r>
        <w:rPr>
          <w:rFonts w:ascii="Arial" w:cs="Arial" w:eastAsia="Arial" w:hAnsi="Arial"/>
          <w:sz w:val="14"/>
          <w:szCs w:val="14"/>
          <w:b w:val="1"/>
          <w:bCs w:val="1"/>
          <w:color w:val="auto"/>
        </w:rPr>
        <w:t>“Specified Employee</w:t>
      </w:r>
      <w:r>
        <w:rPr>
          <w:rFonts w:ascii="Arial" w:cs="Arial" w:eastAsia="Arial" w:hAnsi="Arial"/>
          <w:sz w:val="14"/>
          <w:szCs w:val="14"/>
          <w:color w:val="auto"/>
        </w:rPr>
        <w:t>” shall mean an employee who is a “specified employee” (as defined in Section 409A(2)(b)(i) of the Code) for the applicable period, as determined by the Committee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Treas. Reg. § 1.409A-1(i) or any successor provision.</w:t>
      </w:r>
    </w:p>
    <w:p>
      <w:pPr>
        <w:spacing w:after="0" w:line="135" w:lineRule="exact"/>
        <w:rPr>
          <w:rFonts w:ascii="Arial" w:cs="Arial" w:eastAsia="Arial" w:hAnsi="Arial"/>
          <w:sz w:val="14"/>
          <w:szCs w:val="14"/>
          <w:color w:val="auto"/>
        </w:rPr>
      </w:pPr>
    </w:p>
    <w:p>
      <w:pPr>
        <w:jc w:val="both"/>
        <w:ind w:firstLine="517"/>
        <w:spacing w:after="0" w:line="252" w:lineRule="auto"/>
        <w:tabs>
          <w:tab w:leader="none" w:pos="780" w:val="left"/>
        </w:tabs>
        <w:numPr>
          <w:ilvl w:val="1"/>
          <w:numId w:val="22"/>
        </w:numPr>
        <w:rPr>
          <w:rFonts w:ascii="Arial" w:cs="Arial" w:eastAsia="Arial" w:hAnsi="Arial"/>
          <w:sz w:val="14"/>
          <w:szCs w:val="14"/>
          <w:color w:val="auto"/>
        </w:rPr>
      </w:pPr>
      <w:r>
        <w:rPr>
          <w:rFonts w:ascii="Arial" w:cs="Arial" w:eastAsia="Arial" w:hAnsi="Arial"/>
          <w:sz w:val="14"/>
          <w:szCs w:val="14"/>
          <w:b w:val="1"/>
          <w:bCs w:val="1"/>
          <w:color w:val="auto"/>
        </w:rPr>
        <w:t>“Stock Appreciation Right</w:t>
      </w:r>
      <w:r>
        <w:rPr>
          <w:rFonts w:ascii="Arial" w:cs="Arial" w:eastAsia="Arial" w:hAnsi="Arial"/>
          <w:sz w:val="14"/>
          <w:szCs w:val="14"/>
          <w:color w:val="auto"/>
        </w:rPr>
        <w:t>” or “</w:t>
      </w:r>
      <w:r>
        <w:rPr>
          <w:rFonts w:ascii="Arial" w:cs="Arial" w:eastAsia="Arial" w:hAnsi="Arial"/>
          <w:sz w:val="14"/>
          <w:szCs w:val="14"/>
          <w:b w:val="1"/>
          <w:bCs w:val="1"/>
          <w:color w:val="auto"/>
        </w:rPr>
        <w:t>SAR</w:t>
      </w:r>
      <w:r>
        <w:rPr>
          <w:rFonts w:ascii="Arial" w:cs="Arial" w:eastAsia="Arial" w:hAnsi="Arial"/>
          <w:sz w:val="14"/>
          <w:szCs w:val="14"/>
          <w:color w:val="auto"/>
        </w:rPr>
        <w:t>” shall mean any right granted pursuant to Section 9 to receive, upon exercise by the Participant, the excess of (i) the Fair Market Value of one Share on the</w:t>
      </w:r>
      <w:r>
        <w:rPr>
          <w:rFonts w:ascii="Arial" w:cs="Arial" w:eastAsia="Arial" w:hAnsi="Arial"/>
          <w:sz w:val="14"/>
          <w:szCs w:val="14"/>
          <w:b w:val="1"/>
          <w:bCs w:val="1"/>
          <w:color w:val="auto"/>
        </w:rPr>
        <w:t xml:space="preserve"> </w:t>
      </w:r>
      <w:r>
        <w:rPr>
          <w:rFonts w:ascii="Arial" w:cs="Arial" w:eastAsia="Arial" w:hAnsi="Arial"/>
          <w:sz w:val="14"/>
          <w:szCs w:val="14"/>
          <w:color w:val="auto"/>
        </w:rPr>
        <w:t>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142" w:lineRule="exact"/>
        <w:rPr>
          <w:sz w:val="20"/>
          <w:szCs w:val="20"/>
          <w:color w:val="auto"/>
        </w:rPr>
      </w:pPr>
    </w:p>
    <w:p>
      <w:pPr>
        <w:ind w:firstLine="568"/>
        <w:spacing w:after="0" w:line="262" w:lineRule="auto"/>
        <w:tabs>
          <w:tab w:leader="none" w:pos="841" w:val="left"/>
        </w:tabs>
        <w:numPr>
          <w:ilvl w:val="1"/>
          <w:numId w:val="23"/>
        </w:numPr>
        <w:rPr>
          <w:rFonts w:ascii="Arial" w:cs="Arial" w:eastAsia="Arial" w:hAnsi="Arial"/>
          <w:sz w:val="14"/>
          <w:szCs w:val="14"/>
          <w:color w:val="auto"/>
        </w:rPr>
      </w:pPr>
      <w:r>
        <w:rPr>
          <w:rFonts w:ascii="Arial" w:cs="Arial" w:eastAsia="Arial" w:hAnsi="Arial"/>
          <w:sz w:val="14"/>
          <w:szCs w:val="14"/>
          <w:b w:val="1"/>
          <w:bCs w:val="1"/>
          <w:color w:val="auto"/>
        </w:rPr>
        <w:t>“Substitute Awards</w:t>
      </w:r>
      <w:r>
        <w:rPr>
          <w:rFonts w:ascii="Arial" w:cs="Arial" w:eastAsia="Arial" w:hAnsi="Arial"/>
          <w:sz w:val="14"/>
          <w:szCs w:val="14"/>
          <w:color w:val="auto"/>
        </w:rPr>
        <w:t>” shall mean Awards granted in assumption of, or in substitution for, outstanding awards previously granted by a company acquired by the Company or with which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combines.</w:t>
      </w:r>
    </w:p>
    <w:p>
      <w:pPr>
        <w:spacing w:after="0" w:line="135" w:lineRule="exact"/>
        <w:rPr>
          <w:rFonts w:ascii="Arial" w:cs="Arial" w:eastAsia="Arial" w:hAnsi="Arial"/>
          <w:sz w:val="14"/>
          <w:szCs w:val="14"/>
          <w:color w:val="auto"/>
        </w:rPr>
      </w:pPr>
    </w:p>
    <w:p>
      <w:pPr>
        <w:ind w:left="760" w:hanging="258"/>
        <w:spacing w:after="0"/>
        <w:tabs>
          <w:tab w:leader="none" w:pos="760" w:val="left"/>
        </w:tabs>
        <w:numPr>
          <w:ilvl w:val="0"/>
          <w:numId w:val="24"/>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shall mean the date on which the Participant has incurred a “separation from service” within the meaning of Treas. Reg. § 1.409A-1(h) or any successor provision.</w:t>
      </w:r>
    </w:p>
    <w:p>
      <w:pPr>
        <w:spacing w:after="0" w:line="186" w:lineRule="exact"/>
        <w:rPr>
          <w:rFonts w:ascii="Arial" w:cs="Arial" w:eastAsia="Arial" w:hAnsi="Arial"/>
          <w:sz w:val="12"/>
          <w:szCs w:val="12"/>
          <w:color w:val="auto"/>
        </w:rPr>
      </w:pPr>
    </w:p>
    <w:p>
      <w:pPr>
        <w:ind w:left="720" w:hanging="218"/>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“TI</w:t>
      </w:r>
      <w:r>
        <w:rPr>
          <w:rFonts w:ascii="Arial" w:cs="Arial" w:eastAsia="Arial" w:hAnsi="Arial"/>
          <w:sz w:val="14"/>
          <w:szCs w:val="14"/>
          <w:color w:val="auto"/>
        </w:rPr>
        <w:t>” shall mean and include the Company and its Affiliates.</w:t>
      </w:r>
    </w:p>
    <w:p>
      <w:pPr>
        <w:spacing w:after="0" w:line="163" w:lineRule="exact"/>
        <w:rPr>
          <w:rFonts w:ascii="Arial" w:cs="Arial" w:eastAsia="Arial" w:hAnsi="Arial"/>
          <w:sz w:val="14"/>
          <w:szCs w:val="14"/>
          <w:color w:val="auto"/>
        </w:rPr>
      </w:pPr>
    </w:p>
    <w:p>
      <w:pPr>
        <w:ind w:left="740" w:hanging="238"/>
        <w:spacing w:after="0"/>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“Total Stockholder Return</w:t>
      </w:r>
      <w:r>
        <w:rPr>
          <w:rFonts w:ascii="Arial" w:cs="Arial" w:eastAsia="Arial" w:hAnsi="Arial"/>
          <w:sz w:val="14"/>
          <w:szCs w:val="14"/>
          <w:color w:val="auto"/>
        </w:rPr>
        <w:t>” shall mean the sum of the appreciation in stock price and dividends paid on common stock over a given period of time.</w:t>
      </w:r>
    </w:p>
    <w:p>
      <w:pPr>
        <w:spacing w:after="0" w:line="184"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2"/>
          <w:szCs w:val="12"/>
          <w:i w:val="1"/>
          <w:iCs w:val="1"/>
          <w:color w:val="auto"/>
        </w:rPr>
        <w:t>. Eligibility.</w:t>
      </w:r>
    </w:p>
    <w:p>
      <w:pPr>
        <w:spacing w:after="0" w:line="186" w:lineRule="exact"/>
        <w:rPr>
          <w:sz w:val="20"/>
          <w:szCs w:val="20"/>
          <w:color w:val="auto"/>
        </w:rPr>
      </w:pPr>
    </w:p>
    <w:p>
      <w:pPr>
        <w:ind w:firstLine="502"/>
        <w:spacing w:after="0" w:line="259" w:lineRule="auto"/>
        <w:tabs>
          <w:tab w:leader="none" w:pos="813"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159" w:lineRule="exact"/>
        <w:rPr>
          <w:rFonts w:ascii="Arial" w:cs="Arial" w:eastAsia="Arial" w:hAnsi="Arial"/>
          <w:sz w:val="14"/>
          <w:szCs w:val="14"/>
          <w:color w:val="auto"/>
        </w:rPr>
      </w:pPr>
    </w:p>
    <w:p>
      <w:pPr>
        <w:ind w:left="880" w:hanging="328"/>
        <w:spacing w:after="0"/>
        <w:tabs>
          <w:tab w:leader="none" w:pos="880"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 individual who has agreed to accept employment by, or to provide services to, the Company or an Affiliate shall be deemed to be eligible for Awards hereunder as of commencement of</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employment.</w:t>
      </w:r>
    </w:p>
    <w:p>
      <w:pPr>
        <w:spacing w:after="0" w:line="174" w:lineRule="exact"/>
        <w:rPr>
          <w:sz w:val="20"/>
          <w:szCs w:val="20"/>
          <w:color w:val="auto"/>
        </w:rPr>
      </w:pPr>
    </w:p>
    <w:p>
      <w:pPr>
        <w:ind w:left="820" w:hanging="318"/>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Directors who are not full-time or part-time officers or employees are not eligible to receive Awards hereunder.</w:t>
      </w:r>
    </w:p>
    <w:p>
      <w:pPr>
        <w:spacing w:after="0" w:line="183" w:lineRule="exact"/>
        <w:rPr>
          <w:rFonts w:ascii="Arial" w:cs="Arial" w:eastAsia="Arial" w:hAnsi="Arial"/>
          <w:sz w:val="14"/>
          <w:szCs w:val="14"/>
          <w:color w:val="auto"/>
        </w:rPr>
      </w:pPr>
    </w:p>
    <w:p>
      <w:pPr>
        <w:ind w:left="820" w:hanging="318"/>
        <w:spacing w:after="0"/>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Holders of options and other types of Awards granted by a company acquired by the Company or with which the Company combines are eligible for grant of Substitute Awards hereunder.</w:t>
      </w:r>
    </w:p>
    <w:p>
      <w:pPr>
        <w:spacing w:after="0" w:line="205"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4</w:t>
      </w:r>
      <w:r>
        <w:rPr>
          <w:sz w:val="20"/>
          <w:szCs w:val="20"/>
          <w:color w:val="auto"/>
        </w:rPr>
        <w:tab/>
      </w:r>
      <w:r>
        <w:rPr>
          <w:rFonts w:ascii="Arial" w:cs="Arial" w:eastAsia="Arial" w:hAnsi="Arial"/>
          <w:sz w:val="12"/>
          <w:szCs w:val="12"/>
          <w:i w:val="1"/>
          <w:iCs w:val="1"/>
          <w:color w:val="auto"/>
        </w:rPr>
        <w:t>. Administration.</w:t>
      </w:r>
    </w:p>
    <w:p>
      <w:pPr>
        <w:spacing w:after="0" w:line="186" w:lineRule="exact"/>
        <w:rPr>
          <w:sz w:val="20"/>
          <w:szCs w:val="20"/>
          <w:color w:val="auto"/>
        </w:rPr>
      </w:pPr>
    </w:p>
    <w:p>
      <w:pPr>
        <w:jc w:val="both"/>
        <w:ind w:firstLine="502"/>
        <w:spacing w:after="0" w:line="250" w:lineRule="auto"/>
        <w:tabs>
          <w:tab w:leader="none" w:pos="8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New York Stock Exchange and the Company’s director independence standards and (ii) an “outside director” as described in Section 162(m) of the Code.</w:t>
      </w:r>
    </w:p>
    <w:p>
      <w:pPr>
        <w:spacing w:after="0" w:line="166" w:lineRule="exact"/>
        <w:rPr>
          <w:rFonts w:ascii="Arial" w:cs="Arial" w:eastAsia="Arial" w:hAnsi="Arial"/>
          <w:sz w:val="14"/>
          <w:szCs w:val="14"/>
          <w:color w:val="auto"/>
        </w:rPr>
      </w:pPr>
    </w:p>
    <w:p>
      <w:pPr>
        <w:jc w:val="both"/>
        <w:ind w:firstLine="502"/>
        <w:spacing w:after="0" w:line="289"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48" w:lineRule="exact"/>
        <w:rPr>
          <w:rFonts w:ascii="Arial" w:cs="Arial" w:eastAsia="Arial" w:hAnsi="Arial"/>
          <w:sz w:val="12"/>
          <w:szCs w:val="12"/>
          <w:color w:val="auto"/>
        </w:rPr>
      </w:pPr>
    </w:p>
    <w:p>
      <w:pPr>
        <w:ind w:left="820" w:hanging="318"/>
        <w:spacing w:after="0"/>
        <w:tabs>
          <w:tab w:leader="none" w:pos="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decisions of the Committee shall be final, conclusive and binding upon all parties, including the Company, the stockholders and the Participants.</w:t>
      </w:r>
    </w:p>
    <w:p>
      <w:pPr>
        <w:spacing w:after="0" w:line="182"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5</w:t>
      </w:r>
      <w:r>
        <w:rPr>
          <w:sz w:val="20"/>
          <w:szCs w:val="20"/>
          <w:color w:val="auto"/>
        </w:rPr>
        <w:tab/>
      </w:r>
      <w:r>
        <w:rPr>
          <w:rFonts w:ascii="Arial" w:cs="Arial" w:eastAsia="Arial" w:hAnsi="Arial"/>
          <w:sz w:val="12"/>
          <w:szCs w:val="12"/>
          <w:i w:val="1"/>
          <w:iCs w:val="1"/>
          <w:color w:val="auto"/>
        </w:rPr>
        <w:t>. Shares Available for Awards.</w:t>
      </w:r>
    </w:p>
    <w:p>
      <w:pPr>
        <w:spacing w:after="0" w:line="186" w:lineRule="exact"/>
        <w:rPr>
          <w:sz w:val="20"/>
          <w:szCs w:val="20"/>
          <w:color w:val="auto"/>
        </w:rPr>
      </w:pPr>
    </w:p>
    <w:p>
      <w:pPr>
        <w:ind w:firstLine="502"/>
        <w:spacing w:after="0" w:line="259" w:lineRule="auto"/>
        <w:tabs>
          <w:tab w:leader="none" w:pos="813"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Subject to adjustment as provided in this Section 5, the number of Shares available for issuance under the Plan shall be 75,000,000 shares. Notwithstanding the foregoing and subject to adjustment as provided in Section 5(e), no Participant may receive Options and SARs under the Plan in any calendar year that relate to more than 4,000,000 Shares.</w:t>
      </w:r>
    </w:p>
    <w:p>
      <w:pPr>
        <w:spacing w:after="0" w:line="159" w:lineRule="exact"/>
        <w:rPr>
          <w:rFonts w:ascii="Arial" w:cs="Arial" w:eastAsia="Arial" w:hAnsi="Arial"/>
          <w:sz w:val="14"/>
          <w:szCs w:val="14"/>
          <w:color w:val="auto"/>
        </w:rPr>
      </w:pPr>
    </w:p>
    <w:p>
      <w:pPr>
        <w:jc w:val="both"/>
        <w:ind w:firstLine="502"/>
        <w:spacing w:after="0" w:line="297" w:lineRule="auto"/>
        <w:tabs>
          <w:tab w:leader="none" w:pos="8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140" w:lineRule="exact"/>
        <w:rPr>
          <w:rFonts w:ascii="Arial" w:cs="Arial" w:eastAsia="Arial" w:hAnsi="Arial"/>
          <w:sz w:val="12"/>
          <w:szCs w:val="12"/>
          <w:color w:val="auto"/>
        </w:rPr>
      </w:pPr>
    </w:p>
    <w:p>
      <w:pPr>
        <w:ind w:left="820" w:hanging="318"/>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Shares underlying Substitute Awards shall not be counted against the Shares available for granting Awards.</w:t>
      </w:r>
    </w:p>
    <w:p>
      <w:pPr>
        <w:spacing w:after="0" w:line="183" w:lineRule="exact"/>
        <w:rPr>
          <w:rFonts w:ascii="Arial" w:cs="Arial" w:eastAsia="Arial" w:hAnsi="Arial"/>
          <w:sz w:val="14"/>
          <w:szCs w:val="14"/>
          <w:color w:val="auto"/>
        </w:rPr>
      </w:pPr>
    </w:p>
    <w:p>
      <w:pPr>
        <w:ind w:left="820" w:hanging="318"/>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Shares delivered pursuant to an Award may consist, in whole or in part, of authorized and unissued Shares, of treasury Shares or of both.</w:t>
      </w:r>
    </w:p>
    <w:p>
      <w:pPr>
        <w:spacing w:after="0" w:line="183" w:lineRule="exact"/>
        <w:rPr>
          <w:rFonts w:ascii="Arial" w:cs="Arial" w:eastAsia="Arial" w:hAnsi="Arial"/>
          <w:sz w:val="14"/>
          <w:szCs w:val="14"/>
          <w:color w:val="auto"/>
        </w:rPr>
      </w:pPr>
    </w:p>
    <w:p>
      <w:pPr>
        <w:jc w:val="both"/>
        <w:ind w:firstLine="512"/>
        <w:spacing w:after="0" w:line="312" w:lineRule="auto"/>
        <w:tabs>
          <w:tab w:leader="none" w:pos="823" w:val="left"/>
        </w:tabs>
        <w:numPr>
          <w:ilvl w:val="1"/>
          <w:numId w:val="28"/>
        </w:numPr>
        <w:rPr>
          <w:rFonts w:ascii="Arial" w:cs="Arial" w:eastAsia="Arial" w:hAnsi="Arial"/>
          <w:sz w:val="12"/>
          <w:szCs w:val="12"/>
          <w:color w:val="auto"/>
        </w:rPr>
      </w:pPr>
      <w:r>
        <w:rPr>
          <w:rFonts w:ascii="Arial" w:cs="Arial" w:eastAsia="Arial" w:hAnsi="Arial"/>
          <w:sz w:val="12"/>
          <w:szCs w:val="12"/>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w:t>
      </w:r>
    </w:p>
    <w:p>
      <w:pPr>
        <w:sectPr>
          <w:pgSz w:w="11900" w:h="16919" w:orient="portrait"/>
          <w:cols w:equalWidth="0" w:num="1">
            <w:col w:w="11460"/>
          </w:cols>
          <w:pgMar w:left="220" w:top="289" w:right="219" w:bottom="0" w:gutter="0" w:footer="0" w:header="0"/>
        </w:sectPr>
      </w:pPr>
    </w:p>
    <w:bookmarkStart w:id="19" w:name="page20"/>
    <w:bookmarkEnd w:id="19"/>
    <w:p>
      <w:pPr>
        <w:jc w:val="both"/>
        <w:spacing w:after="0" w:line="246" w:lineRule="auto"/>
        <w:rPr>
          <w:sz w:val="20"/>
          <w:szCs w:val="20"/>
          <w:color w:val="auto"/>
        </w:rPr>
      </w:pPr>
      <w:r>
        <w:rPr>
          <w:rFonts w:ascii="Arial" w:cs="Arial" w:eastAsia="Arial" w:hAnsi="Arial"/>
          <w:sz w:val="14"/>
          <w:szCs w:val="14"/>
          <w:color w:val="auto"/>
        </w:rPr>
        <w:t xml:space="preserve">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67"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6</w:t>
      </w:r>
      <w:r>
        <w:rPr>
          <w:sz w:val="20"/>
          <w:szCs w:val="20"/>
          <w:color w:val="auto"/>
        </w:rPr>
        <w:tab/>
      </w:r>
      <w:r>
        <w:rPr>
          <w:rFonts w:ascii="Arial" w:cs="Arial" w:eastAsia="Arial" w:hAnsi="Arial"/>
          <w:sz w:val="12"/>
          <w:szCs w:val="12"/>
          <w:i w:val="1"/>
          <w:iCs w:val="1"/>
          <w:color w:val="auto"/>
        </w:rPr>
        <w:t>. Options.</w:t>
      </w:r>
    </w:p>
    <w:p>
      <w:pPr>
        <w:spacing w:after="0" w:line="186" w:lineRule="exact"/>
        <w:rPr>
          <w:sz w:val="20"/>
          <w:szCs w:val="20"/>
          <w:color w:val="auto"/>
        </w:rPr>
      </w:pPr>
    </w:p>
    <w:p>
      <w:pPr>
        <w:ind w:firstLine="532"/>
        <w:spacing w:after="0" w:line="259" w:lineRule="auto"/>
        <w:tabs>
          <w:tab w:leader="none" w:pos="853" w:val="left"/>
        </w:tabs>
        <w:numPr>
          <w:ilvl w:val="2"/>
          <w:numId w:val="29"/>
        </w:numPr>
        <w:rPr>
          <w:rFonts w:ascii="Arial" w:cs="Arial" w:eastAsia="Arial" w:hAnsi="Arial"/>
          <w:sz w:val="14"/>
          <w:szCs w:val="14"/>
          <w:color w:val="auto"/>
        </w:rPr>
      </w:pPr>
      <w:r>
        <w:rPr>
          <w:rFonts w:ascii="Arial" w:cs="Arial" w:eastAsia="Arial" w:hAnsi="Arial"/>
          <w:sz w:val="14"/>
          <w:szCs w:val="14"/>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159" w:lineRule="exact"/>
        <w:rPr>
          <w:rFonts w:ascii="Arial" w:cs="Arial" w:eastAsia="Arial" w:hAnsi="Arial"/>
          <w:sz w:val="14"/>
          <w:szCs w:val="14"/>
          <w:color w:val="auto"/>
        </w:rPr>
      </w:pPr>
    </w:p>
    <w:p>
      <w:pPr>
        <w:ind w:firstLine="502"/>
        <w:spacing w:after="0" w:line="259" w:lineRule="auto"/>
        <w:tabs>
          <w:tab w:leader="none" w:pos="8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 xml:space="preserve">The purchase price per Share under an Option shall be determined by the Committee;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except in the case of Substitute Awards, such purchase price shall not be less than the Fair Market Value of a Share on the date of grant of such Option.</w:t>
      </w:r>
    </w:p>
    <w:p>
      <w:pPr>
        <w:spacing w:after="0" w:line="159" w:lineRule="exact"/>
        <w:rPr>
          <w:rFonts w:ascii="Arial" w:cs="Arial" w:eastAsia="Arial" w:hAnsi="Arial"/>
          <w:sz w:val="14"/>
          <w:szCs w:val="14"/>
          <w:color w:val="auto"/>
        </w:rPr>
      </w:pPr>
    </w:p>
    <w:p>
      <w:pPr>
        <w:ind w:firstLine="512"/>
        <w:spacing w:after="0" w:line="342" w:lineRule="auto"/>
        <w:tabs>
          <w:tab w:leader="none" w:pos="823" w:val="left"/>
        </w:tabs>
        <w:numPr>
          <w:ilvl w:val="1"/>
          <w:numId w:val="30"/>
        </w:numPr>
        <w:rPr>
          <w:rFonts w:ascii="Arial" w:cs="Arial" w:eastAsia="Arial" w:hAnsi="Arial"/>
          <w:sz w:val="12"/>
          <w:szCs w:val="12"/>
          <w:color w:val="auto"/>
        </w:rPr>
      </w:pPr>
      <w:r>
        <w:rPr>
          <w:rFonts w:ascii="Arial" w:cs="Arial" w:eastAsia="Arial" w:hAnsi="Arial"/>
          <w:sz w:val="12"/>
          <w:szCs w:val="12"/>
          <w:color w:val="auto"/>
        </w:rPr>
        <w:t xml:space="preserve">The term of each Option shall be fixed by the Committee but shall not exceed 10 years;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14" w:lineRule="exact"/>
        <w:rPr>
          <w:rFonts w:ascii="Arial" w:cs="Arial" w:eastAsia="Arial" w:hAnsi="Arial"/>
          <w:sz w:val="12"/>
          <w:szCs w:val="12"/>
          <w:color w:val="auto"/>
        </w:rPr>
      </w:pPr>
    </w:p>
    <w:p>
      <w:pPr>
        <w:jc w:val="both"/>
        <w:ind w:firstLine="552"/>
        <w:spacing w:after="0" w:line="250" w:lineRule="auto"/>
        <w:tabs>
          <w:tab w:leader="none" w:pos="881" w:val="left"/>
        </w:tabs>
        <w:numPr>
          <w:ilvl w:val="3"/>
          <w:numId w:val="30"/>
        </w:numPr>
        <w:rPr>
          <w:rFonts w:ascii="Arial" w:cs="Arial" w:eastAsia="Arial" w:hAnsi="Arial"/>
          <w:sz w:val="14"/>
          <w:szCs w:val="14"/>
          <w:color w:val="auto"/>
        </w:rPr>
      </w:pPr>
      <w:r>
        <w:rPr>
          <w:rFonts w:ascii="Arial" w:cs="Arial" w:eastAsia="Arial" w:hAnsi="Arial"/>
          <w:sz w:val="14"/>
          <w:szCs w:val="14"/>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66" w:lineRule="exact"/>
        <w:rPr>
          <w:rFonts w:ascii="Arial" w:cs="Arial" w:eastAsia="Arial" w:hAnsi="Arial"/>
          <w:sz w:val="14"/>
          <w:szCs w:val="14"/>
          <w:color w:val="auto"/>
        </w:rPr>
      </w:pPr>
    </w:p>
    <w:p>
      <w:pPr>
        <w:jc w:val="both"/>
        <w:ind w:firstLine="502"/>
        <w:spacing w:after="0" w:line="250" w:lineRule="auto"/>
        <w:tabs>
          <w:tab w:leader="none" w:pos="813"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165"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7</w:t>
      </w:r>
      <w:r>
        <w:rPr>
          <w:sz w:val="20"/>
          <w:szCs w:val="20"/>
          <w:color w:val="auto"/>
        </w:rPr>
        <w:tab/>
      </w:r>
      <w:r>
        <w:rPr>
          <w:rFonts w:ascii="Arial" w:cs="Arial" w:eastAsia="Arial" w:hAnsi="Arial"/>
          <w:sz w:val="12"/>
          <w:szCs w:val="12"/>
          <w:i w:val="1"/>
          <w:iCs w:val="1"/>
          <w:color w:val="auto"/>
        </w:rPr>
        <w:t>. Restricted Stock and Restricted Stock Units.</w:t>
      </w:r>
    </w:p>
    <w:p>
      <w:pPr>
        <w:spacing w:after="0" w:line="186" w:lineRule="exact"/>
        <w:rPr>
          <w:sz w:val="20"/>
          <w:szCs w:val="20"/>
          <w:color w:val="auto"/>
        </w:rPr>
      </w:pPr>
    </w:p>
    <w:p>
      <w:pPr>
        <w:ind w:firstLine="552"/>
        <w:spacing w:after="0" w:line="259" w:lineRule="auto"/>
        <w:tabs>
          <w:tab w:leader="none" w:pos="874" w:val="left"/>
        </w:tabs>
        <w:numPr>
          <w:ilvl w:val="2"/>
          <w:numId w:val="32"/>
        </w:numPr>
        <w:rPr>
          <w:rFonts w:ascii="Arial" w:cs="Arial" w:eastAsia="Arial" w:hAnsi="Arial"/>
          <w:sz w:val="14"/>
          <w:szCs w:val="14"/>
          <w:color w:val="auto"/>
        </w:rPr>
      </w:pPr>
      <w:r>
        <w:rPr>
          <w:rFonts w:ascii="Arial" w:cs="Arial" w:eastAsia="Arial" w:hAnsi="Arial"/>
          <w:sz w:val="14"/>
          <w:szCs w:val="14"/>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159" w:lineRule="exact"/>
        <w:rPr>
          <w:rFonts w:ascii="Arial" w:cs="Arial" w:eastAsia="Arial" w:hAnsi="Arial"/>
          <w:sz w:val="14"/>
          <w:szCs w:val="14"/>
          <w:color w:val="auto"/>
        </w:rPr>
      </w:pPr>
    </w:p>
    <w:p>
      <w:pPr>
        <w:jc w:val="both"/>
        <w:ind w:firstLine="502"/>
        <w:spacing w:after="0" w:line="250"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66" w:lineRule="exact"/>
        <w:rPr>
          <w:rFonts w:ascii="Arial" w:cs="Arial" w:eastAsia="Arial" w:hAnsi="Arial"/>
          <w:sz w:val="14"/>
          <w:szCs w:val="14"/>
          <w:color w:val="auto"/>
        </w:rPr>
      </w:pPr>
    </w:p>
    <w:p>
      <w:pPr>
        <w:jc w:val="both"/>
        <w:ind w:firstLine="502"/>
        <w:spacing w:after="0" w:line="250" w:lineRule="auto"/>
        <w:tabs>
          <w:tab w:leader="none" w:pos="8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66" w:lineRule="exact"/>
        <w:rPr>
          <w:rFonts w:ascii="Arial" w:cs="Arial" w:eastAsia="Arial" w:hAnsi="Arial"/>
          <w:sz w:val="14"/>
          <w:szCs w:val="14"/>
          <w:color w:val="auto"/>
        </w:rPr>
      </w:pPr>
    </w:p>
    <w:p>
      <w:pPr>
        <w:jc w:val="both"/>
        <w:ind w:firstLine="512"/>
        <w:spacing w:after="0" w:line="247" w:lineRule="auto"/>
        <w:tabs>
          <w:tab w:leader="none" w:pos="830" w:val="left"/>
        </w:tabs>
        <w:numPr>
          <w:ilvl w:val="1"/>
          <w:numId w:val="33"/>
        </w:numPr>
        <w:rPr>
          <w:rFonts w:ascii="Arial" w:cs="Arial" w:eastAsia="Arial" w:hAnsi="Arial"/>
          <w:sz w:val="14"/>
          <w:szCs w:val="14"/>
          <w:color w:val="auto"/>
        </w:rPr>
      </w:pPr>
      <w:r>
        <w:rPr>
          <w:rFonts w:ascii="Arial" w:cs="Arial" w:eastAsia="Arial" w:hAnsi="Arial"/>
          <w:sz w:val="14"/>
          <w:szCs w:val="14"/>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Committee may, when it finds that a waiver would be in the best interests of the Company, waive in whole or in part any or all remaining restrictions with respect to Shares of Restricted Stock or</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Units.</w:t>
      </w:r>
    </w:p>
    <w:p>
      <w:pPr>
        <w:spacing w:after="0" w:line="167"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2"/>
          <w:szCs w:val="12"/>
          <w:i w:val="1"/>
          <w:iCs w:val="1"/>
          <w:color w:val="auto"/>
        </w:rPr>
        <w:t>. Performance Units.</w:t>
      </w:r>
    </w:p>
    <w:p>
      <w:pPr>
        <w:spacing w:after="0" w:line="186" w:lineRule="exact"/>
        <w:rPr>
          <w:sz w:val="20"/>
          <w:szCs w:val="20"/>
          <w:color w:val="auto"/>
        </w:rPr>
      </w:pPr>
    </w:p>
    <w:p>
      <w:pPr>
        <w:ind w:left="820" w:hanging="318"/>
        <w:spacing w:after="0"/>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Committee is hereby authorized to grant Performance Units to Participants with terms and conditions as the Committee shall determine not inconsistent with the provisions of the Plan.</w:t>
      </w:r>
    </w:p>
    <w:p>
      <w:pPr>
        <w:spacing w:after="0" w:line="206" w:lineRule="exact"/>
        <w:rPr>
          <w:rFonts w:ascii="Arial" w:cs="Arial" w:eastAsia="Arial" w:hAnsi="Arial"/>
          <w:sz w:val="12"/>
          <w:szCs w:val="12"/>
          <w:color w:val="auto"/>
        </w:rPr>
      </w:pPr>
    </w:p>
    <w:p>
      <w:pPr>
        <w:jc w:val="both"/>
        <w:ind w:firstLine="522"/>
        <w:spacing w:after="0" w:line="246" w:lineRule="auto"/>
        <w:tabs>
          <w:tab w:leader="none" w:pos="841" w:val="left"/>
        </w:tabs>
        <w:numPr>
          <w:ilvl w:val="1"/>
          <w:numId w:val="34"/>
        </w:numPr>
        <w:rPr>
          <w:rFonts w:ascii="Arial" w:cs="Arial" w:eastAsia="Arial" w:hAnsi="Arial"/>
          <w:sz w:val="14"/>
          <w:szCs w:val="14"/>
          <w:color w:val="auto"/>
        </w:rPr>
      </w:pPr>
      <w:r>
        <w:rPr>
          <w:rFonts w:ascii="Arial" w:cs="Arial" w:eastAsia="Arial" w:hAnsi="Arial"/>
          <w:sz w:val="14"/>
          <w:szCs w:val="14"/>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67"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4"/>
          <w:szCs w:val="14"/>
          <w:b w:val="1"/>
          <w:bCs w:val="1"/>
          <w:color w:val="auto"/>
        </w:rPr>
        <w:t>SECTION 9</w:t>
      </w:r>
      <w:r>
        <w:rPr>
          <w:sz w:val="20"/>
          <w:szCs w:val="20"/>
          <w:color w:val="auto"/>
        </w:rPr>
        <w:tab/>
      </w:r>
      <w:r>
        <w:rPr>
          <w:rFonts w:ascii="Arial" w:cs="Arial" w:eastAsia="Arial" w:hAnsi="Arial"/>
          <w:sz w:val="12"/>
          <w:szCs w:val="12"/>
          <w:i w:val="1"/>
          <w:iCs w:val="1"/>
          <w:color w:val="auto"/>
        </w:rPr>
        <w:t>. Stock Appreciation Rights (SARs).</w:t>
      </w:r>
    </w:p>
    <w:p>
      <w:pPr>
        <w:spacing w:after="0" w:line="186" w:lineRule="exact"/>
        <w:rPr>
          <w:sz w:val="20"/>
          <w:szCs w:val="20"/>
          <w:color w:val="auto"/>
        </w:rPr>
      </w:pPr>
    </w:p>
    <w:p>
      <w:pPr>
        <w:ind w:left="820" w:hanging="318"/>
        <w:spacing w:after="0"/>
        <w:tabs>
          <w:tab w:leader="none" w:pos="8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Committee is hereby authorized to grant SARs to Participants with terms and conditions as the Committee shall determine not inconsistent with the provisions of the Plan.</w:t>
      </w:r>
    </w:p>
    <w:p>
      <w:pPr>
        <w:spacing w:after="0" w:line="206" w:lineRule="exact"/>
        <w:rPr>
          <w:rFonts w:ascii="Arial" w:cs="Arial" w:eastAsia="Arial" w:hAnsi="Arial"/>
          <w:sz w:val="12"/>
          <w:szCs w:val="12"/>
          <w:color w:val="auto"/>
        </w:rPr>
      </w:pPr>
    </w:p>
    <w:p>
      <w:pPr>
        <w:ind w:firstLine="502"/>
        <w:spacing w:after="0" w:line="259" w:lineRule="auto"/>
        <w:tabs>
          <w:tab w:leader="none" w:pos="8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The term of each SAR shall be fixed by the Committee but shall not exceed 10 years;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Committee may provide for a longer term to accommodate regulations in non-U.S. jurisdictions that require a minimum exercise or vesting period following a Participant’s death.</w:t>
      </w:r>
    </w:p>
    <w:p>
      <w:pPr>
        <w:spacing w:after="0" w:line="158"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10</w:t>
      </w:r>
      <w:r>
        <w:rPr>
          <w:sz w:val="20"/>
          <w:szCs w:val="20"/>
          <w:color w:val="auto"/>
        </w:rPr>
        <w:tab/>
      </w:r>
      <w:r>
        <w:rPr>
          <w:rFonts w:ascii="Arial" w:cs="Arial" w:eastAsia="Arial" w:hAnsi="Arial"/>
          <w:sz w:val="12"/>
          <w:szCs w:val="12"/>
          <w:i w:val="1"/>
          <w:iCs w:val="1"/>
          <w:color w:val="auto"/>
        </w:rPr>
        <w:t>. Other Stock-based Awards.</w:t>
      </w:r>
    </w:p>
    <w:p>
      <w:pPr>
        <w:spacing w:after="0" w:line="166" w:lineRule="exact"/>
        <w:rPr>
          <w:sz w:val="20"/>
          <w:szCs w:val="20"/>
          <w:color w:val="auto"/>
        </w:rPr>
      </w:pPr>
    </w:p>
    <w:p>
      <w:pPr>
        <w:jc w:val="both"/>
        <w:ind w:firstLine="501"/>
        <w:spacing w:after="0" w:line="245" w:lineRule="auto"/>
        <w:rPr>
          <w:sz w:val="20"/>
          <w:szCs w:val="20"/>
          <w:color w:val="auto"/>
        </w:rPr>
      </w:pPr>
      <w:r>
        <w:rPr>
          <w:rFonts w:ascii="Arial" w:cs="Arial" w:eastAsia="Arial" w:hAnsi="Arial"/>
          <w:sz w:val="14"/>
          <w:szCs w:val="14"/>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69"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11</w:t>
      </w:r>
      <w:r>
        <w:rPr>
          <w:sz w:val="20"/>
          <w:szCs w:val="20"/>
          <w:color w:val="auto"/>
        </w:rPr>
        <w:tab/>
      </w:r>
      <w:r>
        <w:rPr>
          <w:rFonts w:ascii="Arial" w:cs="Arial" w:eastAsia="Arial" w:hAnsi="Arial"/>
          <w:sz w:val="12"/>
          <w:szCs w:val="12"/>
          <w:i w:val="1"/>
          <w:iCs w:val="1"/>
          <w:color w:val="auto"/>
        </w:rPr>
        <w:t>. General Provisions Applicable to Awards.</w:t>
      </w:r>
    </w:p>
    <w:p>
      <w:pPr>
        <w:spacing w:after="0" w:line="186" w:lineRule="exact"/>
        <w:rPr>
          <w:sz w:val="20"/>
          <w:szCs w:val="20"/>
          <w:color w:val="auto"/>
        </w:rPr>
      </w:pPr>
    </w:p>
    <w:p>
      <w:pPr>
        <w:ind w:left="820" w:hanging="318"/>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Awards shall be granted for no cash consideration or for such minimal cash consideration as may be required by applicable law.</w:t>
      </w:r>
    </w:p>
    <w:p>
      <w:pPr>
        <w:spacing w:after="0" w:line="183" w:lineRule="exact"/>
        <w:rPr>
          <w:rFonts w:ascii="Arial" w:cs="Arial" w:eastAsia="Arial" w:hAnsi="Arial"/>
          <w:sz w:val="14"/>
          <w:szCs w:val="14"/>
          <w:color w:val="auto"/>
        </w:rPr>
      </w:pPr>
    </w:p>
    <w:p>
      <w:pPr>
        <w:jc w:val="both"/>
        <w:ind w:firstLine="512"/>
        <w:spacing w:after="0" w:line="250" w:lineRule="auto"/>
        <w:tabs>
          <w:tab w:leader="none" w:pos="83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66" w:lineRule="exact"/>
        <w:rPr>
          <w:rFonts w:ascii="Arial" w:cs="Arial" w:eastAsia="Arial" w:hAnsi="Arial"/>
          <w:sz w:val="14"/>
          <w:szCs w:val="14"/>
          <w:color w:val="auto"/>
        </w:rPr>
      </w:pPr>
    </w:p>
    <w:p>
      <w:pPr>
        <w:jc w:val="both"/>
        <w:ind w:firstLine="512"/>
        <w:spacing w:after="0" w:line="246" w:lineRule="auto"/>
        <w:tabs>
          <w:tab w:leader="none" w:pos="823" w:val="left"/>
        </w:tabs>
        <w:numPr>
          <w:ilvl w:val="1"/>
          <w:numId w:val="36"/>
        </w:numPr>
        <w:rPr>
          <w:rFonts w:ascii="Arial" w:cs="Arial" w:eastAsia="Arial" w:hAnsi="Arial"/>
          <w:sz w:val="14"/>
          <w:szCs w:val="14"/>
          <w:color w:val="auto"/>
        </w:rPr>
      </w:pPr>
      <w:r>
        <w:rPr>
          <w:rFonts w:ascii="Arial" w:cs="Arial" w:eastAsia="Arial" w:hAnsi="Arial"/>
          <w:sz w:val="14"/>
          <w:szCs w:val="14"/>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169" w:lineRule="exact"/>
        <w:rPr>
          <w:sz w:val="20"/>
          <w:szCs w:val="20"/>
          <w:color w:val="auto"/>
        </w:rPr>
      </w:pPr>
    </w:p>
    <w:p>
      <w:pPr>
        <w:jc w:val="both"/>
        <w:ind w:firstLine="502"/>
        <w:spacing w:after="0" w:line="294" w:lineRule="auto"/>
        <w:tabs>
          <w:tab w:leader="none" w:pos="8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142" w:lineRule="exact"/>
        <w:rPr>
          <w:rFonts w:ascii="Arial" w:cs="Arial" w:eastAsia="Arial" w:hAnsi="Arial"/>
          <w:sz w:val="12"/>
          <w:szCs w:val="12"/>
          <w:color w:val="auto"/>
        </w:rPr>
      </w:pPr>
    </w:p>
    <w:p>
      <w:pPr>
        <w:jc w:val="both"/>
        <w:ind w:firstLine="552"/>
        <w:spacing w:after="0" w:line="312" w:lineRule="auto"/>
        <w:tabs>
          <w:tab w:leader="none" w:pos="874" w:val="left"/>
        </w:tabs>
        <w:numPr>
          <w:ilvl w:val="1"/>
          <w:numId w:val="37"/>
        </w:numPr>
        <w:rPr>
          <w:rFonts w:ascii="Arial" w:cs="Arial" w:eastAsia="Arial" w:hAnsi="Arial"/>
          <w:sz w:val="12"/>
          <w:szCs w:val="12"/>
          <w:color w:val="auto"/>
        </w:rPr>
      </w:pPr>
      <w:r>
        <w:rPr>
          <w:rFonts w:ascii="Arial" w:cs="Arial" w:eastAsia="Arial" w:hAnsi="Arial"/>
          <w:sz w:val="12"/>
          <w:szCs w:val="12"/>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132" w:lineRule="exact"/>
        <w:rPr>
          <w:sz w:val="20"/>
          <w:szCs w:val="20"/>
          <w:color w:val="auto"/>
        </w:rPr>
      </w:pPr>
    </w:p>
    <w:p>
      <w:pPr>
        <w:jc w:val="both"/>
        <w:ind w:firstLine="522"/>
        <w:spacing w:after="0" w:line="302" w:lineRule="auto"/>
        <w:tabs>
          <w:tab w:leader="none" w:pos="818" w:val="left"/>
        </w:tabs>
        <w:numPr>
          <w:ilvl w:val="0"/>
          <w:numId w:val="38"/>
        </w:numPr>
        <w:rPr>
          <w:rFonts w:ascii="Arial" w:cs="Arial" w:eastAsia="Arial" w:hAnsi="Arial"/>
          <w:sz w:val="12"/>
          <w:szCs w:val="12"/>
          <w:color w:val="auto"/>
        </w:rPr>
      </w:pPr>
      <w:r>
        <w:rPr>
          <w:rFonts w:ascii="Arial" w:cs="Arial" w:eastAsia="Arial" w:hAnsi="Arial"/>
          <w:sz w:val="12"/>
          <w:szCs w:val="12"/>
          <w:color w:val="auto"/>
        </w:rPr>
        <w:t>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 other companies, as determined by the Committee, of one or more of the following performance measures: (i) Cash Flow, (ii) Cycle Time, (iii) Earnings Before Income Taxes, (iv) Earnings Per Share, (v) EBITDA, (vi) Free Cash Flow, (vii) Gross Profit, (viii) Gross Profit Margin, (ix) Manufacturing Process Yield, (x) Market Share, (xi) net income, (xii)</w:t>
      </w:r>
    </w:p>
    <w:p>
      <w:pPr>
        <w:sectPr>
          <w:pgSz w:w="11900" w:h="16838" w:orient="portrait"/>
          <w:cols w:equalWidth="0" w:num="1">
            <w:col w:w="11460"/>
          </w:cols>
          <w:pgMar w:left="220" w:top="129" w:right="219" w:bottom="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2"/>
          <w:szCs w:val="12"/>
          <w:color w:val="auto"/>
        </w:rPr>
        <w:t xml:space="preserve">Net Revenue Per Employee, (xiii) Operating Profit, (xiv) Return on Assets, (xv) Return on Capital, (xvi) Return on Common Equity, (xvii) Return on Invested Capital, (xviii) 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the performance formula relating to such Award is expressed in Shares, the maximum limit shall be 4,000,000 Shares in lieu of such dollar limit.</w:t>
      </w:r>
    </w:p>
    <w:p>
      <w:pPr>
        <w:spacing w:after="0" w:line="132" w:lineRule="exact"/>
        <w:rPr>
          <w:sz w:val="20"/>
          <w:szCs w:val="20"/>
          <w:color w:val="auto"/>
        </w:rPr>
      </w:pPr>
    </w:p>
    <w:p>
      <w:pPr>
        <w:jc w:val="both"/>
        <w:ind w:firstLine="522"/>
        <w:spacing w:after="0" w:line="246" w:lineRule="auto"/>
        <w:tabs>
          <w:tab w:leader="none" w:pos="841" w:val="left"/>
        </w:tabs>
        <w:numPr>
          <w:ilvl w:val="1"/>
          <w:numId w:val="39"/>
        </w:numPr>
        <w:rPr>
          <w:rFonts w:ascii="Arial" w:cs="Arial" w:eastAsia="Arial" w:hAnsi="Arial"/>
          <w:sz w:val="14"/>
          <w:szCs w:val="14"/>
          <w:color w:val="auto"/>
        </w:rPr>
      </w:pPr>
      <w:r>
        <w:rPr>
          <w:rFonts w:ascii="Arial" w:cs="Arial" w:eastAsia="Arial" w:hAnsi="Arial"/>
          <w:sz w:val="14"/>
          <w:szCs w:val="14"/>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169" w:lineRule="exact"/>
        <w:rPr>
          <w:rFonts w:ascii="Arial" w:cs="Arial" w:eastAsia="Arial" w:hAnsi="Arial"/>
          <w:sz w:val="14"/>
          <w:szCs w:val="14"/>
          <w:color w:val="auto"/>
        </w:rPr>
      </w:pPr>
    </w:p>
    <w:p>
      <w:pPr>
        <w:ind w:left="820" w:hanging="318"/>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Committee shall not have the authority to provide in any Award granted hereunder for the automatic award of an Option upon the exercise or settlement of such Award.</w:t>
      </w:r>
    </w:p>
    <w:p>
      <w:pPr>
        <w:spacing w:after="0" w:line="183" w:lineRule="exact"/>
        <w:rPr>
          <w:rFonts w:ascii="Arial" w:cs="Arial" w:eastAsia="Arial" w:hAnsi="Arial"/>
          <w:sz w:val="14"/>
          <w:szCs w:val="14"/>
          <w:color w:val="auto"/>
        </w:rPr>
      </w:pPr>
    </w:p>
    <w:p>
      <w:pPr>
        <w:ind w:firstLine="522"/>
        <w:spacing w:after="0" w:line="249" w:lineRule="auto"/>
        <w:tabs>
          <w:tab w:leader="none" w:pos="81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Section 11(i) applies with respect to Awards granted on or after January 1, 2010. If a Participant experiences an Involuntary Termination within 24 months after a Change in Control, then unless specifically provided to the contrary in any Award Agreement or the Committee otherwise determines under authority granted elsewhere in the Plan,</w:t>
      </w:r>
    </w:p>
    <w:p>
      <w:pPr>
        <w:ind w:left="820" w:hanging="210"/>
        <w:spacing w:after="0"/>
        <w:tabs>
          <w:tab w:leader="none" w:pos="820" w:val="left"/>
        </w:tabs>
        <w:numPr>
          <w:ilvl w:val="2"/>
          <w:numId w:val="40"/>
        </w:numPr>
        <w:rPr>
          <w:rFonts w:ascii="Arial" w:cs="Arial" w:eastAsia="Arial" w:hAnsi="Arial"/>
          <w:sz w:val="12"/>
          <w:szCs w:val="12"/>
          <w:color w:val="auto"/>
        </w:rPr>
      </w:pPr>
      <w:r>
        <w:rPr>
          <w:rFonts w:ascii="Arial" w:cs="Arial" w:eastAsia="Arial" w:hAnsi="Arial"/>
          <w:sz w:val="12"/>
          <w:szCs w:val="12"/>
          <w:color w:val="auto"/>
        </w:rPr>
        <w:t>Awards held by the Participant shall become fully vested and exercisable, and any restrictions applicable to the Awards shall lapse, upon the effective date of such termination;</w:t>
      </w:r>
    </w:p>
    <w:p>
      <w:pPr>
        <w:spacing w:after="0" w:line="24" w:lineRule="exact"/>
        <w:rPr>
          <w:rFonts w:ascii="Arial" w:cs="Arial" w:eastAsia="Arial" w:hAnsi="Arial"/>
          <w:sz w:val="12"/>
          <w:szCs w:val="12"/>
          <w:color w:val="auto"/>
        </w:rPr>
      </w:pPr>
    </w:p>
    <w:p>
      <w:pPr>
        <w:ind w:left="480" w:right="20" w:firstLine="130"/>
        <w:spacing w:after="0" w:line="282" w:lineRule="auto"/>
        <w:tabs>
          <w:tab w:leader="none" w:pos="827" w:val="left"/>
        </w:tabs>
        <w:numPr>
          <w:ilvl w:val="2"/>
          <w:numId w:val="40"/>
        </w:numPr>
        <w:rPr>
          <w:rFonts w:ascii="Arial" w:cs="Arial" w:eastAsia="Arial" w:hAnsi="Arial"/>
          <w:sz w:val="12"/>
          <w:szCs w:val="12"/>
          <w:color w:val="auto"/>
        </w:rPr>
      </w:pPr>
      <w:r>
        <w:rPr>
          <w:rFonts w:ascii="Arial" w:cs="Arial" w:eastAsia="Arial" w:hAnsi="Arial"/>
          <w:sz w:val="12"/>
          <w:szCs w:val="12"/>
          <w:color w:val="auto"/>
        </w:rPr>
        <w:t>to the extent permitted without additional tax or penalty by Section 409A of the Code, the shares underlying Restricted Stock Units, Performance Units or other Stock-Based Awards held by the Participant will be issued on, or as soon as practicable (but no later than 60 days) after, the Participant’s Involuntary Termination, provided, however, that if the Participant is a Specified Employee upon such termination, the shares will be issued on, or as soon as practicable (but no more than 10 days) after, the first day of the seventh month following such Involuntary Termination; and</w:t>
      </w:r>
    </w:p>
    <w:p>
      <w:pPr>
        <w:ind w:left="480" w:right="320" w:firstLine="130"/>
        <w:spacing w:after="0" w:line="244" w:lineRule="auto"/>
        <w:tabs>
          <w:tab w:leader="none" w:pos="827" w:val="left"/>
        </w:tabs>
        <w:numPr>
          <w:ilvl w:val="2"/>
          <w:numId w:val="40"/>
        </w:numPr>
        <w:rPr>
          <w:rFonts w:ascii="Arial" w:cs="Arial" w:eastAsia="Arial" w:hAnsi="Arial"/>
          <w:sz w:val="14"/>
          <w:szCs w:val="14"/>
          <w:color w:val="auto"/>
        </w:rPr>
      </w:pPr>
      <w:r>
        <w:rPr>
          <w:rFonts w:ascii="Arial" w:cs="Arial" w:eastAsia="Arial" w:hAnsi="Arial"/>
          <w:sz w:val="14"/>
          <w:szCs w:val="14"/>
          <w:color w:val="auto"/>
        </w:rPr>
        <w:t>to the extent that the issuance of shares as specified in (2) above is not permitted without additional tax or penalty by Section 409A, the Award will continue to full term and the shares will be issued at the issuance date specified in the Award Agreement as if the Participant were still an employee of TI on such date.</w:t>
      </w:r>
    </w:p>
    <w:p>
      <w:pPr>
        <w:spacing w:after="0" w:line="168"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12</w:t>
      </w:r>
      <w:r>
        <w:rPr>
          <w:sz w:val="20"/>
          <w:szCs w:val="20"/>
          <w:color w:val="auto"/>
        </w:rPr>
        <w:tab/>
      </w:r>
      <w:r>
        <w:rPr>
          <w:rFonts w:ascii="Arial" w:cs="Arial" w:eastAsia="Arial" w:hAnsi="Arial"/>
          <w:sz w:val="12"/>
          <w:szCs w:val="12"/>
          <w:i w:val="1"/>
          <w:iCs w:val="1"/>
          <w:color w:val="auto"/>
        </w:rPr>
        <w:t>. Amendment and Termination.</w:t>
      </w:r>
    </w:p>
    <w:p>
      <w:pPr>
        <w:spacing w:after="0" w:line="186" w:lineRule="exact"/>
        <w:rPr>
          <w:sz w:val="20"/>
          <w:szCs w:val="20"/>
          <w:color w:val="auto"/>
        </w:rPr>
      </w:pPr>
    </w:p>
    <w:p>
      <w:pPr>
        <w:jc w:val="both"/>
        <w:ind w:firstLine="512"/>
        <w:spacing w:after="0" w:line="246" w:lineRule="auto"/>
        <w:tabs>
          <w:tab w:leader="none" w:pos="823" w:val="left"/>
        </w:tabs>
        <w:numPr>
          <w:ilvl w:val="1"/>
          <w:numId w:val="41"/>
        </w:numPr>
        <w:rPr>
          <w:rFonts w:ascii="Arial" w:cs="Arial" w:eastAsia="Arial" w:hAnsi="Arial"/>
          <w:sz w:val="14"/>
          <w:szCs w:val="14"/>
          <w:color w:val="auto"/>
        </w:rPr>
      </w:pPr>
      <w:r>
        <w:rPr>
          <w:rFonts w:ascii="Arial" w:cs="Arial" w:eastAsia="Arial" w:hAnsi="Arial"/>
          <w:sz w:val="14"/>
          <w:szCs w:val="14"/>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such amendment, alteration, suspension, discontinuation or termination shall be made without (i) stockholder approval if such approval is necessary to comply with the listing requirements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New York Stock Exchange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69" w:lineRule="exact"/>
        <w:rPr>
          <w:rFonts w:ascii="Arial" w:cs="Arial" w:eastAsia="Arial" w:hAnsi="Arial"/>
          <w:sz w:val="14"/>
          <w:szCs w:val="14"/>
          <w:color w:val="auto"/>
        </w:rPr>
      </w:pPr>
    </w:p>
    <w:p>
      <w:pPr>
        <w:jc w:val="both"/>
        <w:ind w:firstLine="512"/>
        <w:spacing w:after="0" w:line="287" w:lineRule="auto"/>
        <w:tabs>
          <w:tab w:leader="none" w:pos="830" w:val="left"/>
        </w:tabs>
        <w:numPr>
          <w:ilvl w:val="1"/>
          <w:numId w:val="41"/>
        </w:numPr>
        <w:rPr>
          <w:rFonts w:ascii="Arial" w:cs="Arial" w:eastAsia="Arial" w:hAnsi="Arial"/>
          <w:sz w:val="12"/>
          <w:szCs w:val="12"/>
          <w:color w:val="auto"/>
        </w:rPr>
      </w:pPr>
      <w:r>
        <w:rPr>
          <w:rFonts w:ascii="Arial" w:cs="Arial" w:eastAsia="Arial" w:hAnsi="Arial"/>
          <w:sz w:val="12"/>
          <w:szCs w:val="12"/>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 no such action shall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“Award Value”),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150" w:lineRule="exact"/>
        <w:rPr>
          <w:rFonts w:ascii="Arial" w:cs="Arial" w:eastAsia="Arial" w:hAnsi="Arial"/>
          <w:sz w:val="12"/>
          <w:szCs w:val="12"/>
          <w:color w:val="auto"/>
        </w:rPr>
      </w:pPr>
    </w:p>
    <w:p>
      <w:pPr>
        <w:jc w:val="both"/>
        <w:ind w:firstLine="502"/>
        <w:spacing w:after="0" w:line="246" w:lineRule="auto"/>
        <w:tabs>
          <w:tab w:leader="none" w:pos="813"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169" w:lineRule="exact"/>
        <w:rPr>
          <w:rFonts w:ascii="Arial" w:cs="Arial" w:eastAsia="Arial" w:hAnsi="Arial"/>
          <w:sz w:val="14"/>
          <w:szCs w:val="14"/>
          <w:color w:val="auto"/>
        </w:rPr>
      </w:pPr>
    </w:p>
    <w:p>
      <w:pPr>
        <w:ind w:left="840" w:hanging="328"/>
        <w:spacing w:after="0"/>
        <w:tabs>
          <w:tab w:leader="none" w:pos="8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The Committee may correct any defect, supply any omission, or reconcile any inconsistency in the Plan or any Award in the manner and to the extent it shall deem desirable to carry the Plan into</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effect.</w:t>
      </w:r>
    </w:p>
    <w:p>
      <w:pPr>
        <w:spacing w:after="0" w:line="172"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13</w:t>
      </w:r>
      <w:r>
        <w:rPr>
          <w:sz w:val="20"/>
          <w:szCs w:val="20"/>
          <w:color w:val="auto"/>
        </w:rPr>
        <w:tab/>
      </w:r>
      <w:r>
        <w:rPr>
          <w:rFonts w:ascii="Arial" w:cs="Arial" w:eastAsia="Arial" w:hAnsi="Arial"/>
          <w:sz w:val="12"/>
          <w:szCs w:val="12"/>
          <w:i w:val="1"/>
          <w:iCs w:val="1"/>
          <w:color w:val="auto"/>
        </w:rPr>
        <w:t>. Miscellaneous.</w:t>
      </w:r>
    </w:p>
    <w:p>
      <w:pPr>
        <w:spacing w:after="0" w:line="186" w:lineRule="exact"/>
        <w:rPr>
          <w:sz w:val="20"/>
          <w:szCs w:val="20"/>
          <w:color w:val="auto"/>
        </w:rPr>
      </w:pPr>
    </w:p>
    <w:p>
      <w:pPr>
        <w:jc w:val="both"/>
        <w:ind w:firstLine="502"/>
        <w:spacing w:after="0" w:line="250" w:lineRule="auto"/>
        <w:tabs>
          <w:tab w:leader="none" w:pos="813"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166" w:lineRule="exact"/>
        <w:rPr>
          <w:rFonts w:ascii="Arial" w:cs="Arial" w:eastAsia="Arial" w:hAnsi="Arial"/>
          <w:sz w:val="14"/>
          <w:szCs w:val="14"/>
          <w:color w:val="auto"/>
        </w:rPr>
      </w:pPr>
    </w:p>
    <w:p>
      <w:pPr>
        <w:jc w:val="both"/>
        <w:ind w:firstLine="522"/>
        <w:spacing w:after="0" w:line="247" w:lineRule="auto"/>
        <w:tabs>
          <w:tab w:leader="none" w:pos="841" w:val="left"/>
        </w:tabs>
        <w:numPr>
          <w:ilvl w:val="1"/>
          <w:numId w:val="43"/>
        </w:numPr>
        <w:rPr>
          <w:rFonts w:ascii="Arial" w:cs="Arial" w:eastAsia="Arial" w:hAnsi="Arial"/>
          <w:sz w:val="14"/>
          <w:szCs w:val="14"/>
          <w:color w:val="auto"/>
        </w:rPr>
      </w:pPr>
      <w:r>
        <w:rPr>
          <w:rFonts w:ascii="Arial" w:cs="Arial" w:eastAsia="Arial" w:hAnsi="Arial"/>
          <w:sz w:val="14"/>
          <w:szCs w:val="14"/>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such delegation to management shall conform with the requirements of the General Corporation Law of Delaware, as in effect from time to time.</w:t>
      </w:r>
    </w:p>
    <w:p>
      <w:pPr>
        <w:spacing w:after="0" w:line="169" w:lineRule="exact"/>
        <w:rPr>
          <w:sz w:val="20"/>
          <w:szCs w:val="20"/>
          <w:color w:val="auto"/>
        </w:rPr>
      </w:pPr>
    </w:p>
    <w:p>
      <w:pPr>
        <w:jc w:val="both"/>
        <w:ind w:firstLine="502"/>
        <w:spacing w:after="0" w:line="246" w:lineRule="auto"/>
        <w:tabs>
          <w:tab w:leader="none" w:pos="813"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169" w:lineRule="exact"/>
        <w:rPr>
          <w:rFonts w:ascii="Arial" w:cs="Arial" w:eastAsia="Arial" w:hAnsi="Arial"/>
          <w:sz w:val="14"/>
          <w:szCs w:val="14"/>
          <w:color w:val="auto"/>
        </w:rPr>
      </w:pPr>
    </w:p>
    <w:p>
      <w:pPr>
        <w:ind w:firstLine="532"/>
        <w:spacing w:after="0" w:line="259" w:lineRule="auto"/>
        <w:tabs>
          <w:tab w:leader="none" w:pos="861" w:val="left"/>
        </w:tabs>
        <w:numPr>
          <w:ilvl w:val="2"/>
          <w:numId w:val="44"/>
        </w:numPr>
        <w:rPr>
          <w:rFonts w:ascii="Arial" w:cs="Arial" w:eastAsia="Arial" w:hAnsi="Arial"/>
          <w:sz w:val="14"/>
          <w:szCs w:val="14"/>
          <w:color w:val="auto"/>
        </w:rPr>
      </w:pPr>
      <w:r>
        <w:rPr>
          <w:rFonts w:ascii="Arial" w:cs="Arial" w:eastAsia="Arial" w:hAnsi="Arial"/>
          <w:sz w:val="14"/>
          <w:szCs w:val="14"/>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59" w:lineRule="exact"/>
        <w:rPr>
          <w:rFonts w:ascii="Arial" w:cs="Arial" w:eastAsia="Arial" w:hAnsi="Arial"/>
          <w:sz w:val="14"/>
          <w:szCs w:val="14"/>
          <w:color w:val="auto"/>
        </w:rPr>
      </w:pPr>
    </w:p>
    <w:p>
      <w:pPr>
        <w:jc w:val="both"/>
        <w:ind w:firstLine="522"/>
        <w:spacing w:after="0" w:line="250" w:lineRule="auto"/>
        <w:tabs>
          <w:tab w:leader="none" w:pos="833"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66" w:lineRule="exact"/>
        <w:rPr>
          <w:rFonts w:ascii="Arial" w:cs="Arial" w:eastAsia="Arial" w:hAnsi="Arial"/>
          <w:sz w:val="14"/>
          <w:szCs w:val="14"/>
          <w:color w:val="auto"/>
        </w:rPr>
      </w:pPr>
    </w:p>
    <w:p>
      <w:pPr>
        <w:jc w:val="both"/>
        <w:ind w:firstLine="512"/>
        <w:spacing w:after="0" w:line="247" w:lineRule="auto"/>
        <w:tabs>
          <w:tab w:leader="none" w:pos="808" w:val="left"/>
        </w:tabs>
        <w:numPr>
          <w:ilvl w:val="1"/>
          <w:numId w:val="44"/>
        </w:numPr>
        <w:rPr>
          <w:rFonts w:ascii="Arial" w:cs="Arial" w:eastAsia="Arial" w:hAnsi="Arial"/>
          <w:sz w:val="14"/>
          <w:szCs w:val="14"/>
          <w:color w:val="auto"/>
        </w:rPr>
      </w:pPr>
      <w:r>
        <w:rPr>
          <w:rFonts w:ascii="Arial" w:cs="Arial" w:eastAsia="Arial" w:hAnsi="Arial"/>
          <w:sz w:val="14"/>
          <w:szCs w:val="14"/>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69" w:lineRule="exact"/>
        <w:rPr>
          <w:sz w:val="20"/>
          <w:szCs w:val="20"/>
          <w:color w:val="auto"/>
        </w:rPr>
      </w:pPr>
    </w:p>
    <w:p>
      <w:pPr>
        <w:ind w:firstLine="502"/>
        <w:spacing w:after="0" w:line="342" w:lineRule="auto"/>
        <w:tabs>
          <w:tab w:leader="none" w:pos="8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14" w:lineRule="exact"/>
        <w:rPr>
          <w:rFonts w:ascii="Arial" w:cs="Arial" w:eastAsia="Arial" w:hAnsi="Arial"/>
          <w:sz w:val="12"/>
          <w:szCs w:val="12"/>
          <w:color w:val="auto"/>
        </w:rPr>
      </w:pPr>
    </w:p>
    <w:p>
      <w:pPr>
        <w:ind w:firstLine="512"/>
        <w:spacing w:after="0" w:line="259" w:lineRule="auto"/>
        <w:tabs>
          <w:tab w:leader="none" w:pos="830" w:val="left"/>
        </w:tabs>
        <w:numPr>
          <w:ilvl w:val="1"/>
          <w:numId w:val="45"/>
        </w:numPr>
        <w:rPr>
          <w:rFonts w:ascii="Arial" w:cs="Arial" w:eastAsia="Arial" w:hAnsi="Arial"/>
          <w:sz w:val="14"/>
          <w:szCs w:val="14"/>
          <w:color w:val="auto"/>
        </w:rPr>
      </w:pPr>
      <w:r>
        <w:rPr>
          <w:rFonts w:ascii="Arial" w:cs="Arial" w:eastAsia="Arial" w:hAnsi="Arial"/>
          <w:sz w:val="14"/>
          <w:szCs w:val="14"/>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58"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14</w:t>
      </w:r>
      <w:r>
        <w:rPr>
          <w:sz w:val="20"/>
          <w:szCs w:val="20"/>
          <w:color w:val="auto"/>
        </w:rPr>
        <w:tab/>
      </w:r>
      <w:r>
        <w:rPr>
          <w:rFonts w:ascii="Arial" w:cs="Arial" w:eastAsia="Arial" w:hAnsi="Arial"/>
          <w:sz w:val="12"/>
          <w:szCs w:val="12"/>
          <w:i w:val="1"/>
          <w:iCs w:val="1"/>
          <w:color w:val="auto"/>
        </w:rPr>
        <w:t>. Effective Date of the Plan.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Plan shall be effective as of the date of its approval by the stockholders of the Company.</w:t>
      </w:r>
    </w:p>
    <w:p>
      <w:pPr>
        <w:spacing w:after="0" w:line="182"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15</w:t>
      </w:r>
      <w:r>
        <w:rPr>
          <w:sz w:val="20"/>
          <w:szCs w:val="20"/>
          <w:color w:val="auto"/>
        </w:rPr>
        <w:tab/>
      </w:r>
      <w:r>
        <w:rPr>
          <w:rFonts w:ascii="Arial" w:cs="Arial" w:eastAsia="Arial" w:hAnsi="Arial"/>
          <w:sz w:val="12"/>
          <w:szCs w:val="12"/>
          <w:i w:val="1"/>
          <w:iCs w:val="1"/>
          <w:color w:val="auto"/>
        </w:rPr>
        <w:t>. Term of the Plan.</w:t>
      </w:r>
    </w:p>
    <w:p>
      <w:pPr>
        <w:spacing w:after="0" w:line="166" w:lineRule="exact"/>
        <w:rPr>
          <w:sz w:val="20"/>
          <w:szCs w:val="20"/>
          <w:color w:val="auto"/>
        </w:rPr>
      </w:pPr>
    </w:p>
    <w:p>
      <w:pPr>
        <w:jc w:val="both"/>
        <w:ind w:firstLine="516"/>
        <w:spacing w:after="0" w:line="250" w:lineRule="auto"/>
        <w:rPr>
          <w:sz w:val="20"/>
          <w:szCs w:val="20"/>
          <w:color w:val="auto"/>
        </w:rPr>
      </w:pPr>
      <w:r>
        <w:rPr>
          <w:rFonts w:ascii="Arial" w:cs="Arial" w:eastAsia="Arial" w:hAnsi="Arial"/>
          <w:sz w:val="14"/>
          <w:szCs w:val="14"/>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165"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4"/>
          <w:szCs w:val="14"/>
          <w:b w:val="1"/>
          <w:bCs w:val="1"/>
          <w:color w:val="auto"/>
        </w:rPr>
        <w:t>SECTION 16</w:t>
      </w:r>
      <w:r>
        <w:rPr>
          <w:sz w:val="20"/>
          <w:szCs w:val="20"/>
          <w:color w:val="auto"/>
        </w:rPr>
        <w:tab/>
      </w:r>
      <w:r>
        <w:rPr>
          <w:rFonts w:ascii="Arial" w:cs="Arial" w:eastAsia="Arial" w:hAnsi="Arial"/>
          <w:sz w:val="12"/>
          <w:szCs w:val="12"/>
          <w:i w:val="1"/>
          <w:iCs w:val="1"/>
          <w:color w:val="auto"/>
        </w:rPr>
        <w:t>. Governing Law.</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Plan shall be construed in accordance with and governed by the laws of the State of Texas without giving effect to the principles of conflict of laws thereof.</w:t>
      </w:r>
    </w:p>
    <w:p>
      <w:pPr>
        <w:sectPr>
          <w:pgSz w:w="11900" w:h="16838" w:orient="portrait"/>
          <w:cols w:equalWidth="0" w:num="1">
            <w:col w:w="11460"/>
          </w:cols>
          <w:pgMar w:left="220" w:top="129" w:right="219" w:bottom="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4"/>
          <w:szCs w:val="14"/>
          <w:b w:val="1"/>
          <w:bCs w:val="1"/>
          <w:u w:val="single" w:color="auto"/>
          <w:color w:val="auto"/>
        </w:rPr>
        <w:t>Exhibit 10.2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TEXAS INSTRUMENTS EXECUTIVE OFFICER PERFORMANCE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Amended September 17, 2009</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purpose of the Plan is to promote the success of the Company by providing performance-based compensation for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the Plan, unless otherwise indicated, the term "TI" shall mean Texas Instruments Incorporated, "Company" shall mean TI and its subsidiaries, and "Board" shall mean the Board of Directors of TI.</w:t>
      </w: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Plan is intended to provide qualified performance-based compensation in accordance with Section 162(m) of the Internal Revenue Code of 1986, as amended, and regulations thereunder ("Code") and will be so interpreted.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Covered Employees</w:t>
      </w:r>
    </w:p>
    <w:p>
      <w:pPr>
        <w:spacing w:after="0" w:line="186" w:lineRule="exact"/>
        <w:rPr>
          <w:sz w:val="20"/>
          <w:szCs w:val="20"/>
          <w:color w:val="auto"/>
        </w:rPr>
      </w:pPr>
    </w:p>
    <w:p>
      <w:pPr>
        <w:ind w:right="120"/>
        <w:spacing w:after="0" w:line="342" w:lineRule="auto"/>
        <w:rPr>
          <w:sz w:val="20"/>
          <w:szCs w:val="20"/>
          <w:color w:val="auto"/>
        </w:rPr>
      </w:pPr>
      <w:r>
        <w:rPr>
          <w:rFonts w:ascii="Arial" w:cs="Arial" w:eastAsia="Arial" w:hAnsi="Arial"/>
          <w:sz w:val="12"/>
          <w:szCs w:val="12"/>
          <w:color w:val="auto"/>
        </w:rPr>
        <w:t>The executive officers of TI (within the meaning of Rule 3b-7 under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of Plan</w:t>
      </w:r>
    </w:p>
    <w:p>
      <w:pPr>
        <w:spacing w:after="0" w:line="18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 of Administration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expenses of the administration of this Plan, including the interest provided in the Plan, shall be borne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w:t>
      </w:r>
    </w:p>
    <w:p>
      <w:pPr>
        <w:spacing w:after="0" w:line="186" w:lineRule="exact"/>
        <w:rPr>
          <w:sz w:val="20"/>
          <w:szCs w:val="20"/>
          <w:color w:val="auto"/>
        </w:rPr>
      </w:pPr>
    </w:p>
    <w:p>
      <w:pPr>
        <w:ind w:right="80"/>
        <w:spacing w:after="0" w:line="312" w:lineRule="auto"/>
        <w:rPr>
          <w:sz w:val="20"/>
          <w:szCs w:val="20"/>
          <w:color w:val="auto"/>
        </w:rPr>
      </w:pPr>
      <w:r>
        <w:rPr>
          <w:rFonts w:ascii="Arial" w:cs="Arial" w:eastAsia="Arial" w:hAnsi="Arial"/>
          <w:sz w:val="12"/>
          <w:szCs w:val="12"/>
          <w:color w:val="auto"/>
        </w:rPr>
        <w:t>The Board may, at any time and from time to time, alter, amend, suspend or terminate the Plan or any part thereof as it may deem proper and in the best interests of the Company, provided, however, that no such action shall (i) affect or impair the rights under any award theretofore granted under the Plan, except that in the case of a covered employee employed outside the United States the Committee may vary the provisions of the Plan as it may deem appropriate to conform with local laws, practices and procedures or (ii) increase the maximum amount of any award above the amount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Awards</w:t>
      </w:r>
    </w:p>
    <w:p>
      <w:pPr>
        <w:spacing w:after="0" w:line="186" w:lineRule="exact"/>
        <w:rPr>
          <w:sz w:val="20"/>
          <w:szCs w:val="20"/>
          <w:color w:val="auto"/>
        </w:rPr>
      </w:pPr>
    </w:p>
    <w:p>
      <w:pPr>
        <w:ind w:right="40"/>
        <w:spacing w:after="0" w:line="312" w:lineRule="auto"/>
        <w:rPr>
          <w:sz w:val="20"/>
          <w:szCs w:val="20"/>
          <w:color w:val="auto"/>
        </w:rPr>
      </w:pPr>
      <w:r>
        <w:rPr>
          <w:rFonts w:ascii="Arial" w:cs="Arial" w:eastAsia="Arial" w:hAnsi="Arial"/>
          <w:sz w:val="12"/>
          <w:szCs w:val="12"/>
          <w:color w:val="auto"/>
        </w:rPr>
        <w:t>Subject to the Committee's discretion to reduce such awards, each covered employee shall be entitled to an award for each performance year equal to 0.5% of the Company's consolidated income from continuing operations before (i) provision for income taxes, (ii) awards under the Plan, (iii) any pretax gain or loss exceeding $25 million recognized for the year related to divestiture of a business and (iv) any write-off of in process research and development expenses exceeding $25 million associated with an acquisition, as determined and reported to the Committee by TI's independent auditors ("Consolidated Income").</w:t>
      </w:r>
    </w:p>
    <w:p>
      <w:pPr>
        <w:spacing w:after="0" w:line="132" w:lineRule="exact"/>
        <w:rPr>
          <w:sz w:val="20"/>
          <w:szCs w:val="20"/>
          <w:color w:val="auto"/>
        </w:rPr>
      </w:pPr>
    </w:p>
    <w:p>
      <w:pPr>
        <w:ind w:right="280"/>
        <w:spacing w:after="0" w:line="312" w:lineRule="auto"/>
        <w:rPr>
          <w:sz w:val="20"/>
          <w:szCs w:val="20"/>
          <w:color w:val="auto"/>
        </w:rPr>
      </w:pPr>
      <w:r>
        <w:rPr>
          <w:rFonts w:ascii="Arial" w:cs="Arial" w:eastAsia="Arial" w:hAnsi="Arial"/>
          <w:sz w:val="12"/>
          <w:szCs w:val="12"/>
          <w:color w:val="auto"/>
        </w:rPr>
        <w:t>An individual who becomes an executive officer after March 30 and on or before October 1 of a performance year shall be entitled to a prorated award for that performance year which shall be 0.5% of the Company's Consolidated Income, as defined above, for such performance year multiplied by a fraction, the numerator of which is the number of complete calendar quarters of such year following the date on which the individual becomes an executive officer and the denominator of which is 4. Such prorated award shall be subject to the Committee's discretion to reduce awards.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Scope of the Plan</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Awards; Committee Discretion to Reduce</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As soon as practicable after the end of each performance year, TI's independent auditors shall determine and report to the Committee and the Committee shall certify the amount of each award for that year under the provisions of this Plan.</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All awards are subject to recoupment by the Company, at its request, in accordance with the recoupment policy adopted by the Committee and in effect at the time of the Committee’s determination of the award.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of Awards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Except to the extent deferred pursuant to the terms and provisions of the TI Deferred Compensation Plan or as provided in the next paragraph, awards and any installments thereof shall be paid in a cash lump sum as soon as practicable after the amount of the awards has been determined, but in no event later than March 15 of the year following the performance year.</w:t>
      </w:r>
    </w:p>
    <w:p>
      <w:pPr>
        <w:spacing w:after="0" w:line="160"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the Plan. In the event the Committee designates a time or form of payment of any award different from the time and form specified in the preceding paragraph, the Committee's designation shall be in writing and made not later than a time that will meet the requirements of Treas. Reg. Section 1.409A-2(a)(2). The Committee may determine that interest will be payable with respect to any payment of any award. The Committee may at any time amend any such direction or amend or delete any such terms and conditions if the Committee deems it appropriate, provided that any such change will be made in a manner that will meet the requirements for subsequent elections of Treas. Reg. Section 1.409A-2(b) and no such change shall accelerate any payment except as permitted by Section 409A of the Code. The Committee's actions under this paragraph shall be subject to and in accordance with the rules governing qualified performance based compensation in Section 162(m) of the Code.</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Payments of awards to covered employees who are employees of subsidiaries of the Company shall be paid directly by such subsidiaries.</w:t>
      </w:r>
    </w:p>
    <w:p>
      <w:pPr>
        <w:sectPr>
          <w:pgSz w:w="11900" w:h="16838" w:orient="portrait"/>
          <w:cols w:equalWidth="0" w:num="1">
            <w:col w:w="11460"/>
          </w:cols>
          <w:pgMar w:left="220" w:top="309"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b w:val="1"/>
          <w:bCs w:val="1"/>
          <w:u w:val="single" w:color="auto"/>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 Richard K. Templeton, certify that:</w:t>
      </w:r>
    </w:p>
    <w:p>
      <w:pPr>
        <w:spacing w:after="0" w:line="164" w:lineRule="exact"/>
        <w:rPr>
          <w:sz w:val="20"/>
          <w:szCs w:val="20"/>
          <w:color w:val="auto"/>
        </w:rPr>
      </w:pPr>
    </w:p>
    <w:p>
      <w:pPr>
        <w:ind w:left="500" w:hanging="134"/>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Texas Instruments Incorporated;</w:t>
      </w:r>
    </w:p>
    <w:p>
      <w:pPr>
        <w:spacing w:after="0" w:line="163" w:lineRule="exact"/>
        <w:rPr>
          <w:rFonts w:ascii="Arial" w:cs="Arial" w:eastAsia="Arial" w:hAnsi="Arial"/>
          <w:sz w:val="14"/>
          <w:szCs w:val="14"/>
          <w:color w:val="auto"/>
        </w:rPr>
      </w:pPr>
    </w:p>
    <w:p>
      <w:pPr>
        <w:ind w:right="220" w:firstLine="366"/>
        <w:spacing w:after="0" w:line="259"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right="20" w:firstLine="366"/>
        <w:spacing w:after="0" w:line="259"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4"/>
          <w:szCs w:val="14"/>
          <w:color w:val="auto"/>
        </w:rPr>
      </w:pPr>
    </w:p>
    <w:p>
      <w:pPr>
        <w:ind w:right="320" w:firstLine="366"/>
        <w:spacing w:after="0" w:line="259"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left="360" w:right="140" w:firstLine="6"/>
        <w:spacing w:after="0" w:line="342" w:lineRule="auto"/>
        <w:tabs>
          <w:tab w:leader="none" w:pos="499"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2"/>
          <w:szCs w:val="12"/>
          <w:color w:val="auto"/>
        </w:rPr>
      </w:pPr>
    </w:p>
    <w:p>
      <w:pPr>
        <w:ind w:left="360" w:right="380" w:firstLine="6"/>
        <w:spacing w:after="0" w:line="342" w:lineRule="auto"/>
        <w:tabs>
          <w:tab w:leader="none" w:pos="507"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2"/>
          <w:szCs w:val="12"/>
          <w:color w:val="auto"/>
        </w:rPr>
      </w:pPr>
    </w:p>
    <w:p>
      <w:pPr>
        <w:ind w:left="360" w:right="140" w:firstLine="6"/>
        <w:spacing w:after="0" w:line="259" w:lineRule="auto"/>
        <w:tabs>
          <w:tab w:leader="none" w:pos="499" w:val="left"/>
        </w:tabs>
        <w:numPr>
          <w:ilvl w:val="0"/>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4"/>
          <w:szCs w:val="14"/>
          <w:color w:val="auto"/>
        </w:rPr>
      </w:pPr>
    </w:p>
    <w:p>
      <w:pPr>
        <w:ind w:left="360" w:right="200" w:firstLine="6"/>
        <w:spacing w:after="0" w:line="342" w:lineRule="auto"/>
        <w:tabs>
          <w:tab w:leader="none" w:pos="507" w:val="left"/>
        </w:tabs>
        <w:numPr>
          <w:ilvl w:val="0"/>
          <w:numId w:val="4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280" w:firstLine="366"/>
        <w:spacing w:after="0" w:line="259" w:lineRule="auto"/>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0" w:lineRule="exact"/>
        <w:rPr>
          <w:sz w:val="20"/>
          <w:szCs w:val="20"/>
          <w:color w:val="auto"/>
        </w:rPr>
      </w:pPr>
    </w:p>
    <w:p>
      <w:pPr>
        <w:ind w:left="360" w:right="80" w:firstLine="6"/>
        <w:spacing w:after="0" w:line="259" w:lineRule="auto"/>
        <w:tabs>
          <w:tab w:leader="none" w:pos="499"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4"/>
          <w:szCs w:val="14"/>
          <w:color w:val="auto"/>
        </w:rPr>
      </w:pPr>
    </w:p>
    <w:p>
      <w:pPr>
        <w:ind w:left="520" w:hanging="154"/>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Date: October 30, 2009</w:t>
      </w:r>
    </w:p>
    <w:p>
      <w:pPr>
        <w:spacing w:after="0" w:line="204"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218440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4400" cy="12700"/>
                    </a:xfrm>
                    <a:prstGeom prst="rect">
                      <a:avLst/>
                    </a:prstGeom>
                    <a:noFill/>
                  </pic:spPr>
                </pic:pic>
              </a:graphicData>
            </a:graphic>
          </wp:anchor>
        </w:drawing>
      </w:r>
    </w:p>
    <w:p>
      <w:pPr>
        <w:spacing w:after="0" w:line="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Richard K. Templeton</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Chairman, President and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309" w:right="21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b w:val="1"/>
          <w:bCs w:val="1"/>
          <w:u w:val="single" w:color="auto"/>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 Kevin P. March, certify that:</w:t>
      </w:r>
    </w:p>
    <w:p>
      <w:pPr>
        <w:spacing w:after="0" w:line="164" w:lineRule="exact"/>
        <w:rPr>
          <w:sz w:val="20"/>
          <w:szCs w:val="20"/>
          <w:color w:val="auto"/>
        </w:rPr>
      </w:pPr>
    </w:p>
    <w:p>
      <w:pPr>
        <w:ind w:left="500" w:hanging="134"/>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Texas Instruments Incorporated;</w:t>
      </w:r>
    </w:p>
    <w:p>
      <w:pPr>
        <w:spacing w:after="0" w:line="163" w:lineRule="exact"/>
        <w:rPr>
          <w:rFonts w:ascii="Arial" w:cs="Arial" w:eastAsia="Arial" w:hAnsi="Arial"/>
          <w:sz w:val="14"/>
          <w:szCs w:val="14"/>
          <w:color w:val="auto"/>
        </w:rPr>
      </w:pPr>
    </w:p>
    <w:p>
      <w:pPr>
        <w:ind w:right="220" w:firstLine="366"/>
        <w:spacing w:after="0" w:line="259"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right="20" w:firstLine="366"/>
        <w:spacing w:after="0" w:line="259"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4"/>
          <w:szCs w:val="14"/>
          <w:color w:val="auto"/>
        </w:rPr>
      </w:pPr>
    </w:p>
    <w:p>
      <w:pPr>
        <w:ind w:right="320" w:firstLine="366"/>
        <w:spacing w:after="0" w:line="259"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left="360" w:right="140" w:firstLine="6"/>
        <w:spacing w:after="0" w:line="342" w:lineRule="auto"/>
        <w:tabs>
          <w:tab w:leader="none" w:pos="499" w:val="left"/>
        </w:tabs>
        <w:numPr>
          <w:ilvl w:val="0"/>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2"/>
          <w:szCs w:val="12"/>
          <w:color w:val="auto"/>
        </w:rPr>
      </w:pPr>
    </w:p>
    <w:p>
      <w:pPr>
        <w:ind w:left="360" w:right="380" w:firstLine="6"/>
        <w:spacing w:after="0" w:line="342" w:lineRule="auto"/>
        <w:tabs>
          <w:tab w:leader="none" w:pos="507" w:val="left"/>
        </w:tabs>
        <w:numPr>
          <w:ilvl w:val="0"/>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2"/>
          <w:szCs w:val="12"/>
          <w:color w:val="auto"/>
        </w:rPr>
      </w:pPr>
    </w:p>
    <w:p>
      <w:pPr>
        <w:ind w:left="360" w:right="140" w:firstLine="6"/>
        <w:spacing w:after="0" w:line="259" w:lineRule="auto"/>
        <w:tabs>
          <w:tab w:leader="none" w:pos="499" w:val="left"/>
        </w:tabs>
        <w:numPr>
          <w:ilvl w:val="0"/>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4"/>
          <w:szCs w:val="14"/>
          <w:color w:val="auto"/>
        </w:rPr>
      </w:pPr>
    </w:p>
    <w:p>
      <w:pPr>
        <w:ind w:left="360" w:right="200" w:firstLine="6"/>
        <w:spacing w:after="0" w:line="342" w:lineRule="auto"/>
        <w:tabs>
          <w:tab w:leader="none" w:pos="507" w:val="left"/>
        </w:tabs>
        <w:numPr>
          <w:ilvl w:val="0"/>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280" w:firstLine="366"/>
        <w:spacing w:after="0" w:line="259"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0" w:lineRule="exact"/>
        <w:rPr>
          <w:sz w:val="20"/>
          <w:szCs w:val="20"/>
          <w:color w:val="auto"/>
        </w:rPr>
      </w:pPr>
    </w:p>
    <w:p>
      <w:pPr>
        <w:ind w:left="360" w:right="80" w:firstLine="6"/>
        <w:spacing w:after="0" w:line="259" w:lineRule="auto"/>
        <w:tabs>
          <w:tab w:leader="none" w:pos="499" w:val="left"/>
        </w:tabs>
        <w:numPr>
          <w:ilvl w:val="0"/>
          <w:numId w:val="5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4"/>
          <w:szCs w:val="14"/>
          <w:color w:val="auto"/>
        </w:rPr>
      </w:pPr>
    </w:p>
    <w:p>
      <w:pPr>
        <w:ind w:left="520" w:hanging="154"/>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Date: October 30, 2009</w:t>
      </w:r>
    </w:p>
    <w:p>
      <w:pPr>
        <w:spacing w:after="0" w:line="204"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218440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4400" cy="12700"/>
                    </a:xfrm>
                    <a:prstGeom prst="rect">
                      <a:avLst/>
                    </a:prstGeom>
                    <a:noFill/>
                  </pic:spPr>
                </pic:pic>
              </a:graphicData>
            </a:graphic>
          </wp:anchor>
        </w:drawing>
      </w:r>
    </w:p>
    <w:p>
      <w:pPr>
        <w:spacing w:after="0" w:line="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Kevin P. March</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Senior Vice President and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309" w:right="21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b w:val="1"/>
          <w:bCs w:val="1"/>
          <w:u w:val="single" w:color="auto"/>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Periodic Report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18 U.S.C. Section 1350</w:t>
      </w:r>
    </w:p>
    <w:p>
      <w:pPr>
        <w:spacing w:after="0" w:line="154" w:lineRule="exact"/>
        <w:rPr>
          <w:sz w:val="20"/>
          <w:szCs w:val="20"/>
          <w:color w:val="auto"/>
        </w:rPr>
      </w:pPr>
    </w:p>
    <w:p>
      <w:pPr>
        <w:ind w:right="340" w:firstLine="365"/>
        <w:spacing w:after="0" w:line="259" w:lineRule="auto"/>
        <w:rPr>
          <w:sz w:val="20"/>
          <w:szCs w:val="20"/>
          <w:color w:val="auto"/>
        </w:rPr>
      </w:pPr>
      <w:r>
        <w:rPr>
          <w:rFonts w:ascii="Arial" w:cs="Arial" w:eastAsia="Arial" w:hAnsi="Arial"/>
          <w:sz w:val="14"/>
          <w:szCs w:val="14"/>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40" w:lineRule="exact"/>
        <w:rPr>
          <w:sz w:val="20"/>
          <w:szCs w:val="20"/>
          <w:color w:val="auto"/>
        </w:rPr>
      </w:pPr>
    </w:p>
    <w:p>
      <w:pPr>
        <w:ind w:left="360" w:right="180" w:firstLine="6"/>
        <w:spacing w:after="0" w:line="259" w:lineRule="auto"/>
        <w:tabs>
          <w:tab w:leader="none" w:pos="52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2009, as filed with the Securities and Exchange Commission on the date hereof (the “Report”) fully complies with the requirements of Section 13(a) or 15(d) of the Securities Exchange Act of 1934; and</w:t>
      </w:r>
    </w:p>
    <w:p>
      <w:pPr>
        <w:spacing w:after="0" w:line="139" w:lineRule="exact"/>
        <w:rPr>
          <w:rFonts w:ascii="Arial" w:cs="Arial" w:eastAsia="Arial" w:hAnsi="Arial"/>
          <w:sz w:val="14"/>
          <w:szCs w:val="14"/>
          <w:color w:val="auto"/>
        </w:rPr>
      </w:pPr>
    </w:p>
    <w:p>
      <w:pPr>
        <w:ind w:left="560" w:hanging="194"/>
        <w:spacing w:after="0"/>
        <w:tabs>
          <w:tab w:leader="none" w:pos="5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Date: October 30, 2009</w:t>
      </w:r>
    </w:p>
    <w:p>
      <w:pPr>
        <w:spacing w:after="0" w:line="204"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218440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4400" cy="12700"/>
                    </a:xfrm>
                    <a:prstGeom prst="rect">
                      <a:avLst/>
                    </a:prstGeom>
                    <a:noFill/>
                  </pic:spPr>
                </pic:pic>
              </a:graphicData>
            </a:graphic>
          </wp:anchor>
        </w:drawing>
      </w:r>
    </w:p>
    <w:p>
      <w:pPr>
        <w:spacing w:after="0" w:line="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Richard K. Templeton</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Chairman, President and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309" w:right="21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b w:val="1"/>
          <w:bCs w:val="1"/>
          <w:u w:val="single" w:color="auto"/>
          <w:color w:val="auto"/>
        </w:rPr>
        <w:t>Exhibit 32.2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Periodic Report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18 U.S.C. Section 1350</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purposes of 18 U.S.C. Section 1350, as adopted pursuant to Section 906 of the Sarbanes-Oxley Act of 2002, the undersigned, Kevin P. March,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Texas Instruments Incorporated (the “Company”), hereby certifies that, to his knowledge:</w:t>
      </w:r>
    </w:p>
    <w:p>
      <w:pPr>
        <w:spacing w:after="0" w:line="154" w:lineRule="exact"/>
        <w:rPr>
          <w:sz w:val="20"/>
          <w:szCs w:val="20"/>
          <w:color w:val="auto"/>
        </w:rPr>
      </w:pPr>
    </w:p>
    <w:p>
      <w:pPr>
        <w:ind w:left="360" w:right="180" w:firstLine="6"/>
        <w:spacing w:after="0" w:line="259" w:lineRule="auto"/>
        <w:tabs>
          <w:tab w:leader="none" w:pos="52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2009, as filed with the Securities and Exchange Commission on the date hereof (the “Report”) fully complies with the requirements of Section 13(a) or 15(d) of the Securities Exchange Act of 1934; and</w:t>
      </w:r>
    </w:p>
    <w:p>
      <w:pPr>
        <w:spacing w:after="0" w:line="139" w:lineRule="exact"/>
        <w:rPr>
          <w:rFonts w:ascii="Arial" w:cs="Arial" w:eastAsia="Arial" w:hAnsi="Arial"/>
          <w:sz w:val="14"/>
          <w:szCs w:val="14"/>
          <w:color w:val="auto"/>
        </w:rPr>
      </w:pPr>
    </w:p>
    <w:p>
      <w:pPr>
        <w:ind w:left="560" w:hanging="194"/>
        <w:spacing w:after="0"/>
        <w:tabs>
          <w:tab w:leader="none" w:pos="5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Date: October 30, 2009</w:t>
      </w:r>
    </w:p>
    <w:p>
      <w:pPr>
        <w:spacing w:after="0" w:line="204"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218440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4400" cy="12700"/>
                    </a:xfrm>
                    <a:prstGeom prst="rect">
                      <a:avLst/>
                    </a:prstGeom>
                    <a:noFill/>
                  </pic:spPr>
                </pic:pic>
              </a:graphicData>
            </a:graphic>
          </wp:anchor>
        </w:drawing>
      </w:r>
    </w:p>
    <w:p>
      <w:pPr>
        <w:spacing w:after="0" w:line="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Kevin P. March</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Senior Vice President and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Chief Financial Officer</w:t>
      </w:r>
    </w:p>
    <w:sectPr>
      <w:pgSz w:w="11900" w:h="16838" w:orient="portrait"/>
      <w:cols w:equalWidth="0" w:num="1">
        <w:col w:w="11460"/>
      </w:cols>
      <w:pgMar w:left="220" w:top="30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S"/>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5"/>
    </w:lvl>
  </w:abstractNum>
  <w:abstractNum w:abstractNumId="7">
    <w:nsid w:val="737B8DDC"/>
    <w:multiLevelType w:val="hybridMultilevel"/>
    <w:lvl w:ilvl="0">
      <w:lvlJc w:val="left"/>
      <w:lvlText w:val="%1."/>
      <w:numFmt w:val="decimal"/>
      <w:start w:val="6"/>
    </w:lvl>
  </w:abstractNum>
  <w:abstractNum w:abstractNumId="8">
    <w:nsid w:val="6CEAF087"/>
    <w:multiLevelType w:val="hybridMultilevel"/>
    <w:lvl w:ilvl="0">
      <w:lvlJc w:val="left"/>
      <w:lvlText w:val="%1."/>
      <w:numFmt w:val="decimal"/>
      <w:start w:val="7"/>
    </w:lvl>
  </w:abstractNum>
  <w:abstractNum w:abstractNumId="9">
    <w:nsid w:val="22221A70"/>
    <w:multiLevelType w:val="hybridMultilevel"/>
    <w:lvl w:ilvl="0">
      <w:lvlJc w:val="left"/>
      <w:lvlText w:val="%1."/>
      <w:numFmt w:val="decimal"/>
      <w:start w:val="9"/>
    </w:lvl>
  </w:abstractNum>
  <w:abstractNum w:abstractNumId="10">
    <w:nsid w:val="4516DDE9"/>
    <w:multiLevelType w:val="hybridMultilevel"/>
    <w:lvl w:ilvl="0">
      <w:lvlJc w:val="left"/>
      <w:lvlText w:val="&amp;"/>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lvl w:ilvl="1">
      <w:lvlJc w:val="left"/>
      <w:lvlText w:val="(%2)"/>
      <w:numFmt w:val="lowerLetter"/>
      <w:start w:val="3"/>
    </w:lvl>
  </w:abstractNum>
  <w:abstractNum w:abstractNumId="14">
    <w:nsid w:val="5577F8E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Letter"/>
      <w:start w:val="61"/>
    </w:lvl>
  </w:abstractNum>
  <w:abstractNum w:abstractNumId="15">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8"/>
    </w:lvl>
  </w:abstractNum>
  <w:abstractNum w:abstractNumId="16">
    <w:nsid w:val="5072367"/>
    <w:multiLevelType w:val="hybridMultilevel"/>
    <w:lvl w:ilvl="0">
      <w:lvlJc w:val="left"/>
      <w:lvlText w:val="(%1)"/>
      <w:numFmt w:val="lowerLetter"/>
      <w:start w:val="9"/>
    </w:lvl>
    <w:lvl w:ilvl="1">
      <w:lvlJc w:val="left"/>
      <w:lvlText w:val="(%2)"/>
      <w:numFmt w:val="lowerLetter"/>
      <w:start w:val="14"/>
    </w:lvl>
    <w:lvl w:ilvl="2">
      <w:lvlJc w:val="left"/>
      <w:lvlText w:val="(%3)"/>
      <w:numFmt w:val="lowerLetter"/>
      <w:start w:val="14"/>
    </w:lvl>
    <w:lvl w:ilvl="3">
      <w:lvlJc w:val="left"/>
      <w:lvlText w:val="%4"/>
      <w:numFmt w:val="lowerLetter"/>
      <w:start w:val="1"/>
    </w:lvl>
  </w:abstractNum>
  <w:abstractNum w:abstractNumId="17">
    <w:nsid w:val="3804823E"/>
    <w:multiLevelType w:val="hybridMultilevel"/>
    <w:lvl w:ilvl="0">
      <w:lvlJc w:val="left"/>
      <w:lvlText w:val="(%1)"/>
      <w:numFmt w:val="lowerLetter"/>
      <w:start w:val="16"/>
    </w:lvl>
    <w:lvl w:ilvl="1">
      <w:lvlJc w:val="left"/>
      <w:lvlText w:val="(%2)"/>
      <w:numFmt w:val="lowerLetter"/>
      <w:start w:val="20"/>
    </w:lvl>
  </w:abstractNum>
  <w:abstractNum w:abstractNumId="18">
    <w:nsid w:val="77465F01"/>
    <w:multiLevelType w:val="hybridMultilevel"/>
    <w:lvl w:ilvl="0">
      <w:lvlJc w:val="left"/>
      <w:lvlText w:val="(%1)"/>
      <w:numFmt w:val="lowerLetter"/>
      <w:start w:val="21"/>
    </w:lvl>
    <w:lvl w:ilvl="1">
      <w:lvlJc w:val="left"/>
      <w:lvlText w:val="(%2)"/>
      <w:numFmt w:val="lowerLetter"/>
      <w:start w:val="22"/>
    </w:lvl>
  </w:abstractNum>
  <w:abstractNum w:abstractNumId="19">
    <w:nsid w:val="7724C67E"/>
    <w:multiLevelType w:val="hybridMultilevel"/>
    <w:lvl w:ilvl="0">
      <w:lvlJc w:val="left"/>
      <w:lvlText w:val="(%1)"/>
      <w:numFmt w:val="lowerLetter"/>
      <w:start w:val="23"/>
    </w:lvl>
  </w:abstractNum>
  <w:abstractNum w:abstractNumId="20">
    <w:nsid w:val="5C482A97"/>
    <w:multiLevelType w:val="hybridMultilevel"/>
    <w:lvl w:ilvl="0">
      <w:lvlJc w:val="left"/>
      <w:lvlText w:val="(%1)"/>
      <w:numFmt w:val="lowerLetter"/>
      <w:start w:val="24"/>
    </w:lvl>
  </w:abstractNum>
  <w:abstractNum w:abstractNumId="21">
    <w:nsid w:val="2463B9EA"/>
    <w:multiLevelType w:val="hybridMultilevel"/>
    <w:lvl w:ilvl="0">
      <w:lvlJc w:val="left"/>
      <w:lvlText w:val="(%1)"/>
      <w:numFmt w:val="lowerLetter"/>
      <w:start w:val="27"/>
    </w:lvl>
    <w:lvl w:ilvl="1">
      <w:lvlJc w:val="left"/>
      <w:lvlText w:val="(%2)"/>
      <w:numFmt w:val="lowerLetter"/>
      <w:start w:val="40"/>
    </w:lvl>
    <w:lvl w:ilvl="2">
      <w:lvlJc w:val="left"/>
      <w:lvlText w:val="(%3)"/>
      <w:numFmt w:val="lowerLetter"/>
      <w:start w:val="40"/>
    </w:lvl>
  </w:abstractNum>
  <w:abstractNum w:abstractNumId="22">
    <w:nsid w:val="5E884ADC"/>
    <w:multiLevelType w:val="hybridMultilevel"/>
    <w:lvl w:ilvl="0">
      <w:lvlJc w:val="left"/>
      <w:lvlText w:val="%1"/>
      <w:numFmt w:val="lowerLetter"/>
      <w:start w:val="1"/>
    </w:lvl>
    <w:lvl w:ilvl="1">
      <w:lvlJc w:val="left"/>
      <w:lvlText w:val="(%2)"/>
      <w:numFmt w:val="lowerLetter"/>
      <w:start w:val="42"/>
    </w:lvl>
  </w:abstractNum>
  <w:abstractNum w:abstractNumId="23">
    <w:nsid w:val="51EAD36B"/>
    <w:multiLevelType w:val="hybridMultilevel"/>
    <w:lvl w:ilvl="0">
      <w:lvlJc w:val="left"/>
      <w:lvlText w:val="(%1)"/>
      <w:numFmt w:val="lowerLetter"/>
      <w:start w:val="43"/>
    </w:lvl>
    <w:lvl w:ilvl="1">
      <w:lvlJc w:val="left"/>
      <w:lvlText w:val="%2"/>
      <w:numFmt w:val="lowerLetter"/>
      <w:start w:val="1"/>
    </w:lvl>
  </w:abstractNum>
  <w:abstractNum w:abstractNumId="24">
    <w:nsid w:val="2D517796"/>
    <w:multiLevelType w:val="hybridMultilevel"/>
    <w:lvl w:ilvl="0">
      <w:lvlJc w:val="left"/>
      <w:lvlText w:val="(%1)"/>
      <w:numFmt w:val="lowerLetter"/>
      <w:start w:val="1"/>
    </w:lvl>
    <w:lvl w:ilvl="1">
      <w:lvlJc w:val="left"/>
      <w:lvlText w:val="(%2)"/>
      <w:numFmt w:val="lowerLetter"/>
      <w:start w:val="2"/>
    </w:lvl>
  </w:abstractNum>
  <w:abstractNum w:abstractNumId="25">
    <w:nsid w:val="580BD78F"/>
    <w:multiLevelType w:val="hybridMultilevel"/>
    <w:lvl w:ilvl="0">
      <w:lvlJc w:val="left"/>
      <w:lvlText w:val="(%1)"/>
      <w:numFmt w:val="lowerLetter"/>
      <w:start w:val="3"/>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1"/>
    </w:lvl>
    <w:lvl w:ilvl="1">
      <w:lvlJc w:val="left"/>
      <w:lvlText w:val="(%2)"/>
      <w:numFmt w:val="lowerLetter"/>
      <w:start w:val="5"/>
    </w:lvl>
  </w:abstractNum>
  <w:abstractNum w:abstractNumId="28">
    <w:nsid w:val="70A64E2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9">
    <w:nsid w:val="6A2342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4"/>
    </w:lvl>
  </w:abstractNum>
  <w:abstractNum w:abstractNumId="30">
    <w:nsid w:val="2A487CB0"/>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31">
    <w:nsid w:val="1D4ED4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2">
    <w:nsid w:val="725A06FB"/>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33">
    <w:nsid w:val="2CD89A32"/>
    <w:multiLevelType w:val="hybridMultilevel"/>
    <w:lvl w:ilvl="0">
      <w:lvlJc w:val="left"/>
      <w:lvlText w:val="(%1)"/>
      <w:numFmt w:val="lowerLetter"/>
      <w:start w:val="1"/>
    </w:lvl>
    <w:lvl w:ilvl="1">
      <w:lvlJc w:val="left"/>
      <w:lvlText w:val="(%2)"/>
      <w:numFmt w:val="lowerLetter"/>
      <w:start w:val="2"/>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lvl w:ilvl="1">
      <w:lvlJc w:val="left"/>
      <w:lvlText w:val="(%2)"/>
      <w:numFmt w:val="lowerLetter"/>
      <w:start w:val="2"/>
    </w:lvl>
  </w:abstractNum>
  <w:abstractNum w:abstractNumId="36">
    <w:nsid w:val="4B588F54"/>
    <w:multiLevelType w:val="hybridMultilevel"/>
    <w:lvl w:ilvl="0">
      <w:lvlJc w:val="left"/>
      <w:lvlText w:val="(%1)"/>
      <w:numFmt w:val="lowerLetter"/>
      <w:start w:val="4"/>
    </w:lvl>
    <w:lvl w:ilvl="1">
      <w:lvlJc w:val="left"/>
      <w:lvlText w:val="(%2)"/>
      <w:numFmt w:val="lowerLetter"/>
      <w:start w:val="5"/>
    </w:lvl>
  </w:abstractNum>
  <w:abstractNum w:abstractNumId="37">
    <w:nsid w:val="542289EC"/>
    <w:multiLevelType w:val="hybridMultilevel"/>
    <w:lvl w:ilvl="0">
      <w:lvlJc w:val="left"/>
      <w:lvlText w:val="(%1)"/>
      <w:numFmt w:val="lowerLetter"/>
      <w:start w:val="6"/>
    </w:lvl>
  </w:abstractNum>
  <w:abstractNum w:abstractNumId="38">
    <w:nsid w:val="6DE91B18"/>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39">
    <w:nsid w:val="38437FDB"/>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abstractNum>
  <w:abstractNum w:abstractNumId="40">
    <w:nsid w:val="7644A45C"/>
    <w:multiLevelType w:val="hybridMultilevel"/>
    <w:lvl w:ilvl="0">
      <w:lvlJc w:val="left"/>
      <w:lvlText w:val="%1"/>
      <w:numFmt w:val="lowerLetter"/>
      <w:start w:val="1"/>
    </w:lvl>
    <w:lvl w:ilvl="1">
      <w:lvlJc w:val="left"/>
      <w:lvlText w:val="(%2)"/>
      <w:numFmt w:val="lowerLetter"/>
      <w:start w:val="1"/>
    </w:lvl>
  </w:abstractNum>
  <w:abstractNum w:abstractNumId="41">
    <w:nsid w:val="32FFF902"/>
    <w:multiLevelType w:val="hybridMultilevel"/>
    <w:lvl w:ilvl="0">
      <w:lvlJc w:val="left"/>
      <w:lvlText w:val="(%1)"/>
      <w:numFmt w:val="lowerLetter"/>
      <w:start w:val="3"/>
    </w:lvl>
    <w:lvl w:ilvl="1">
      <w:lvlJc w:val="left"/>
      <w:lvlText w:val="(%2)"/>
      <w:numFmt w:val="lowerLetter"/>
      <w:start w:val="4"/>
    </w:lvl>
  </w:abstractNum>
  <w:abstractNum w:abstractNumId="42">
    <w:nsid w:val="684A481A"/>
    <w:multiLevelType w:val="hybridMultilevel"/>
    <w:lvl w:ilvl="0">
      <w:lvlJc w:val="left"/>
      <w:lvlText w:val="(%1)"/>
      <w:numFmt w:val="lowerLetter"/>
      <w:start w:val="1"/>
    </w:lvl>
    <w:lvl w:ilvl="1">
      <w:lvlJc w:val="left"/>
      <w:lvlText w:val="(%2)"/>
      <w:numFmt w:val="lowerLetter"/>
      <w:start w:val="2"/>
    </w:lvl>
  </w:abstractNum>
  <w:abstractNum w:abstractNumId="43">
    <w:nsid w:val="579478FE"/>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abstractNum>
  <w:abstractNum w:abstractNumId="44">
    <w:nsid w:val="749ABB43"/>
    <w:multiLevelType w:val="hybridMultilevel"/>
    <w:lvl w:ilvl="0">
      <w:lvlJc w:val="left"/>
      <w:lvlText w:val="(%1)"/>
      <w:numFmt w:val="lowerLetter"/>
      <w:start w:val="7"/>
    </w:lvl>
    <w:lvl w:ilvl="1">
      <w:lvlJc w:val="left"/>
      <w:lvlText w:val="(%2)"/>
      <w:numFmt w:val="lowerLetter"/>
      <w:start w:val="8"/>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2019-12-10T03:18:48Z</dcterms:created>
  <dcterms:modified xsi:type="dcterms:W3CDTF">2019-12-10T03:18:48Z</dcterms:modified>
</cp:coreProperties>
</file>