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62230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55" w:lineRule="exact"/>
        <w:rPr>
          <w:sz w:val="24"/>
          <w:szCs w:val="24"/>
          <w:color w:val="auto"/>
        </w:rPr>
      </w:pPr>
    </w:p>
    <w:p>
      <w:pPr>
        <w:ind w:left="740" w:right="360" w:hanging="714"/>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4" w:lineRule="exact"/>
        <w:rPr>
          <w:sz w:val="24"/>
          <w:szCs w:val="24"/>
          <w:color w:val="auto"/>
        </w:rPr>
      </w:pPr>
    </w:p>
    <w:p>
      <w:pPr>
        <w:ind w:left="740" w:right="340" w:hanging="714"/>
        <w:spacing w:after="0" w:line="235"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34290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34" w:lineRule="exact"/>
        <w:rPr>
          <w:sz w:val="24"/>
          <w:szCs w:val="24"/>
          <w:color w:val="auto"/>
        </w:rPr>
      </w:pPr>
    </w:p>
    <w:tbl>
      <w:tblPr>
        <w:tblLayout w:type="fixed"/>
        <w:tblInd w:w="1520" w:type="dxa"/>
        <w:tblCellMar>
          <w:top w:w="0" w:type="dxa"/>
          <w:left w:w="0" w:type="dxa"/>
          <w:bottom w:w="0" w:type="dxa"/>
          <w:right w:w="0" w:type="dxa"/>
        </w:tblCellMar>
      </w:tblPr>
      <w:tr>
        <w:trPr>
          <w:trHeight w:val="225"/>
        </w:trPr>
        <w:tc>
          <w:tcPr>
            <w:tcW w:w="4200" w:type="dxa"/>
            <w:vAlign w:val="bottom"/>
          </w:tcPr>
          <w:p>
            <w:pPr>
              <w:jc w:val="center"/>
              <w:ind w:right="1479"/>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right"/>
              <w:ind w:right="59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00" w:type="dxa"/>
            <w:vAlign w:val="bottom"/>
          </w:tcPr>
          <w:p>
            <w:pPr>
              <w:jc w:val="center"/>
              <w:ind w:right="1499"/>
              <w:spacing w:after="0"/>
              <w:rPr>
                <w:sz w:val="20"/>
                <w:szCs w:val="20"/>
                <w:color w:val="auto"/>
              </w:rPr>
            </w:pPr>
            <w:r>
              <w:rPr>
                <w:rFonts w:ascii="Arial" w:cs="Arial" w:eastAsia="Arial" w:hAnsi="Arial"/>
                <w:sz w:val="14"/>
                <w:szCs w:val="14"/>
                <w:b w:val="1"/>
                <w:bCs w:val="1"/>
                <w:color w:val="auto"/>
                <w:w w:val="94"/>
              </w:rPr>
              <w:t>(State of Incorporation)</w:t>
            </w:r>
          </w:p>
        </w:tc>
        <w:tc>
          <w:tcPr>
            <w:tcW w:w="3780" w:type="dxa"/>
            <w:vAlign w:val="bottom"/>
          </w:tcPr>
          <w:p>
            <w:pPr>
              <w:jc w:val="center"/>
              <w:ind w:left="149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40"/>
        </w:trPr>
        <w:tc>
          <w:tcPr>
            <w:tcW w:w="4200" w:type="dxa"/>
            <w:vAlign w:val="bottom"/>
          </w:tcPr>
          <w:p>
            <w:pPr>
              <w:jc w:val="center"/>
              <w:ind w:right="1499"/>
              <w:spacing w:after="0"/>
              <w:rPr>
                <w:sz w:val="20"/>
                <w:szCs w:val="20"/>
                <w:color w:val="auto"/>
              </w:rPr>
            </w:pPr>
            <w:r>
              <w:rPr>
                <w:rFonts w:ascii="Arial" w:cs="Arial" w:eastAsia="Arial" w:hAnsi="Arial"/>
                <w:sz w:val="18"/>
                <w:szCs w:val="18"/>
                <w:b w:val="1"/>
                <w:bCs w:val="1"/>
                <w:color w:val="auto"/>
                <w:w w:val="90"/>
              </w:rPr>
              <w:t>12500 TI Boulevard, Dallas, Texas</w:t>
            </w:r>
          </w:p>
        </w:tc>
        <w:tc>
          <w:tcPr>
            <w:tcW w:w="378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00" w:type="dxa"/>
            <w:vAlign w:val="bottom"/>
          </w:tcPr>
          <w:p>
            <w:pPr>
              <w:jc w:val="center"/>
              <w:ind w:right="1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8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(Zip Code)</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194945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48" w:lineRule="exact"/>
        <w:rPr>
          <w:sz w:val="24"/>
          <w:szCs w:val="24"/>
          <w:color w:val="auto"/>
        </w:rPr>
      </w:pPr>
    </w:p>
    <w:p>
      <w:pPr>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7" w:lineRule="exact"/>
        <w:rPr>
          <w:sz w:val="24"/>
          <w:szCs w:val="24"/>
          <w:color w:val="auto"/>
        </w:rPr>
      </w:pPr>
    </w:p>
    <w:p>
      <w:pPr>
        <w:ind w:right="60"/>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14" w:right="339" w:bottom="1440" w:gutter="0" w:footer="0" w:header="0"/>
        </w:sectPr>
      </w:pP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Arial" w:cs="Arial" w:eastAsia="Arial" w:hAnsi="Arial"/>
                <w:sz w:val="18"/>
                <w:szCs w:val="18"/>
                <w:color w:val="auto"/>
              </w:rPr>
              <w:t>Accelerated filer</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Arial" w:cs="Arial" w:eastAsia="Arial" w:hAnsi="Arial"/>
                <w:sz w:val="18"/>
                <w:szCs w:val="18"/>
                <w:color w:val="auto"/>
                <w:w w:val="90"/>
              </w:rPr>
              <w:t>Smaller reporting company</w:t>
            </w: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spacing w:after="0"/>
              <w:rPr>
                <w:sz w:val="22"/>
                <w:szCs w:val="22"/>
                <w:color w:val="auto"/>
              </w:rPr>
            </w:pPr>
          </w:p>
        </w:tc>
      </w:tr>
    </w:tbl>
    <w:p>
      <w:pPr>
        <w:spacing w:after="0" w:line="53" w:lineRule="exact"/>
        <w:rPr>
          <w:sz w:val="24"/>
          <w:szCs w:val="24"/>
          <w:color w:val="auto"/>
        </w:rPr>
      </w:pPr>
    </w:p>
    <w:p>
      <w:pPr>
        <w:ind w:left="2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w:t>
      </w:r>
      <w:r>
        <w:rPr>
          <w:rFonts w:ascii="Arial" w:cs="Arial" w:eastAsia="Arial" w:hAnsi="Arial"/>
          <w:sz w:val="16"/>
          <w:szCs w:val="16"/>
          <w:color w:val="auto"/>
        </w:rPr>
        <w:t>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29"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923,523,523</w:t>
      </w:r>
    </w:p>
    <w:p>
      <w:pPr>
        <w:spacing w:after="0" w:line="117"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23" w:lineRule="exact"/>
        <w:rPr>
          <w:sz w:val="24"/>
          <w:szCs w:val="24"/>
          <w:color w:val="auto"/>
        </w:rPr>
      </w:pPr>
    </w:p>
    <w:p>
      <w:pPr>
        <w:jc w:val="center"/>
        <w:ind w:left="740"/>
        <w:spacing w:after="0"/>
        <w:rPr>
          <w:sz w:val="20"/>
          <w:szCs w:val="20"/>
          <w:color w:val="auto"/>
        </w:rPr>
      </w:pPr>
      <w:r>
        <w:rPr>
          <w:rFonts w:ascii="Arial" w:cs="Arial" w:eastAsia="Arial" w:hAnsi="Arial"/>
          <w:sz w:val="18"/>
          <w:szCs w:val="18"/>
          <w:color w:val="auto"/>
        </w:rPr>
        <w:t>April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500" w:space="380"/>
            <w:col w:w="360"/>
          </w:cols>
          <w:pgMar w:left="320" w:top="8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For Three Months Ended</w:t>
            </w:r>
          </w:p>
        </w:tc>
      </w:tr>
      <w:tr>
        <w:trPr>
          <w:trHeight w:val="219"/>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9"/>
                <w:szCs w:val="19"/>
                <w:color w:val="auto"/>
              </w:rPr>
            </w:pPr>
          </w:p>
        </w:tc>
      </w:tr>
      <w:tr>
        <w:trPr>
          <w:trHeight w:val="210"/>
        </w:trPr>
        <w:tc>
          <w:tcPr>
            <w:tcW w:w="86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r>
      <w:tr>
        <w:trPr>
          <w:trHeight w:val="213"/>
        </w:trPr>
        <w:tc>
          <w:tcPr>
            <w:tcW w:w="8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 (COR)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13"/>
        </w:trPr>
        <w:tc>
          <w:tcPr>
            <w:tcW w:w="8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Acquisition charges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 (OI&amp;E)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and debt expense</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7"/>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2"/>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8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 (EPS):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4"/>
        </w:trPr>
        <w:tc>
          <w:tcPr>
            <w:tcW w:w="8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8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Average shares outstanding (millions):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4"/>
        </w:trPr>
        <w:tc>
          <w:tcPr>
            <w:tcW w:w="8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r>
      <w:tr>
        <w:trPr>
          <w:trHeight w:val="20"/>
        </w:trPr>
        <w:tc>
          <w:tcPr>
            <w:tcW w:w="8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allocated to RSUs</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For Three Months Ended</w:t>
            </w:r>
          </w:p>
        </w:tc>
      </w:tr>
      <w:tr>
        <w:trPr>
          <w:trHeight w:val="219"/>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9"/>
                <w:szCs w:val="19"/>
                <w:color w:val="auto"/>
              </w:rPr>
            </w:pPr>
          </w:p>
        </w:tc>
      </w:tr>
      <w:tr>
        <w:trPr>
          <w:trHeight w:val="210"/>
        </w:trPr>
        <w:tc>
          <w:tcPr>
            <w:tcW w:w="86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actuarial losses of defined benefit plans: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Adjustments, net of tax effect of ($2) and ($3)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 net of tax effect of ($3) and ($2)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Available-for-sale investments: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Unrealized gains, net of tax effect of $0 and $0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9"/>
                <w:szCs w:val="19"/>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8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3,461</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($9) and ($11)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r>
      <w:tr>
        <w:trPr>
          <w:trHeight w:val="213"/>
        </w:trPr>
        <w:tc>
          <w:tcPr>
            <w:tcW w:w="846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13"/>
        </w:trPr>
        <w:tc>
          <w:tcPr>
            <w:tcW w:w="8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Finished goods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r>
      <w:tr>
        <w:trPr>
          <w:trHeight w:val="212"/>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r>
        <w:trPr>
          <w:trHeight w:val="212"/>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10,239</w:t>
            </w:r>
          </w:p>
        </w:tc>
      </w:tr>
      <w:tr>
        <w:trPr>
          <w:trHeight w:val="2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5,967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5,781</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Acquisition-related intangibles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Capitalized software licenses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Overfunded retirement plans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3"/>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37"/>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Underfunded retirement plans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10,164</w:t>
            </w:r>
          </w:p>
        </w:tc>
      </w:tr>
      <w:tr>
        <w:trPr>
          <w:trHeight w:val="2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stock, $25 par value. Authorized – 10,000,000 shares; none issued</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Paid-in capital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2,333</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42,051</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Treasury common stock at cost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March 31, 2021 – 817,573,099; December 31, 2020 – 821,461,787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(36,578)</w:t>
            </w:r>
          </w:p>
        </w:tc>
      </w:tr>
      <w:tr>
        <w:trPr>
          <w:trHeight w:val="213"/>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Accumulated other comprehensive income (loss), net of taxes (AOCI)</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1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w:t>
            </w:r>
          </w:p>
        </w:tc>
      </w:tr>
      <w:tr>
        <w:trPr>
          <w:trHeight w:val="212"/>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19,351</w:t>
            </w:r>
          </w:p>
        </w:tc>
      </w:tr>
      <w:tr>
        <w:trPr>
          <w:trHeight w:val="21"/>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For Three Months Ended</w:t>
            </w:r>
          </w:p>
        </w:tc>
      </w:tr>
      <w:tr>
        <w:trPr>
          <w:trHeight w:val="219"/>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9"/>
                <w:szCs w:val="19"/>
                <w:color w:val="auto"/>
              </w:rPr>
            </w:pPr>
          </w:p>
        </w:tc>
      </w:tr>
      <w:tr>
        <w:trPr>
          <w:trHeight w:val="210"/>
        </w:trPr>
        <w:tc>
          <w:tcPr>
            <w:tcW w:w="86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1,174</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net income: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Increase (decrease) from changes in: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Changes in funded status of retirement plans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39"/>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asset sales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Purchases of short-term investments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short-term investments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r>
      <w:tr>
        <w:trPr>
          <w:trHeight w:val="239"/>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Proceeds from common stock transactions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8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r>
      <w:tr>
        <w:trPr>
          <w:trHeight w:val="239"/>
        </w:trPr>
        <w:tc>
          <w:tcPr>
            <w:tcW w:w="8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12"/>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r>
      <w:tr>
        <w:trPr>
          <w:trHeight w:val="20"/>
        </w:trPr>
        <w:tc>
          <w:tcPr>
            <w:tcW w:w="8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184" w:lineRule="exact"/>
        <w:rPr>
          <w:sz w:val="20"/>
          <w:szCs w:val="20"/>
          <w:color w:val="auto"/>
        </w:rPr>
      </w:pPr>
    </w:p>
    <w:p>
      <w:pPr>
        <w:ind w:left="620" w:right="260" w:hanging="329"/>
        <w:spacing w:after="0" w:line="25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9" w:lineRule="exact"/>
        <w:rPr>
          <w:rFonts w:ascii="Arial" w:cs="Arial" w:eastAsia="Arial" w:hAnsi="Arial"/>
          <w:sz w:val="18"/>
          <w:szCs w:val="18"/>
          <w:color w:val="auto"/>
        </w:rPr>
      </w:pPr>
    </w:p>
    <w:p>
      <w:pPr>
        <w:ind w:left="620" w:right="14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84"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52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For Three Months Ended</w:t>
            </w:r>
          </w:p>
        </w:tc>
      </w:tr>
      <w:tr>
        <w:trPr>
          <w:trHeight w:val="219"/>
        </w:trPr>
        <w:tc>
          <w:tcPr>
            <w:tcW w:w="8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r>
      <w:tr>
        <w:trPr>
          <w:trHeight w:val="210"/>
        </w:trPr>
        <w:tc>
          <w:tcPr>
            <w:tcW w:w="8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Analog</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3,280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2,460</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r>
      <w:tr>
        <w:trPr>
          <w:trHeight w:val="21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4,289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Analog</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1,646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1,025</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1,939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52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For Three Months Ended</w:t>
            </w:r>
          </w:p>
        </w:tc>
      </w:tr>
      <w:tr>
        <w:trPr>
          <w:trHeight w:val="219"/>
        </w:trPr>
        <w:tc>
          <w:tcPr>
            <w:tcW w:w="8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r>
      <w:tr>
        <w:trPr>
          <w:trHeight w:val="210"/>
        </w:trPr>
        <w:tc>
          <w:tcPr>
            <w:tcW w:w="8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19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2,858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4,289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right="580" w:hanging="332"/>
        <w:spacing w:after="0" w:line="263"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$2.3 billion and $1.7 billion in the first quarters of 2021 and 2020, respectively, which includes shipments to customers that manufacture in China and then export end products to their customers around the world, as well as distributors that transship inventory through China to service other countries.</w:t>
      </w:r>
    </w:p>
    <w:p>
      <w:pPr>
        <w:spacing w:after="0" w:line="21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2020. The Consolidated Statements of Income, Comprehensive Income and Cash Flows for the periods ended March 31, 2021 and 2020, and the Consolidated Balance Sheet as of March 31, 2021,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2020. The results for the three-month periods are not necessarily indicative of a full year’s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3"/>
              </w:rPr>
              <w:t>For Three Months Ended March 31,</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780" w:type="dxa"/>
            <w:vAlign w:val="bottom"/>
          </w:tcPr>
          <w:p>
            <w:pPr>
              <w:jc w:val="center"/>
              <w:ind w:left="239"/>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9"/>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9"/>
              </w:rPr>
              <w:t>922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183"/>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56"/>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935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Potentially dilutive securities representing 3 million and 9 million shares of common stock that were outstanding during the first quarters of 2021 and 2020, respectively, were excluded from the computation of diluted earnings per common share during these periods because their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fair values of our derivative financial instruments were not material as of March 31, 2021.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March 31, 2021, the carrying value of long-term debt, including the current portion, was $6.25 billion, and the estimated fair value was $6.74 billion. The estimated fair value is measured using broker-dealer quotes, which are Level 2 inputs. See Note 4 for a description of fair value and the definition of Level 2 inputs.</w:t>
      </w:r>
    </w:p>
    <w:p>
      <w:pPr>
        <w:spacing w:after="0" w:line="22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estimated annual effective tax rate is about 14%, which does not include discrete tax items. This differs from the 21% U.S. statutory corporate tax rate due to the effect of U.S. tax benefits.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276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For Three Months Ended</w:t>
            </w:r>
          </w:p>
        </w:tc>
      </w:tr>
      <w:tr>
        <w:trPr>
          <w:trHeight w:val="219"/>
        </w:trPr>
        <w:tc>
          <w:tcPr>
            <w:tcW w:w="8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10"/>
        </w:trPr>
        <w:tc>
          <w:tcPr>
            <w:tcW w:w="8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calculated using the estimated annual effective tax rate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275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Discrete tax items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(89)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Available-for-sale debt investments, money market funds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xml:space="preserve"> below.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18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3"/>
              </w:rPr>
              <w:t>March 31, 2021</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350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Cash and Cash</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2"/>
              </w:rPr>
              <w:t>Short-Term</w:t>
            </w:r>
          </w:p>
        </w:tc>
        <w:tc>
          <w:tcPr>
            <w:tcW w:w="160" w:type="dxa"/>
            <w:vAlign w:val="bottom"/>
          </w:tcPr>
          <w:p>
            <w:pPr>
              <w:spacing w:after="0"/>
              <w:rPr>
                <w:sz w:val="13"/>
                <w:szCs w:val="13"/>
                <w:color w:val="auto"/>
              </w:rPr>
            </w:pPr>
          </w:p>
        </w:tc>
        <w:tc>
          <w:tcPr>
            <w:tcW w:w="10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3"/>
                <w:szCs w:val="13"/>
                <w:color w:val="auto"/>
              </w:rPr>
            </w:pP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5"/>
              </w:rPr>
              <w:t>Cash and Cash</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3"/>
                <w:szCs w:val="13"/>
                <w:color w:val="auto"/>
              </w:rPr>
            </w:pPr>
          </w:p>
        </w:tc>
        <w:tc>
          <w:tcPr>
            <w:tcW w:w="106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Long-Term</w:t>
            </w:r>
          </w:p>
        </w:tc>
      </w:tr>
      <w:tr>
        <w:trPr>
          <w:trHeight w:val="213"/>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Equivalents</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886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w w:val="96"/>
              </w:rPr>
              <w:t>U.S. government agency and Treasury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4,244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59"/>
        </w:trPr>
        <w:tc>
          <w:tcPr>
            <w:tcW w:w="3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Equity-method investments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3,107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2021, and December 31, 2020, unrealized gains and losses associated with our available-for-sale investments were not material. We did not recognize any credit losses related to available-for-sale investments for the first three months of 2021 and 2020.</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Proceeds from sales, redemptions and maturities of short-term available-for-sale investments were $2.00 billion and $1.39 billion for the first quarters of 2021 and 2020,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March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4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first quarter of 2020, we entered into total return swaps to economically hedge the variability of certain deferred compensation obligations to employees. As a result, we received proceeds of $253 million from the sale of investments in mutual funds that were previously being utilized to offset this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20" w:right="120" w:hanging="329"/>
        <w:spacing w:after="0" w:line="273" w:lineRule="auto"/>
        <w:tabs>
          <w:tab w:leader="none" w:pos="61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69" w:lineRule="exact"/>
        <w:rPr>
          <w:rFonts w:ascii="Arial" w:cs="Arial" w:eastAsia="Arial" w:hAnsi="Arial"/>
          <w:sz w:val="17"/>
          <w:szCs w:val="17"/>
          <w:color w:val="auto"/>
        </w:rPr>
      </w:pPr>
    </w:p>
    <w:p>
      <w:pPr>
        <w:ind w:left="620" w:hanging="329"/>
        <w:spacing w:after="0" w:line="263"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March 31, 2021, and December 31, 2020, we had no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12"/>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1,236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1,236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886</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w w:val="98"/>
              </w:rPr>
              <w:t>U.S. government agency and Treasury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4,394</w:t>
            </w: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2"/>
        </w:trPr>
        <w:tc>
          <w:tcPr>
            <w:tcW w:w="35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4,575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5,947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5,298</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5,961</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350</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U.S. Defined Benefit</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U.S. Retiree Health Care</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For Three Months Ended March 31,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costs</w:t>
            </w: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Settlement losses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2021,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March 31, 2021,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we retired $550 million of maturing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8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2021 at 2.75%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2022 at 1.85%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2023 at 2.25%</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2024 at 2.625%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2025 at 1.375%</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2027 at 2.90%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2029 at 2.25%</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2030 at 1.75%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2039 at 3.875%</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Notes due 2048 at 4.15%</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6,850</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37"/>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and debt expense was $46 million and $45 million for the first quarters of 2021 and 2020, respectively. This was net of the amortized discounts, premiums and issuance costs. Capitalized interest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Treasury</w:t>
            </w:r>
          </w:p>
        </w:tc>
        <w:tc>
          <w:tcPr>
            <w:tcW w:w="220" w:type="dxa"/>
            <w:vAlign w:val="bottom"/>
          </w:tcPr>
          <w:p>
            <w:pPr>
              <w:spacing w:after="0"/>
              <w:rPr>
                <w:sz w:val="16"/>
                <w:szCs w:val="16"/>
                <w:color w:val="auto"/>
              </w:rPr>
            </w:pPr>
          </w:p>
        </w:tc>
        <w:tc>
          <w:tcPr>
            <w:tcW w:w="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(360)</w:t>
            </w: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Dividends declared and paid ($1.02 per share)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Common stock issued for stock-based awards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Stock repurchases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Stock compensation</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Other comprehensive income (loss), net of taxes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Dividend equivalents on RSUs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6"/>
              </w:rPr>
              <w:t>(347)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Treasury</w:t>
            </w:r>
          </w:p>
        </w:tc>
        <w:tc>
          <w:tcPr>
            <w:tcW w:w="220" w:type="dxa"/>
            <w:vAlign w:val="bottom"/>
          </w:tcPr>
          <w:p>
            <w:pPr>
              <w:spacing w:after="0"/>
              <w:rPr>
                <w:sz w:val="16"/>
                <w:szCs w:val="16"/>
                <w:color w:val="auto"/>
              </w:rPr>
            </w:pPr>
          </w:p>
        </w:tc>
        <w:tc>
          <w:tcPr>
            <w:tcW w:w="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(347)</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($0.90 per share)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(328)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46"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quarters of 2021 and 2020. The table below details where these transactions are recorded in our Consolidated Statements of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0"/>
        </w:trPr>
        <w:tc>
          <w:tcPr>
            <w:tcW w:w="54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w w:val="97"/>
              </w:rPr>
              <w:t>March 31,</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13"/>
        </w:trPr>
        <w:tc>
          <w:tcPr>
            <w:tcW w:w="54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3"/>
              </w:rPr>
              <w:t>Impact to Related Statement of Income Lines</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Decrease to OI&amp;E</w:t>
            </w: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to provision for income taxes</w:t>
            </w:r>
          </w:p>
        </w:tc>
      </w:tr>
      <w:tr>
        <w:trPr>
          <w:trHeight w:val="212"/>
        </w:trPr>
        <w:tc>
          <w:tcPr>
            <w:tcW w:w="5480" w:type="dxa"/>
            <w:vAlign w:val="bottom"/>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Decrease to net income</w:t>
            </w:r>
          </w:p>
        </w:tc>
      </w:tr>
      <w:tr>
        <w:trPr>
          <w:trHeight w:val="20"/>
        </w:trPr>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Total shares of 4,465,552 were issued from treasury shares during the first quarter of 2021 related to stock compensation.</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2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600" w:hanging="320"/>
        <w:spacing w:after="0" w:line="277"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2" w:lineRule="exact"/>
        <w:rPr>
          <w:rFonts w:ascii="Arial" w:cs="Arial" w:eastAsia="Arial" w:hAnsi="Arial"/>
          <w:sz w:val="18"/>
          <w:szCs w:val="18"/>
          <w:color w:val="auto"/>
        </w:rPr>
      </w:pPr>
    </w:p>
    <w:p>
      <w:pPr>
        <w:ind w:left="1300" w:right="100" w:hanging="320"/>
        <w:spacing w:after="0" w:line="277" w:lineRule="auto"/>
        <w:tabs>
          <w:tab w:leader="none" w:pos="128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62"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6" w:lineRule="exact"/>
        <w:rPr>
          <w:sz w:val="20"/>
          <w:szCs w:val="20"/>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20" w:right="160" w:hanging="329"/>
        <w:spacing w:after="0" w:line="263" w:lineRule="auto"/>
        <w:tabs>
          <w:tab w:leader="none" w:pos="6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5"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16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right="58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5" w:name="page16"/>
    <w:bookmarkEnd w:id="15"/>
    <w:p>
      <w:pPr>
        <w:ind w:left="1300" w:right="120" w:hanging="320"/>
        <w:spacing w:after="0" w:line="279" w:lineRule="auto"/>
        <w:tabs>
          <w:tab w:leader="none" w:pos="12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coronavirus (COVID-19) pandemic and its follow-on effects are impacting and will likely continue to impact business activity across industries worldwide, including TI. Therefore, we remain cautious about how the economy might behave for the next few years and continue to monitor potential impact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revenue was $4.29 billion, net income was $1.75 billion and earnings per share (EPS) were $1.87.</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increased 5% sequentially. In addition, revenue increased 29% from the same quarter a year ago due to strong demand in industrial, automotive and personal electronics.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our core businesses, Analog revenue grew 5% and Embedded Processing grew 7% sequentially. From a year ago, Analog revenue grew 33% and Embedded Processing grew 17%.</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cash flow from operations of $7.1 billion for the trailing 12 months again underscored the strength of our business model. Free cash flow for the same period was $6.3 billion and 41% of revenue. This reflects the quality of our product portfolio, as well as the efficiency of our manufacturing strategy, including the benefit of 300-millimeter Analog production.</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returned $4.5 billion to shareholders in the past 12 months through dividends and stock repurchases. Over the same period, our dividend represented 56% of free cash flow, underscoring its sustainability.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quarter 2021 compared with first quarter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$4.29 billion increased $960 million, or 29%, due to higher revenue from Analog and, to a lesser extent, Embedded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profit of $2.80 billion was up $709 million, or 34%, due to higher revenue. As a percentage of revenue, gross profit increased to 65.2% from 62.7%.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$811 million compared with $794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$47 million compared with $50 million and were non-cash.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$1.94 billion, or 45.2% of revenue, compared with $1.24 billion, or 37.4%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$46 million of income compared with $25 million of income.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provision for income taxes was $186 million compared with $50 million, which increased primarily due to higher income before income taxes. Our annual operating tax rate, which does not include discrete tax items, was 14% in both periods. We use “annual operating tax rate” to describe the estimated annual effective tax rate. The 2021 rate differs from the 21% U.S. statutory corporate tax rate due to the effect of U.S.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$1.75 billion compared with $1.17 billion. EPS was $1.87 compared with $1.24.</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First quarter 2021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Q1 2021</w:t>
            </w: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Q1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3,280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2,460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1,646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Analog revenue increased in both product lines about equally. Operating profit increased primarily due to higher revenue and associated gross profit.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Q1 2021</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Q1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287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Q1 2021</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Q1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increased $26 million. Operating profit decreased $31 million due to about $50 million of utility costs related to the February winter storm in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the end of the first quarter of 2021, total cash (cash and cash equivalents plus short-term investments) was $6.69 billion, an increase of $118 million from the end of 2020.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Accounts receivable were $1.58 billion, an increase of $170 million compared with the end of 2020. Days sales outstanding at the end of the first quarter of 2021 were 33 compared with 31 at the end of 2020.</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Inventory was $1.89 billion, a decrease of $65 million from the end of 2020. Days of inventory at the end of the first quarter of 2021 were 114 compared with 123 at the end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three months of 2021 were $1.85 billion, an increase of $999 million from the year-ago period due to higher net income and lower cash used for working capital.</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March 31, 2021, our credit facility was undrawn, and we had no commercial paper outstanding.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ind w:right="260"/>
        <w:spacing w:after="0" w:line="311" w:lineRule="auto"/>
        <w:rPr>
          <w:sz w:val="20"/>
          <w:szCs w:val="20"/>
          <w:color w:val="auto"/>
        </w:rPr>
      </w:pPr>
      <w:r>
        <w:rPr>
          <w:rFonts w:ascii="Arial" w:cs="Arial" w:eastAsia="Arial" w:hAnsi="Arial"/>
          <w:sz w:val="16"/>
          <w:szCs w:val="16"/>
          <w:color w:val="auto"/>
        </w:rPr>
        <w:t>Investing activities for the first three months of 2021 used $1.11 billion compared with providing cash of $826 million in the year-ago period. Capital expenditures were $308 million compared with $161 million in the year-ago period and were primarily for semiconductor manufacturing equipment and facilities in both periods. Short-term investments used cash of $782 million compared with providing cash of $992 million in the year-ago period.</w:t>
      </w:r>
    </w:p>
    <w:p>
      <w:pPr>
        <w:spacing w:after="0" w:line="1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Financing activities for the first three months of 2021 used $1.41 billion compared with $1.60 billion in the year-ago period. In 2021, we retired maturing debt of $550 million. In the year-ago period, we received net proceeds of $749 million from the issuance of fixed-rate, long-term debt. Dividends paid were $940 million compared with $841 million in the year-ago period, reflecting an increase in the dividend rate. We used $100 million to repurchase 0.6 million shares of our common stock compared with $1.64 billion used in the year-ago period to repurchase 14.9 million shares. Employee exercises of stock options provided cash proceeds of $196 million compared with $146 million in the year-ago period.</w:t>
      </w:r>
    </w:p>
    <w:p>
      <w:pPr>
        <w:spacing w:after="0" w:line="17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had $2.44 billion of cash and cash equivalents and $4.24 billion of short-term investments as of March 31, 2021. We believe we have the necessary financial resources and operating plans to fund our working capital needs, capital expenditures, dividend and debt-related payments, and other business requirements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12 Months Ended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7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7,138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(796)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6,342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5,636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15,421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14,118</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percentage of revenue (GAAP)</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Free cash flow as a percentage of revenue (non-GAAP)</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41.1 %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39.9 %</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20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Information regarding long-term contractual obligations is in Item 7 of our Form 10-K for the year ended December 31, 2020. Additionally, we retired $550 million of maturing debt during the first quarter of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2020,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6"/>
                <w:szCs w:val="16"/>
                <w:color w:val="auto"/>
              </w:rPr>
            </w:pPr>
          </w:p>
        </w:tc>
        <w:tc>
          <w:tcPr>
            <w:tcW w:w="19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6"/>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Average Price</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vMerge w:val="continue"/>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Purchased</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2"/>
              </w:rPr>
              <w:t>Paid per Share</w:t>
            </w:r>
          </w:p>
        </w:tc>
        <w:tc>
          <w:tcPr>
            <w:tcW w:w="10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(a)</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w w:val="92"/>
              </w:rPr>
              <w:t>or Programs (a)</w:t>
            </w:r>
          </w:p>
        </w:tc>
        <w:tc>
          <w:tcPr>
            <w:tcW w:w="0" w:type="dxa"/>
            <w:vAlign w:val="bottom"/>
          </w:tcPr>
          <w:p>
            <w:pPr>
              <w:spacing w:after="0"/>
              <w:rPr>
                <w:sz w:val="1"/>
                <w:szCs w:val="1"/>
                <w:color w:val="auto"/>
              </w:rPr>
            </w:pPr>
          </w:p>
        </w:tc>
      </w:tr>
      <w:tr>
        <w:trPr>
          <w:trHeight w:val="212"/>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January 1, 2021 through January 31, 2021</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w:t>
            </w:r>
          </w:p>
        </w:tc>
        <w:tc>
          <w:tcPr>
            <w:tcW w:w="1000" w:type="dxa"/>
            <w:vAlign w:val="bottom"/>
            <w:shd w:val="clear" w:color="auto" w:fill="CFF0FC"/>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3"/>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February 1, 2021 through February 28, 2021</w:t>
            </w:r>
          </w:p>
        </w:tc>
        <w:tc>
          <w:tcPr>
            <w:tcW w:w="1460" w:type="dxa"/>
            <w:vAlign w:val="bottom"/>
          </w:tcPr>
          <w:p>
            <w:pPr>
              <w:jc w:val="right"/>
              <w:spacing w:after="0"/>
              <w:rPr>
                <w:sz w:val="20"/>
                <w:szCs w:val="20"/>
                <w:color w:val="auto"/>
              </w:rPr>
            </w:pPr>
            <w:r>
              <w:rPr>
                <w:rFonts w:ascii="Arial" w:cs="Arial" w:eastAsia="Arial" w:hAnsi="Arial"/>
                <w:sz w:val="16"/>
                <w:szCs w:val="16"/>
                <w:color w:val="auto"/>
              </w:rPr>
              <w:t>584,953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304,186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10.58</w:t>
            </w:r>
          </w:p>
        </w:tc>
        <w:tc>
          <w:tcPr>
            <w:tcW w:w="1000" w:type="dxa"/>
            <w:vAlign w:val="bottom"/>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March 1, 2021 through March 31, 2021</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272,678</w:t>
            </w:r>
          </w:p>
        </w:tc>
        <w:tc>
          <w:tcPr>
            <w:tcW w:w="3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172.35</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272,678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1000" w:type="dxa"/>
            <w:vAlign w:val="bottom"/>
            <w:shd w:val="clear" w:color="auto" w:fill="CFF0FC"/>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0"/>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857,631</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170.88</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576,864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10.53</w:t>
            </w:r>
          </w:p>
        </w:tc>
        <w:tc>
          <w:tcPr>
            <w:tcW w:w="1000" w:type="dxa"/>
            <w:vAlign w:val="bottom"/>
          </w:tcPr>
          <w:p>
            <w:pPr>
              <w:ind w:left="4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660" w:hanging="332"/>
        <w:spacing w:after="0" w:line="277"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97" w:lineRule="exact"/>
        <w:rPr>
          <w:rFonts w:ascii="Arial" w:cs="Arial" w:eastAsia="Arial" w:hAnsi="Arial"/>
          <w:sz w:val="18"/>
          <w:szCs w:val="18"/>
          <w:color w:val="auto"/>
        </w:rPr>
      </w:pPr>
    </w:p>
    <w:p>
      <w:pPr>
        <w:ind w:left="340" w:right="540" w:hanging="332"/>
        <w:spacing w:after="0" w:line="277"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to open-market purchases, 280,767 shares of common stock were surrendered by employees to satisfy tax withholding obligations in connection with the vesting of restricted stock units.</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March 31, 2021, this amount consisted of the remaining portion of the $12.0 billion authorized in September 2018. No expiration date has been specified for this authorization.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line="196" w:lineRule="auto"/>
        <w:framePr w:w="1440" w:h="160" w:wrap="auto" w:vAnchor="page" w:hAnchor="page" w:x="280" w:y="911"/>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84"/>
        </w:trPr>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Designation of Exhibits</w:t>
            </w:r>
          </w:p>
        </w:tc>
        <w:tc>
          <w:tcPr>
            <w:tcW w:w="9320" w:type="dxa"/>
            <w:vAlign w:val="bottom"/>
            <w:gridSpan w:val="15"/>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in This Report</w:t>
            </w:r>
          </w:p>
        </w:tc>
        <w:tc>
          <w:tcPr>
            <w:tcW w:w="9320" w:type="dxa"/>
            <w:vAlign w:val="bottom"/>
            <w:gridSpan w:val="1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2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1"/>
              </w:rPr>
              <w:t>3(a)</w:t>
            </w:r>
          </w:p>
        </w:tc>
        <w:tc>
          <w:tcPr>
            <w:tcW w:w="9320" w:type="dxa"/>
            <w:vAlign w:val="bottom"/>
            <w:gridSpan w:val="15"/>
            <w:shd w:val="clear" w:color="auto" w:fill="CCEEFF"/>
          </w:tcPr>
          <w:p>
            <w:pPr>
              <w:spacing w:after="0" w:line="178" w:lineRule="exact"/>
              <w:rPr>
                <w:rFonts w:ascii="Arial" w:cs="Arial" w:eastAsia="Arial" w:hAnsi="Arial"/>
                <w:sz w:val="16"/>
                <w:szCs w:val="16"/>
                <w:color w:val="0000FF"/>
                <w:w w:val="96"/>
              </w:rPr>
            </w:pPr>
            <w:hyperlink r:id="rId35">
              <w:r>
                <w:rPr>
                  <w:rFonts w:ascii="Arial" w:cs="Arial" w:eastAsia="Arial" w:hAnsi="Arial"/>
                  <w:sz w:val="16"/>
                  <w:szCs w:val="16"/>
                  <w:color w:val="0000FF"/>
                  <w:w w:val="96"/>
                </w:rPr>
                <w:t>Restated Certificate of Incorporation of the Registrant, dated April 18, 1985, as amended (incorporated by reference to Exhibit 3(a) of the</w:t>
              </w:r>
            </w:hyperlink>
          </w:p>
        </w:tc>
        <w:tc>
          <w:tcPr>
            <w:tcW w:w="0" w:type="dxa"/>
            <w:vAlign w:val="bottom"/>
          </w:tcPr>
          <w:p>
            <w:pPr>
              <w:spacing w:after="0"/>
              <w:rPr>
                <w:sz w:val="1"/>
                <w:szCs w:val="1"/>
                <w:color w:val="auto"/>
              </w:rPr>
            </w:pPr>
          </w:p>
        </w:tc>
      </w:tr>
      <w:tr>
        <w:trPr>
          <w:trHeight w:val="96"/>
        </w:trPr>
        <w:tc>
          <w:tcPr>
            <w:tcW w:w="1920" w:type="dxa"/>
            <w:vAlign w:val="bottom"/>
            <w:tcBorders>
              <w:top w:val="single" w:sz="8" w:color="CCEEFF"/>
            </w:tcBorders>
            <w:vMerge w:val="continue"/>
            <w:shd w:val="clear" w:color="auto" w:fill="CCEEFF"/>
          </w:tcPr>
          <w:p>
            <w:pPr>
              <w:spacing w:after="0"/>
              <w:rPr>
                <w:sz w:val="8"/>
                <w:szCs w:val="8"/>
                <w:color w:val="auto"/>
              </w:rPr>
            </w:pPr>
          </w:p>
        </w:tc>
        <w:tc>
          <w:tcPr>
            <w:tcW w:w="5360" w:type="dxa"/>
            <w:vAlign w:val="bottom"/>
            <w:tcBorders>
              <w:top w:val="single" w:sz="8" w:color="0000FF"/>
            </w:tcBorders>
            <w:gridSpan w:val="7"/>
            <w:vMerge w:val="restart"/>
            <w:shd w:val="clear" w:color="auto" w:fill="CCEEFF"/>
          </w:tcPr>
          <w:p>
            <w:pPr>
              <w:spacing w:after="0" w:line="142" w:lineRule="exact"/>
              <w:rPr>
                <w:rFonts w:ascii="Arial" w:cs="Arial" w:eastAsia="Arial" w:hAnsi="Arial"/>
                <w:sz w:val="16"/>
                <w:szCs w:val="16"/>
                <w:color w:val="0000FF"/>
                <w:w w:val="91"/>
              </w:rPr>
            </w:pPr>
            <w:hyperlink r:id="rId35">
              <w:r>
                <w:rPr>
                  <w:rFonts w:ascii="Arial" w:cs="Arial" w:eastAsia="Arial" w:hAnsi="Arial"/>
                  <w:sz w:val="16"/>
                  <w:szCs w:val="16"/>
                  <w:color w:val="0000FF"/>
                  <w:w w:val="91"/>
                </w:rPr>
                <w:t>Registrant's Annual Report on Form 10-K for the year ended December 31, 2014).</w:t>
              </w:r>
            </w:hyperlink>
          </w:p>
        </w:tc>
        <w:tc>
          <w:tcPr>
            <w:tcW w:w="3560" w:type="dxa"/>
            <w:vAlign w:val="bottom"/>
            <w:tcBorders>
              <w:top w:val="single" w:sz="8" w:color="0000FF"/>
            </w:tcBorders>
            <w:gridSpan w:val="6"/>
            <w:vMerge w:val="restart"/>
            <w:shd w:val="clear" w:color="auto" w:fill="CCEEFF"/>
          </w:tcPr>
          <w:p>
            <w:pPr>
              <w:spacing w:after="0"/>
              <w:rPr>
                <w:sz w:val="8"/>
                <w:szCs w:val="8"/>
                <w:color w:val="auto"/>
              </w:rPr>
            </w:pPr>
          </w:p>
        </w:tc>
        <w:tc>
          <w:tcPr>
            <w:tcW w:w="400" w:type="dxa"/>
            <w:vAlign w:val="bottom"/>
            <w:tcBorders>
              <w:top w:val="single" w:sz="8" w:color="CCEEFF"/>
            </w:tcBorders>
            <w:gridSpan w:val="2"/>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920" w:type="dxa"/>
            <w:vAlign w:val="bottom"/>
            <w:tcBorders>
              <w:bottom w:val="single" w:sz="8" w:color="CCEEFF"/>
            </w:tcBorders>
            <w:shd w:val="clear" w:color="auto" w:fill="CCEEFF"/>
          </w:tcPr>
          <w:p>
            <w:pPr>
              <w:spacing w:after="0"/>
              <w:rPr>
                <w:sz w:val="5"/>
                <w:szCs w:val="5"/>
                <w:color w:val="auto"/>
              </w:rPr>
            </w:pPr>
          </w:p>
        </w:tc>
        <w:tc>
          <w:tcPr>
            <w:tcW w:w="5360" w:type="dxa"/>
            <w:vAlign w:val="bottom"/>
            <w:tcBorders>
              <w:bottom w:val="single" w:sz="8" w:color="0000FF"/>
            </w:tcBorders>
            <w:gridSpan w:val="7"/>
            <w:vMerge w:val="continue"/>
            <w:shd w:val="clear" w:color="auto" w:fill="CCEEFF"/>
          </w:tcPr>
          <w:p>
            <w:pPr>
              <w:spacing w:after="0"/>
              <w:rPr>
                <w:sz w:val="5"/>
                <w:szCs w:val="5"/>
                <w:color w:val="auto"/>
              </w:rPr>
            </w:pPr>
          </w:p>
        </w:tc>
        <w:tc>
          <w:tcPr>
            <w:tcW w:w="3560" w:type="dxa"/>
            <w:vAlign w:val="bottom"/>
            <w:tcBorders>
              <w:bottom w:val="single" w:sz="8" w:color="CCEEFF"/>
            </w:tcBorders>
            <w:gridSpan w:val="6"/>
            <w:vMerge w:val="continue"/>
            <w:shd w:val="clear" w:color="auto" w:fill="CCEEFF"/>
          </w:tcPr>
          <w:p>
            <w:pPr>
              <w:spacing w:after="0"/>
              <w:rPr>
                <w:sz w:val="5"/>
                <w:szCs w:val="5"/>
                <w:color w:val="auto"/>
              </w:rPr>
            </w:pPr>
          </w:p>
        </w:tc>
        <w:tc>
          <w:tcPr>
            <w:tcW w:w="40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91"/>
              </w:rPr>
              <w:t>3(b)</w:t>
            </w:r>
          </w:p>
        </w:tc>
        <w:tc>
          <w:tcPr>
            <w:tcW w:w="9320" w:type="dxa"/>
            <w:vAlign w:val="bottom"/>
            <w:gridSpan w:val="15"/>
          </w:tcPr>
          <w:p>
            <w:pPr>
              <w:spacing w:after="0" w:line="175" w:lineRule="exact"/>
              <w:rPr>
                <w:rFonts w:ascii="Arial" w:cs="Arial" w:eastAsia="Arial" w:hAnsi="Arial"/>
                <w:sz w:val="16"/>
                <w:szCs w:val="16"/>
                <w:color w:val="0000FF"/>
                <w:w w:val="99"/>
              </w:rPr>
            </w:pPr>
            <w:hyperlink r:id="rId36">
              <w:r>
                <w:rPr>
                  <w:rFonts w:ascii="Arial" w:cs="Arial" w:eastAsia="Arial" w:hAnsi="Arial"/>
                  <w:sz w:val="16"/>
                  <w:szCs w:val="16"/>
                  <w:color w:val="0000FF"/>
                  <w:w w:val="99"/>
                </w:rPr>
                <w:t>By-Laws of the Registrant (incorporated by reference to Exhibit 3 of the Registrant's Current Report on Form 8-K filed July 16, 2020).</w:t>
              </w:r>
            </w:hyperlink>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shd w:val="clear" w:color="auto" w:fill="CCEEFF"/>
          </w:tcPr>
          <w:p>
            <w:pPr>
              <w:jc w:val="center"/>
              <w:ind w:right="19"/>
              <w:spacing w:after="0" w:line="175" w:lineRule="exact"/>
              <w:rPr>
                <w:sz w:val="20"/>
                <w:szCs w:val="20"/>
                <w:color w:val="auto"/>
              </w:rPr>
            </w:pPr>
            <w:r>
              <w:rPr>
                <w:rFonts w:ascii="Arial" w:cs="Arial" w:eastAsia="Arial" w:hAnsi="Arial"/>
                <w:sz w:val="16"/>
                <w:szCs w:val="16"/>
                <w:color w:val="auto"/>
                <w:w w:val="90"/>
              </w:rPr>
              <w:t>31(a)</w:t>
            </w:r>
          </w:p>
        </w:tc>
        <w:tc>
          <w:tcPr>
            <w:tcW w:w="9320" w:type="dxa"/>
            <w:vAlign w:val="bottom"/>
            <w:gridSpan w:val="15"/>
            <w:shd w:val="clear" w:color="auto" w:fill="CCEEFF"/>
          </w:tcPr>
          <w:p>
            <w:pPr>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175"/>
        </w:trPr>
        <w:tc>
          <w:tcPr>
            <w:tcW w:w="1920" w:type="dxa"/>
            <w:vAlign w:val="bottom"/>
            <w:tcBorders>
              <w:top w:val="single" w:sz="8" w:color="CCEEFF"/>
            </w:tcBorders>
          </w:tcPr>
          <w:p>
            <w:pPr>
              <w:jc w:val="center"/>
              <w:ind w:right="19"/>
              <w:spacing w:after="0" w:line="175" w:lineRule="exact"/>
              <w:rPr>
                <w:sz w:val="20"/>
                <w:szCs w:val="20"/>
                <w:color w:val="auto"/>
              </w:rPr>
            </w:pPr>
            <w:r>
              <w:rPr>
                <w:rFonts w:ascii="Arial" w:cs="Arial" w:eastAsia="Arial" w:hAnsi="Arial"/>
                <w:sz w:val="16"/>
                <w:szCs w:val="16"/>
                <w:color w:val="auto"/>
                <w:w w:val="90"/>
              </w:rPr>
              <w:t>31(b)</w:t>
            </w:r>
          </w:p>
        </w:tc>
        <w:tc>
          <w:tcPr>
            <w:tcW w:w="6940" w:type="dxa"/>
            <w:vAlign w:val="bottom"/>
            <w:tcBorders>
              <w:top w:val="single" w:sz="8" w:color="0000FF"/>
            </w:tcBorders>
            <w:gridSpan w:val="11"/>
          </w:tcPr>
          <w:p>
            <w:pPr>
              <w:spacing w:after="0" w:line="175" w:lineRule="exact"/>
              <w:rPr>
                <w:rFonts w:ascii="Arial" w:cs="Arial" w:eastAsia="Arial" w:hAnsi="Arial"/>
                <w:sz w:val="16"/>
                <w:szCs w:val="16"/>
                <w:color w:val="0000FF"/>
                <w:w w:val="93"/>
              </w:rPr>
            </w:pPr>
            <w:hyperlink w:anchor="page26">
              <w:r>
                <w:rPr>
                  <w:rFonts w:ascii="Arial" w:cs="Arial" w:eastAsia="Arial" w:hAnsi="Arial"/>
                  <w:sz w:val="16"/>
                  <w:szCs w:val="16"/>
                  <w:color w:val="0000FF"/>
                  <w:w w:val="93"/>
                </w:rPr>
                <w:t>Certification of Chief Financial Officer of Periodic Report Pursuant to Rule 13a-14(a) or Rule 15d-14(a).†</w:t>
              </w:r>
            </w:hyperlink>
          </w:p>
        </w:tc>
        <w:tc>
          <w:tcPr>
            <w:tcW w:w="2380" w:type="dxa"/>
            <w:vAlign w:val="bottom"/>
            <w:tcBorders>
              <w:top w:val="single" w:sz="8" w:color="CCEE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shd w:val="clear" w:color="auto" w:fill="CCEEFF"/>
          </w:tcPr>
          <w:p>
            <w:pPr>
              <w:jc w:val="center"/>
              <w:ind w:right="19"/>
              <w:spacing w:after="0" w:line="175" w:lineRule="exact"/>
              <w:rPr>
                <w:sz w:val="20"/>
                <w:szCs w:val="20"/>
                <w:color w:val="auto"/>
              </w:rPr>
            </w:pPr>
            <w:r>
              <w:rPr>
                <w:rFonts w:ascii="Arial" w:cs="Arial" w:eastAsia="Arial" w:hAnsi="Arial"/>
                <w:sz w:val="16"/>
                <w:szCs w:val="16"/>
                <w:color w:val="auto"/>
                <w:w w:val="90"/>
              </w:rPr>
              <w:t>32(a)</w:t>
            </w:r>
          </w:p>
        </w:tc>
        <w:tc>
          <w:tcPr>
            <w:tcW w:w="9320" w:type="dxa"/>
            <w:vAlign w:val="bottom"/>
            <w:gridSpan w:val="15"/>
            <w:shd w:val="clear" w:color="auto" w:fill="CCEEFF"/>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175"/>
        </w:trPr>
        <w:tc>
          <w:tcPr>
            <w:tcW w:w="1920" w:type="dxa"/>
            <w:vAlign w:val="bottom"/>
            <w:tcBorders>
              <w:top w:val="single" w:sz="8" w:color="CCEEFF"/>
            </w:tcBorders>
          </w:tcPr>
          <w:p>
            <w:pPr>
              <w:jc w:val="center"/>
              <w:ind w:right="19"/>
              <w:spacing w:after="0" w:line="175" w:lineRule="exact"/>
              <w:rPr>
                <w:sz w:val="20"/>
                <w:szCs w:val="20"/>
                <w:color w:val="auto"/>
              </w:rPr>
            </w:pPr>
            <w:r>
              <w:rPr>
                <w:rFonts w:ascii="Arial" w:cs="Arial" w:eastAsia="Arial" w:hAnsi="Arial"/>
                <w:sz w:val="16"/>
                <w:szCs w:val="16"/>
                <w:color w:val="auto"/>
                <w:w w:val="90"/>
              </w:rPr>
              <w:t>32(b)</w:t>
            </w:r>
          </w:p>
        </w:tc>
        <w:tc>
          <w:tcPr>
            <w:tcW w:w="6320" w:type="dxa"/>
            <w:vAlign w:val="bottom"/>
            <w:tcBorders>
              <w:top w:val="single" w:sz="8" w:color="0000FF"/>
            </w:tcBorders>
            <w:gridSpan w:val="9"/>
          </w:tcPr>
          <w:p>
            <w:pPr>
              <w:spacing w:after="0" w:line="175" w:lineRule="exact"/>
              <w:rPr>
                <w:rFonts w:ascii="Arial" w:cs="Arial" w:eastAsia="Arial" w:hAnsi="Arial"/>
                <w:sz w:val="16"/>
                <w:szCs w:val="16"/>
                <w:color w:val="0000FF"/>
                <w:w w:val="93"/>
              </w:rPr>
            </w:pPr>
            <w:hyperlink w:anchor="page28">
              <w:r>
                <w:rPr>
                  <w:rFonts w:ascii="Arial" w:cs="Arial" w:eastAsia="Arial" w:hAnsi="Arial"/>
                  <w:sz w:val="16"/>
                  <w:szCs w:val="16"/>
                  <w:color w:val="0000FF"/>
                  <w:w w:val="93"/>
                </w:rPr>
                <w:t>Certification by Chief Financial Officer of Periodic Report Pursuant to 18 U.S.C. Section 1350.†</w:t>
              </w:r>
            </w:hyperlink>
          </w:p>
        </w:tc>
        <w:tc>
          <w:tcPr>
            <w:tcW w:w="3000" w:type="dxa"/>
            <w:vAlign w:val="bottom"/>
            <w:tcBorders>
              <w:top w:val="single" w:sz="8" w:color="CCEEFF"/>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89"/>
              </w:rPr>
              <w:t>101.ins</w:t>
            </w:r>
          </w:p>
        </w:tc>
        <w:tc>
          <w:tcPr>
            <w:tcW w:w="9320" w:type="dxa"/>
            <w:vAlign w:val="bottom"/>
            <w:gridSpan w:val="15"/>
            <w:shd w:val="clear" w:color="auto" w:fill="CCEEFF"/>
          </w:tcPr>
          <w:p>
            <w:pPr>
              <w:spacing w:after="0" w:line="175"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96"/>
        </w:trPr>
        <w:tc>
          <w:tcPr>
            <w:tcW w:w="1920" w:type="dxa"/>
            <w:vAlign w:val="bottom"/>
            <w:tcBorders>
              <w:top w:val="single" w:sz="8" w:color="CCEEFF"/>
            </w:tcBorders>
            <w:vMerge w:val="continue"/>
            <w:shd w:val="clear" w:color="auto" w:fill="CCEEFF"/>
          </w:tcPr>
          <w:p>
            <w:pPr>
              <w:spacing w:after="0"/>
              <w:rPr>
                <w:sz w:val="8"/>
                <w:szCs w:val="8"/>
                <w:color w:val="auto"/>
              </w:rPr>
            </w:pPr>
          </w:p>
        </w:tc>
        <w:tc>
          <w:tcPr>
            <w:tcW w:w="1900" w:type="dxa"/>
            <w:vAlign w:val="bottom"/>
            <w:tcBorders>
              <w:top w:val="single" w:sz="8" w:color="auto"/>
            </w:tcBorders>
            <w:vMerge w:val="restart"/>
            <w:shd w:val="clear" w:color="auto" w:fill="CCEEFF"/>
          </w:tcPr>
          <w:p>
            <w:pPr>
              <w:spacing w:after="0" w:line="142" w:lineRule="exact"/>
              <w:rPr>
                <w:sz w:val="20"/>
                <w:szCs w:val="20"/>
                <w:color w:val="auto"/>
              </w:rPr>
            </w:pPr>
            <w:r>
              <w:rPr>
                <w:rFonts w:ascii="Arial" w:cs="Arial" w:eastAsia="Arial" w:hAnsi="Arial"/>
                <w:sz w:val="16"/>
                <w:szCs w:val="16"/>
                <w:color w:val="auto"/>
                <w:w w:val="94"/>
              </w:rPr>
              <w:t>the Inline XBRL document.†</w:t>
            </w:r>
          </w:p>
        </w:tc>
        <w:tc>
          <w:tcPr>
            <w:tcW w:w="7200" w:type="dxa"/>
            <w:vAlign w:val="bottom"/>
            <w:tcBorders>
              <w:top w:val="single" w:sz="8" w:color="auto"/>
            </w:tcBorders>
            <w:gridSpan w:val="13"/>
            <w:vMerge w:val="restart"/>
            <w:shd w:val="clear" w:color="auto" w:fill="CCEEFF"/>
          </w:tcPr>
          <w:p>
            <w:pPr>
              <w:spacing w:after="0"/>
              <w:rPr>
                <w:sz w:val="8"/>
                <w:szCs w:val="8"/>
                <w:color w:val="auto"/>
              </w:rPr>
            </w:pPr>
          </w:p>
        </w:tc>
        <w:tc>
          <w:tcPr>
            <w:tcW w:w="220" w:type="dxa"/>
            <w:vAlign w:val="bottom"/>
            <w:tcBorders>
              <w:top w:val="single" w:sz="8" w:color="CCEEFF"/>
            </w:tcBorders>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920" w:type="dxa"/>
            <w:vAlign w:val="bottom"/>
            <w:tcBorders>
              <w:bottom w:val="single" w:sz="8" w:color="CCEEFF"/>
            </w:tcBorders>
            <w:shd w:val="clear" w:color="auto" w:fill="CCEEFF"/>
          </w:tcPr>
          <w:p>
            <w:pPr>
              <w:spacing w:after="0"/>
              <w:rPr>
                <w:sz w:val="5"/>
                <w:szCs w:val="5"/>
                <w:color w:val="auto"/>
              </w:rPr>
            </w:pPr>
          </w:p>
        </w:tc>
        <w:tc>
          <w:tcPr>
            <w:tcW w:w="1900" w:type="dxa"/>
            <w:vAlign w:val="bottom"/>
            <w:tcBorders>
              <w:bottom w:val="single" w:sz="8" w:color="auto"/>
            </w:tcBorders>
            <w:vMerge w:val="continue"/>
            <w:shd w:val="clear" w:color="auto" w:fill="CCEEFF"/>
          </w:tcPr>
          <w:p>
            <w:pPr>
              <w:spacing w:after="0"/>
              <w:rPr>
                <w:sz w:val="5"/>
                <w:szCs w:val="5"/>
                <w:color w:val="auto"/>
              </w:rPr>
            </w:pPr>
          </w:p>
        </w:tc>
        <w:tc>
          <w:tcPr>
            <w:tcW w:w="7200" w:type="dxa"/>
            <w:vAlign w:val="bottom"/>
            <w:tcBorders>
              <w:bottom w:val="single" w:sz="8" w:color="CCEEFF"/>
            </w:tcBorders>
            <w:gridSpan w:val="13"/>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93"/>
              </w:rPr>
              <w:t>101.def</w:t>
            </w:r>
          </w:p>
        </w:tc>
        <w:tc>
          <w:tcPr>
            <w:tcW w:w="9320" w:type="dxa"/>
            <w:vAlign w:val="bottom"/>
            <w:gridSpan w:val="15"/>
          </w:tcPr>
          <w:p>
            <w:pPr>
              <w:spacing w:after="0" w:line="175" w:lineRule="exact"/>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tcBorders>
              <w:bottom w:val="single" w:sz="8" w:color="CCEEFF"/>
            </w:tcBorders>
            <w:shd w:val="clear" w:color="auto" w:fill="CCEEFF"/>
          </w:tcPr>
          <w:p>
            <w:pPr>
              <w:jc w:val="center"/>
              <w:ind w:right="19"/>
              <w:spacing w:after="0" w:line="175" w:lineRule="exact"/>
              <w:rPr>
                <w:sz w:val="20"/>
                <w:szCs w:val="20"/>
                <w:color w:val="auto"/>
              </w:rPr>
            </w:pPr>
            <w:r>
              <w:rPr>
                <w:rFonts w:ascii="Arial" w:cs="Arial" w:eastAsia="Arial" w:hAnsi="Arial"/>
                <w:sz w:val="16"/>
                <w:szCs w:val="16"/>
                <w:color w:val="auto"/>
                <w:w w:val="89"/>
              </w:rPr>
              <w:t>101.sch</w:t>
            </w:r>
          </w:p>
        </w:tc>
        <w:tc>
          <w:tcPr>
            <w:tcW w:w="32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w w:val="92"/>
              </w:rPr>
              <w:t>XBRL Taxonomy Extension Schema Document.†</w:t>
            </w:r>
          </w:p>
        </w:tc>
        <w:tc>
          <w:tcPr>
            <w:tcW w:w="6060" w:type="dxa"/>
            <w:vAlign w:val="bottom"/>
            <w:tcBorders>
              <w:bottom w:val="single" w:sz="8" w:color="CCEEFF"/>
            </w:tcBorders>
            <w:gridSpan w:val="1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89"/>
              </w:rPr>
              <w:t>101.cal</w:t>
            </w:r>
          </w:p>
        </w:tc>
        <w:tc>
          <w:tcPr>
            <w:tcW w:w="9320" w:type="dxa"/>
            <w:vAlign w:val="bottom"/>
            <w:gridSpan w:val="15"/>
          </w:tcPr>
          <w:p>
            <w:pPr>
              <w:spacing w:after="0" w:line="175" w:lineRule="exact"/>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2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101.lab</w:t>
            </w:r>
          </w:p>
        </w:tc>
        <w:tc>
          <w:tcPr>
            <w:tcW w:w="9320" w:type="dxa"/>
            <w:vAlign w:val="bottom"/>
            <w:gridSpan w:val="15"/>
            <w:shd w:val="clear" w:color="auto" w:fill="CCEEFF"/>
          </w:tcPr>
          <w:p>
            <w:pPr>
              <w:spacing w:after="0" w:line="175" w:lineRule="exact"/>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20" w:type="dxa"/>
            <w:vAlign w:val="bottom"/>
          </w:tcPr>
          <w:p>
            <w:pPr>
              <w:jc w:val="center"/>
              <w:ind w:right="19"/>
              <w:spacing w:after="0" w:line="175" w:lineRule="exact"/>
              <w:rPr>
                <w:sz w:val="20"/>
                <w:szCs w:val="20"/>
                <w:color w:val="auto"/>
              </w:rPr>
            </w:pPr>
            <w:r>
              <w:rPr>
                <w:rFonts w:ascii="Arial" w:cs="Arial" w:eastAsia="Arial" w:hAnsi="Arial"/>
                <w:sz w:val="16"/>
                <w:szCs w:val="16"/>
                <w:color w:val="auto"/>
                <w:w w:val="92"/>
              </w:rPr>
              <w:t>101.pre</w:t>
            </w:r>
          </w:p>
        </w:tc>
        <w:tc>
          <w:tcPr>
            <w:tcW w:w="4180" w:type="dxa"/>
            <w:vAlign w:val="bottom"/>
            <w:tcBorders>
              <w:bottom w:val="single" w:sz="8" w:color="auto"/>
            </w:tcBorders>
            <w:gridSpan w:val="6"/>
          </w:tcPr>
          <w:p>
            <w:pPr>
              <w:spacing w:after="0" w:line="175" w:lineRule="exact"/>
              <w:rPr>
                <w:sz w:val="20"/>
                <w:szCs w:val="20"/>
                <w:color w:val="auto"/>
              </w:rPr>
            </w:pPr>
            <w:r>
              <w:rPr>
                <w:rFonts w:ascii="Arial" w:cs="Arial" w:eastAsia="Arial" w:hAnsi="Arial"/>
                <w:sz w:val="16"/>
                <w:szCs w:val="16"/>
                <w:color w:val="auto"/>
                <w:w w:val="92"/>
              </w:rPr>
              <w:t>XBRL Taxonomy Extension Presentation Linkbase Document.†</w:t>
            </w:r>
          </w:p>
        </w:tc>
        <w:tc>
          <w:tcPr>
            <w:tcW w:w="51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920" w:hanging="1129"/>
        <w:spacing w:after="0"/>
        <w:tabs>
          <w:tab w:leader="none" w:pos="192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Cover Page Interactive Data File (embedded within the Inline XBRL document).†</w:t>
      </w:r>
    </w:p>
    <w:p>
      <w:pPr>
        <w:spacing w:after="0" w:line="45" w:lineRule="exact"/>
        <w:rPr>
          <w:rFonts w:ascii="Arial" w:cs="Arial" w:eastAsia="Arial" w:hAnsi="Arial"/>
          <w:sz w:val="16"/>
          <w:szCs w:val="16"/>
          <w:color w:val="auto"/>
        </w:rPr>
      </w:pPr>
    </w:p>
    <w:p>
      <w:pPr>
        <w:ind w:left="140" w:hanging="114"/>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660" w:hanging="329"/>
        <w:spacing w:after="0" w:line="308" w:lineRule="auto"/>
        <w:tabs>
          <w:tab w:leader="none" w:pos="6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3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17" w:lineRule="exact"/>
        <w:rPr>
          <w:rFonts w:ascii="Arial" w:cs="Arial" w:eastAsia="Arial" w:hAnsi="Arial"/>
          <w:sz w:val="18"/>
          <w:szCs w:val="18"/>
          <w:color w:val="auto"/>
        </w:rPr>
      </w:pPr>
    </w:p>
    <w:p>
      <w:pPr>
        <w:ind w:left="620" w:right="26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2" w:lineRule="exact"/>
        <w:rPr>
          <w:rFonts w:ascii="Arial" w:cs="Arial" w:eastAsia="Arial" w:hAnsi="Arial"/>
          <w:sz w:val="18"/>
          <w:szCs w:val="18"/>
          <w:color w:val="auto"/>
        </w:rPr>
      </w:pPr>
    </w:p>
    <w:p>
      <w:pPr>
        <w:ind w:left="620" w:right="100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20" w:right="10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20" w:right="60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2" w:lineRule="exact"/>
        <w:rPr>
          <w:rFonts w:ascii="Arial" w:cs="Arial" w:eastAsia="Arial" w:hAnsi="Arial"/>
          <w:sz w:val="18"/>
          <w:szCs w:val="18"/>
          <w:color w:val="auto"/>
        </w:rPr>
      </w:pPr>
    </w:p>
    <w:p>
      <w:pPr>
        <w:ind w:left="620" w:hanging="329"/>
        <w:spacing w:after="0" w:line="308" w:lineRule="auto"/>
        <w:tabs>
          <w:tab w:leader="none" w:pos="6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20" w:right="28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20" w:right="4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2" w:name="page23"/>
    <w:bookmarkEnd w:id="22"/>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TEXAS INSTRUMENTS INCORPORATED</w:t>
      </w:r>
    </w:p>
    <w:p>
      <w:pPr>
        <w:spacing w:after="0" w:line="279"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Rafael R. Lizardi</w:t>
            </w:r>
          </w:p>
        </w:tc>
      </w:tr>
      <w:tr>
        <w:trPr>
          <w:trHeight w:val="222"/>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Rafael R. Lizardi</w:t>
            </w:r>
          </w:p>
        </w:tc>
      </w:tr>
      <w:tr>
        <w:trPr>
          <w:trHeight w:val="230"/>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Senior Vice President and</w:t>
            </w:r>
          </w:p>
        </w:tc>
      </w:tr>
      <w:tr>
        <w:trPr>
          <w:trHeight w:val="230"/>
        </w:trPr>
        <w:tc>
          <w:tcPr>
            <w:tcW w:w="700" w:type="dxa"/>
            <w:vAlign w:val="bottom"/>
          </w:tcPr>
          <w:p>
            <w:pPr>
              <w:spacing w:after="0"/>
              <w:rPr>
                <w:sz w:val="20"/>
                <w:szCs w:val="20"/>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ectPr>
          <w:pgSz w:w="11900" w:h="16838" w:orient="portrait"/>
          <w:cols w:equalWidth="0" w:num="1">
            <w:col w:w="11220"/>
          </w:cols>
          <w:pgMar w:left="320" w:top="895" w:right="3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60" w:hanging="492"/>
        <w:spacing w:after="0" w:line="289"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6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jc w:val="center"/>
        <w:ind w:left="8120"/>
        <w:spacing w:after="0" w:line="203" w:lineRule="auto"/>
        <w:rPr>
          <w:sz w:val="20"/>
          <w:szCs w:val="20"/>
          <w:color w:val="auto"/>
        </w:rPr>
      </w:pPr>
      <w:r>
        <w:rPr>
          <w:rFonts w:ascii="Arial" w:cs="Arial" w:eastAsia="Arial" w:hAnsi="Arial"/>
          <w:sz w:val="18"/>
          <w:szCs w:val="18"/>
          <w:color w:val="auto"/>
        </w:rPr>
        <w:t>Chairman, President</w:t>
      </w:r>
    </w:p>
    <w:p>
      <w:pPr>
        <w:jc w:val="center"/>
        <w:ind w:left="81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486"/>
        <w:spacing w:after="0" w:line="263"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40" w:hanging="492"/>
        <w:spacing w:after="0" w:line="289"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6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84" w:lineRule="exact"/>
        <w:rPr>
          <w:sz w:val="20"/>
          <w:szCs w:val="20"/>
          <w:color w:val="auto"/>
        </w:rPr>
      </w:pPr>
    </w:p>
    <w:p>
      <w:pPr>
        <w:ind w:right="20" w:firstLine="494"/>
        <w:spacing w:after="0" w:line="342" w:lineRule="auto"/>
        <w:tabs>
          <w:tab w:leader="none" w:pos="7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April 28, 2021</w:t>
      </w:r>
    </w:p>
    <w:p>
      <w:pPr>
        <w:spacing w:after="0" w:line="3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jc w:val="center"/>
        <w:ind w:left="8120"/>
        <w:spacing w:after="0" w:line="203" w:lineRule="auto"/>
        <w:rPr>
          <w:sz w:val="20"/>
          <w:szCs w:val="20"/>
          <w:color w:val="auto"/>
        </w:rPr>
      </w:pPr>
      <w:r>
        <w:rPr>
          <w:rFonts w:ascii="Arial" w:cs="Arial" w:eastAsia="Arial" w:hAnsi="Arial"/>
          <w:sz w:val="18"/>
          <w:szCs w:val="18"/>
          <w:color w:val="auto"/>
        </w:rPr>
        <w:t>Chairman, President</w:t>
      </w:r>
    </w:p>
    <w:p>
      <w:pPr>
        <w:jc w:val="center"/>
        <w:ind w:left="81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20" w:firstLine="494"/>
        <w:spacing w:after="0" w:line="342"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April 28, 2021</w:t>
      </w:r>
    </w:p>
    <w:p>
      <w:pPr>
        <w:spacing w:after="0" w:line="3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
    </w:lvl>
    <w:lvl w:ilvl="1">
      <w:lvlJc w:val="left"/>
      <w:lvlText w:val="%2."/>
      <w:numFmt w:val="lowerRoman"/>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lvl w:ilvl="1">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
      <w:numFmt w:val="bullet"/>
      <w:start w:val="1"/>
    </w:lvl>
    <w:lvl w:ilvl="1">
      <w:lvlJc w:val="left"/>
      <w:lvlText w:val="%2"/>
      <w:numFmt w:val="decimal"/>
      <w:start w:val="104"/>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5" Type="http://schemas.openxmlformats.org/officeDocument/2006/relationships/hyperlink" Target="http://www.sec.gov/Archives/edgar/data/97476/000009747615000003/txn-12312014xexhibit3a.htm" TargetMode="External"/><Relationship Id="rId36" Type="http://schemas.openxmlformats.org/officeDocument/2006/relationships/hyperlink" Target="http://www.sec.gov/Archives/edgar/data/97476/000119312520194080/d949258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2021-04-28T08:29:59Z</dcterms:created>
  <dcterms:modified xsi:type="dcterms:W3CDTF">2021-04-28T08:29:59Z</dcterms:modified>
</cp:coreProperties>
</file>