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AMENDMENT NO. 2</w:t>
      </w:r>
    </w:p>
    <w:p>
      <w:pPr>
        <w:jc w:val="center"/>
        <w:ind w:right="2199"/>
        <w:spacing w:after="0" w:line="238" w:lineRule="auto"/>
        <w:rPr>
          <w:sz w:val="20"/>
          <w:szCs w:val="20"/>
          <w:color w:val="auto"/>
        </w:rPr>
      </w:pPr>
      <w:r>
        <w:rPr>
          <w:rFonts w:ascii="Courier New" w:cs="Courier New" w:eastAsia="Courier New" w:hAnsi="Courier New"/>
          <w:sz w:val="18"/>
          <w:szCs w:val="18"/>
          <w:color w:val="auto"/>
        </w:rPr>
        <w:t>(FINAL AMENDMENT)</w:t>
      </w:r>
    </w:p>
    <w:p>
      <w:pPr>
        <w:spacing w:after="0" w:line="202"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168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AMATI COMMUNICATIONS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Subject Company)</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DSL ACQUISITION CORPORATION</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(Bidders)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COMMON STOCK, PAR VALUE $.20 PER SHARE</w:t>
      </w:r>
    </w:p>
    <w:p>
      <w:pPr>
        <w:jc w:val="center"/>
        <w:ind w:right="2079"/>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023115 10 8</w:t>
      </w:r>
    </w:p>
    <w:p>
      <w:pPr>
        <w:jc w:val="center"/>
        <w:ind w:right="21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J. AGNICH</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420"/>
        <w:spacing w:after="0"/>
        <w:rPr>
          <w:sz w:val="20"/>
          <w:szCs w:val="20"/>
          <w:color w:val="auto"/>
        </w:rPr>
      </w:pPr>
      <w:r>
        <w:rPr>
          <w:rFonts w:ascii="Courier New" w:cs="Courier New" w:eastAsia="Courier New" w:hAnsi="Courier New"/>
          <w:sz w:val="18"/>
          <w:szCs w:val="18"/>
          <w:color w:val="auto"/>
        </w:rPr>
        <w:t>7839 CHURCHILL WAY, M/S 3995</w:t>
      </w:r>
    </w:p>
    <w:p>
      <w:pPr>
        <w:ind w:left="2840"/>
        <w:spacing w:after="0" w:line="237" w:lineRule="auto"/>
        <w:tabs>
          <w:tab w:leader="none" w:pos="4400" w:val="left"/>
        </w:tabs>
        <w:rPr>
          <w:sz w:val="20"/>
          <w:szCs w:val="20"/>
          <w:color w:val="auto"/>
        </w:rPr>
      </w:pPr>
      <w:r>
        <w:rPr>
          <w:rFonts w:ascii="Courier New" w:cs="Courier New" w:eastAsia="Courier New" w:hAnsi="Courier New"/>
          <w:sz w:val="18"/>
          <w:szCs w:val="18"/>
          <w:color w:val="auto"/>
        </w:rPr>
        <w:t>DALLAS, TEXAS</w:t>
        <w:tab/>
        <w:t>75251</w:t>
      </w:r>
    </w:p>
    <w:p>
      <w:pPr>
        <w:ind w:left="3160"/>
        <w:spacing w:after="0" w:line="238" w:lineRule="auto"/>
        <w:rPr>
          <w:sz w:val="20"/>
          <w:szCs w:val="20"/>
          <w:color w:val="auto"/>
        </w:rPr>
      </w:pPr>
      <w:r>
        <w:rPr>
          <w:rFonts w:ascii="Courier New" w:cs="Courier New" w:eastAsia="Courier New" w:hAnsi="Courier New"/>
          <w:sz w:val="18"/>
          <w:szCs w:val="18"/>
          <w:color w:val="auto"/>
        </w:rPr>
        <w:t>(972) 995-2551</w:t>
      </w:r>
    </w:p>
    <w:p>
      <w:pPr>
        <w:spacing w:after="0" w:line="208" w:lineRule="exact"/>
        <w:rPr>
          <w:sz w:val="24"/>
          <w:szCs w:val="24"/>
          <w:color w:val="auto"/>
        </w:rPr>
      </w:pPr>
    </w:p>
    <w:p>
      <w:pPr>
        <w:jc w:val="both"/>
        <w:ind w:left="540" w:right="3039" w:firstLine="105"/>
        <w:spacing w:after="0" w:line="268"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the Bidders)</w:t>
      </w:r>
    </w:p>
    <w:p>
      <w:pPr>
        <w:ind w:left="2740"/>
        <w:spacing w:after="0" w:line="233" w:lineRule="auto"/>
        <w:rPr>
          <w:sz w:val="20"/>
          <w:szCs w:val="20"/>
          <w:color w:val="auto"/>
        </w:rPr>
      </w:pPr>
      <w:r>
        <w:rPr>
          <w:rFonts w:ascii="Courier New" w:cs="Courier New" w:eastAsia="Courier New" w:hAnsi="Courier New"/>
          <w:sz w:val="18"/>
          <w:szCs w:val="18"/>
          <w:color w:val="auto"/>
        </w:rPr>
        <w:t>---------------------</w:t>
      </w:r>
    </w:p>
    <w:p>
      <w:pPr>
        <w:jc w:val="center"/>
        <w:ind w:right="20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R. SCOTT COHEN, ESQ.</w:t>
      </w:r>
    </w:p>
    <w:p>
      <w:pPr>
        <w:jc w:val="center"/>
        <w:ind w:right="207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2079"/>
        <w:spacing w:after="0"/>
        <w:rPr>
          <w:sz w:val="20"/>
          <w:szCs w:val="20"/>
          <w:color w:val="auto"/>
        </w:rPr>
      </w:pPr>
      <w:r>
        <w:rPr>
          <w:rFonts w:ascii="Courier New" w:cs="Courier New" w:eastAsia="Courier New" w:hAnsi="Courier New"/>
          <w:sz w:val="18"/>
          <w:szCs w:val="18"/>
          <w:color w:val="auto"/>
        </w:rPr>
        <w:t>100 CRESCENT COURT, SUITE 1300</w:t>
      </w:r>
    </w:p>
    <w:p>
      <w:pPr>
        <w:ind w:left="2540"/>
        <w:spacing w:after="0"/>
        <w:tabs>
          <w:tab w:leader="none" w:pos="410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75201-6950</w:t>
      </w:r>
    </w:p>
    <w:p>
      <w:pPr>
        <w:ind w:left="3160"/>
        <w:spacing w:after="0" w:line="238" w:lineRule="auto"/>
        <w:rPr>
          <w:sz w:val="20"/>
          <w:szCs w:val="20"/>
          <w:color w:val="auto"/>
        </w:rPr>
      </w:pPr>
      <w:r>
        <w:rPr>
          <w:rFonts w:ascii="Courier New" w:cs="Courier New" w:eastAsia="Courier New" w:hAnsi="Courier New"/>
          <w:sz w:val="18"/>
          <w:szCs w:val="18"/>
          <w:color w:val="auto"/>
        </w:rPr>
        <w:t>(214) 746-7738</w:t>
      </w:r>
    </w:p>
    <w:p>
      <w:pPr>
        <w:ind w:left="2740"/>
        <w:spacing w:after="0"/>
        <w:rPr>
          <w:sz w:val="20"/>
          <w:szCs w:val="20"/>
          <w:color w:val="auto"/>
        </w:rPr>
      </w:pPr>
      <w:r>
        <w:rPr>
          <w:rFonts w:ascii="Courier New" w:cs="Courier New" w:eastAsia="Courier New" w:hAnsi="Courier New"/>
          <w:sz w:val="18"/>
          <w:szCs w:val="18"/>
          <w:color w:val="auto"/>
        </w:rPr>
        <w:t>---------------------</w:t>
      </w:r>
    </w:p>
    <w:p>
      <w:pPr>
        <w:ind w:left="2840"/>
        <w:spacing w:after="0" w:line="237" w:lineRule="auto"/>
        <w:rPr>
          <w:sz w:val="20"/>
          <w:szCs w:val="20"/>
          <w:color w:val="auto"/>
        </w:rPr>
      </w:pPr>
      <w:r>
        <w:rPr>
          <w:rFonts w:ascii="Courier New" w:cs="Courier New" w:eastAsia="Courier New" w:hAnsi="Courier New"/>
          <w:sz w:val="18"/>
          <w:szCs w:val="18"/>
          <w:color w:val="auto"/>
        </w:rPr>
        <w:t>Page 1 of 5 Pages</w:t>
      </w:r>
    </w:p>
    <w:p>
      <w:pPr>
        <w:ind w:left="2120"/>
        <w:spacing w:after="0"/>
        <w:rPr>
          <w:sz w:val="20"/>
          <w:szCs w:val="20"/>
          <w:color w:val="auto"/>
        </w:rPr>
      </w:pPr>
      <w:r>
        <w:rPr>
          <w:rFonts w:ascii="Courier New" w:cs="Courier New" w:eastAsia="Courier New" w:hAnsi="Courier New"/>
          <w:sz w:val="18"/>
          <w:szCs w:val="18"/>
          <w:color w:val="auto"/>
        </w:rPr>
        <w:t>Exhibit Index is Located on Page 4</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Amendment No. 2 supplements and amends the Tender Offer Statement on Schedule 14D-1 filed on November 25, 1997 by DSL Acquisition Corporation, a Delaware corporation ("Purchaser") and wholly owned subsidiary of Texas Instruments Incorporated, a Delaware corporation ("Parent"), as amended by Amendment No. 1 filed on December 17, 1997, relating to the offer by Purchaser to purchase all outstanding shares of common stock, par value $.20 per share (the "Shares"), of Amati Communications Corporation, a Delaware corporation (the "Company"), at $20.00 per share net to the seller in cash, without interest, on the terms and subject to the conditions set forth in the Offer to Purchase dated November 25, 1997 (the "Offer to Purchase") and in the related Letter of Transmittal, copies of which are attached hereto as Exhibits (a)(1) and (a)(2), respectively (which collectively constitute the "Offer").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 IN THE SECURITIES OF THE SUBJECT COMPANY.</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response to Item 6 is amended and supplemented by the addition of the following:</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Offer expired at 12:00 midnight, New York City time, on Tuesday, December 23, 1997. Following the expiration of the Offer, Purchaser accepted for payment all Shares validly tendered pursuant to the Offer. The Purchaser was informed by the Depositary that 15,430,622 Shares (approximately 78% of the issued and outstanding Shares) were validly tendered and not withdrawn pursuant to the Offer, including 1,316,052 Shares tendered pursuant to the procedures for guaranteed delivery.</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Pursuant to the Agreement and Plan of Merger, dated November 19, 1997 among the Parent, Purchaser and the Company, and at a special meeting of the stockholders of the Company duly called and held as soon as practicable after the date hereof, Purchaser intends to vote all the Shares acquired by it in the Offer in favor of the approval of the merger of Purchaser with and into the Company (the "Merger") in accordance with the relevant provisions of the Delaware General Corporation Law. In connection with the Merger, each issued and outstanding Share (other than Shares owned by the Purchaser, Shares with respect to which dissenters' rights have been demanded and perfected in accordance with applicable Delaware law and any Shares held in the treasury of the Company) shall be converted into and represent the right to receive $20.00 in cash.</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199" w:firstLine="956"/>
        <w:spacing w:after="0" w:line="236" w:lineRule="auto"/>
        <w:tabs>
          <w:tab w:leader="none" w:pos="179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the press release issued by Parent on December 24, 1997, a copy of which is filed as Exhibit (a)(9) hereto and the text of which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99(a)(9)</w:t>
      </w:r>
      <w:r>
        <w:rPr>
          <w:sz w:val="20"/>
          <w:szCs w:val="20"/>
          <w:color w:val="auto"/>
        </w:rPr>
        <w:tab/>
      </w:r>
      <w:r>
        <w:rPr>
          <w:rFonts w:ascii="Courier New" w:cs="Courier New" w:eastAsia="Courier New" w:hAnsi="Courier New"/>
          <w:sz w:val="18"/>
          <w:szCs w:val="18"/>
          <w:color w:val="auto"/>
        </w:rPr>
        <w:t>Text of Press Release, dated December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24, 1997</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DSL ACQUISITION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GEORGE BARBER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George Barber</w:t>
      </w:r>
    </w:p>
    <w:p>
      <w:pPr>
        <w:ind w:left="45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RICHARD K. TEMPLETON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K. Templeton</w:t>
      </w:r>
    </w:p>
    <w:p>
      <w:pPr>
        <w:ind w:left="45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99(a)(1)</w:t>
      </w:r>
      <w:r>
        <w:rPr>
          <w:sz w:val="20"/>
          <w:szCs w:val="20"/>
          <w:color w:val="auto"/>
        </w:rPr>
        <w:tab/>
      </w:r>
      <w:r>
        <w:rPr>
          <w:rFonts w:ascii="Courier New" w:cs="Courier New" w:eastAsia="Courier New" w:hAnsi="Courier New"/>
          <w:sz w:val="18"/>
          <w:szCs w:val="18"/>
          <w:color w:val="auto"/>
        </w:rPr>
        <w:t>Offer to Purchase, dated November 25, 1997.*</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99(a)(2)</w:t>
      </w:r>
      <w:r>
        <w:rPr>
          <w:sz w:val="20"/>
          <w:szCs w:val="20"/>
          <w:color w:val="auto"/>
        </w:rPr>
        <w:tab/>
      </w:r>
      <w:r>
        <w:rPr>
          <w:rFonts w:ascii="Courier New" w:cs="Courier New" w:eastAsia="Courier New" w:hAnsi="Courier New"/>
          <w:sz w:val="18"/>
          <w:szCs w:val="18"/>
          <w:color w:val="auto"/>
        </w:rPr>
        <w:t>Letter of Transmittal.*</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99(a)(3)</w:t>
      </w:r>
      <w:r>
        <w:rPr>
          <w:sz w:val="20"/>
          <w:szCs w:val="20"/>
          <w:color w:val="auto"/>
        </w:rPr>
        <w:tab/>
      </w:r>
      <w:r>
        <w:rPr>
          <w:rFonts w:ascii="Courier New" w:cs="Courier New" w:eastAsia="Courier New" w:hAnsi="Courier New"/>
          <w:sz w:val="18"/>
          <w:szCs w:val="18"/>
          <w:color w:val="auto"/>
        </w:rPr>
        <w:t>Notice of Guaranteed Delivery.*</w:t>
      </w:r>
    </w:p>
    <w:p>
      <w:pPr>
        <w:spacing w:after="0" w:line="207" w:lineRule="exact"/>
        <w:rPr>
          <w:sz w:val="20"/>
          <w:szCs w:val="20"/>
          <w:color w:val="auto"/>
        </w:rPr>
      </w:pPr>
    </w:p>
    <w:p>
      <w:pPr>
        <w:ind w:left="1800" w:right="199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99(a)(4)</w:t>
      </w:r>
      <w:r>
        <w:rPr>
          <w:sz w:val="20"/>
          <w:szCs w:val="20"/>
          <w:color w:val="auto"/>
        </w:rPr>
        <w:tab/>
      </w:r>
      <w:r>
        <w:rPr>
          <w:rFonts w:ascii="Courier New" w:cs="Courier New" w:eastAsia="Courier New" w:hAnsi="Courier New"/>
          <w:sz w:val="18"/>
          <w:szCs w:val="18"/>
          <w:color w:val="auto"/>
        </w:rPr>
        <w:t>Letter to Brokers, Dealers, Commercial Banks, Trust Companies and Other Nominees.*</w:t>
      </w:r>
    </w:p>
    <w:p>
      <w:pPr>
        <w:spacing w:after="0" w:line="208" w:lineRule="exact"/>
        <w:rPr>
          <w:sz w:val="20"/>
          <w:szCs w:val="20"/>
          <w:color w:val="auto"/>
        </w:rPr>
      </w:pPr>
    </w:p>
    <w:p>
      <w:pPr>
        <w:ind w:left="1800" w:right="241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99(a)(5)</w:t>
      </w:r>
      <w:r>
        <w:rPr>
          <w:sz w:val="20"/>
          <w:szCs w:val="20"/>
          <w:color w:val="auto"/>
        </w:rPr>
        <w:tab/>
      </w:r>
      <w:r>
        <w:rPr>
          <w:rFonts w:ascii="Courier New" w:cs="Courier New" w:eastAsia="Courier New" w:hAnsi="Courier New"/>
          <w:sz w:val="18"/>
          <w:szCs w:val="18"/>
          <w:color w:val="auto"/>
        </w:rPr>
        <w:t>Letter to Clients for use by Brokers, Dealers, Commercial Banks, Trust Companies and Other Nominees.*</w:t>
      </w:r>
    </w:p>
    <w:p>
      <w:pPr>
        <w:spacing w:after="0" w:line="208" w:lineRule="exact"/>
        <w:rPr>
          <w:sz w:val="20"/>
          <w:szCs w:val="20"/>
          <w:color w:val="auto"/>
        </w:rPr>
      </w:pPr>
    </w:p>
    <w:p>
      <w:pPr>
        <w:ind w:left="1800" w:right="187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99(a)(6)</w:t>
      </w:r>
      <w:r>
        <w:rPr>
          <w:sz w:val="20"/>
          <w:szCs w:val="20"/>
          <w:color w:val="auto"/>
        </w:rPr>
        <w:tab/>
      </w:r>
      <w:r>
        <w:rPr>
          <w:rFonts w:ascii="Courier New" w:cs="Courier New" w:eastAsia="Courier New" w:hAnsi="Courier New"/>
          <w:sz w:val="18"/>
          <w:szCs w:val="18"/>
          <w:color w:val="auto"/>
        </w:rPr>
        <w:t>Guidelines for Certification of Taxpayer Identification Number on Substitute Form W-9.*</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99(a)(7)</w:t>
      </w:r>
      <w:r>
        <w:rPr>
          <w:sz w:val="20"/>
          <w:szCs w:val="20"/>
          <w:color w:val="auto"/>
        </w:rPr>
        <w:tab/>
      </w:r>
      <w:r>
        <w:rPr>
          <w:rFonts w:ascii="Courier New" w:cs="Courier New" w:eastAsia="Courier New" w:hAnsi="Courier New"/>
          <w:sz w:val="18"/>
          <w:szCs w:val="18"/>
          <w:color w:val="auto"/>
        </w:rPr>
        <w:t>Form of Summary Advertisement, dated November 25, 1997.*</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99(a)(8)</w:t>
      </w:r>
      <w:r>
        <w:rPr>
          <w:sz w:val="20"/>
          <w:szCs w:val="20"/>
          <w:color w:val="auto"/>
        </w:rPr>
        <w:tab/>
      </w:r>
      <w:r>
        <w:rPr>
          <w:rFonts w:ascii="Courier New" w:cs="Courier New" w:eastAsia="Courier New" w:hAnsi="Courier New"/>
          <w:sz w:val="18"/>
          <w:szCs w:val="18"/>
          <w:color w:val="auto"/>
        </w:rPr>
        <w:t>Text of Press Release, dated November 19, 1997.*</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99(a)(9)</w:t>
      </w:r>
      <w:r>
        <w:rPr>
          <w:sz w:val="20"/>
          <w:szCs w:val="20"/>
          <w:color w:val="auto"/>
        </w:rPr>
        <w:tab/>
      </w:r>
      <w:r>
        <w:rPr>
          <w:rFonts w:ascii="Courier New" w:cs="Courier New" w:eastAsia="Courier New" w:hAnsi="Courier New"/>
          <w:sz w:val="18"/>
          <w:szCs w:val="18"/>
          <w:color w:val="auto"/>
        </w:rPr>
        <w:t>Text of Press Release, dated December 24, 1997.</w:t>
      </w:r>
    </w:p>
    <w:p>
      <w:pPr>
        <w:spacing w:after="0" w:line="207" w:lineRule="exact"/>
        <w:rPr>
          <w:sz w:val="20"/>
          <w:szCs w:val="20"/>
          <w:color w:val="auto"/>
        </w:rPr>
      </w:pPr>
    </w:p>
    <w:p>
      <w:pPr>
        <w:ind w:left="1800" w:right="209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99(c)(1)</w:t>
      </w:r>
      <w:r>
        <w:rPr>
          <w:sz w:val="20"/>
          <w:szCs w:val="20"/>
          <w:color w:val="auto"/>
        </w:rPr>
        <w:tab/>
      </w:r>
      <w:r>
        <w:rPr>
          <w:rFonts w:ascii="Courier New" w:cs="Courier New" w:eastAsia="Courier New" w:hAnsi="Courier New"/>
          <w:sz w:val="18"/>
          <w:szCs w:val="18"/>
          <w:color w:val="auto"/>
        </w:rPr>
        <w:t>Agreement and Plan of Merger, dated as of November 19, 1997, by and among the Company, Parent and the Purchaser.*</w:t>
      </w:r>
    </w:p>
    <w:p>
      <w:pPr>
        <w:spacing w:after="0" w:line="208" w:lineRule="exact"/>
        <w:rPr>
          <w:sz w:val="20"/>
          <w:szCs w:val="20"/>
          <w:color w:val="auto"/>
        </w:rPr>
      </w:pPr>
    </w:p>
    <w:p>
      <w:pPr>
        <w:ind w:left="1800" w:right="209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99(c)(2)</w:t>
      </w:r>
      <w:r>
        <w:rPr>
          <w:sz w:val="20"/>
          <w:szCs w:val="20"/>
          <w:color w:val="auto"/>
        </w:rPr>
        <w:tab/>
      </w:r>
      <w:r>
        <w:rPr>
          <w:rFonts w:ascii="Courier New" w:cs="Courier New" w:eastAsia="Courier New" w:hAnsi="Courier New"/>
          <w:sz w:val="18"/>
          <w:szCs w:val="18"/>
          <w:color w:val="auto"/>
        </w:rPr>
        <w:t>Loan and Security Agreement, dated November 19, 1997, by and between Parent and the Company.*</w:t>
      </w:r>
    </w:p>
    <w:p>
      <w:pPr>
        <w:spacing w:after="0" w:line="208" w:lineRule="exact"/>
        <w:rPr>
          <w:sz w:val="20"/>
          <w:szCs w:val="20"/>
          <w:color w:val="auto"/>
        </w:rPr>
      </w:pPr>
    </w:p>
    <w:p>
      <w:pPr>
        <w:ind w:left="1800" w:right="209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99(c)(3)</w:t>
      </w:r>
      <w:r>
        <w:rPr>
          <w:sz w:val="20"/>
          <w:szCs w:val="20"/>
          <w:color w:val="auto"/>
        </w:rPr>
        <w:tab/>
      </w:r>
      <w:r>
        <w:rPr>
          <w:rFonts w:ascii="Courier New" w:cs="Courier New" w:eastAsia="Courier New" w:hAnsi="Courier New"/>
          <w:sz w:val="18"/>
          <w:szCs w:val="18"/>
          <w:color w:val="auto"/>
        </w:rPr>
        <w:t>Confidentiality Agreement, dated as of July 22, 1997, by and between Parent and the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99(c)(4)</w:t>
      </w:r>
      <w:r>
        <w:rPr>
          <w:sz w:val="20"/>
          <w:szCs w:val="20"/>
          <w:color w:val="auto"/>
        </w:rPr>
        <w:tab/>
      </w:r>
      <w:r>
        <w:rPr>
          <w:rFonts w:ascii="Courier New" w:cs="Courier New" w:eastAsia="Courier New" w:hAnsi="Courier New"/>
          <w:sz w:val="18"/>
          <w:szCs w:val="18"/>
          <w:color w:val="auto"/>
        </w:rPr>
        <w:t>Retention Agreement, dated as of November 19, 1997, by and</w:t>
      </w:r>
    </w:p>
    <w:p>
      <w:pPr>
        <w:jc w:val="center"/>
        <w:ind w:right="2319"/>
        <w:spacing w:after="0" w:line="238" w:lineRule="auto"/>
        <w:rPr>
          <w:sz w:val="20"/>
          <w:szCs w:val="20"/>
          <w:color w:val="auto"/>
        </w:rPr>
      </w:pPr>
      <w:r>
        <w:rPr>
          <w:rFonts w:ascii="Courier New" w:cs="Courier New" w:eastAsia="Courier New" w:hAnsi="Courier New"/>
          <w:sz w:val="18"/>
          <w:szCs w:val="18"/>
          <w:color w:val="auto"/>
        </w:rPr>
        <w:t>between Parent and James E. Steenbergen.*</w:t>
      </w:r>
    </w:p>
    <w:p>
      <w:pPr>
        <w:spacing w:after="0" w:line="207" w:lineRule="exact"/>
        <w:rPr>
          <w:sz w:val="20"/>
          <w:szCs w:val="20"/>
          <w:color w:val="auto"/>
        </w:rPr>
      </w:pPr>
    </w:p>
    <w:p>
      <w:pPr>
        <w:ind w:left="1800" w:right="231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99(c)(5)</w:t>
      </w:r>
      <w:r>
        <w:rPr>
          <w:sz w:val="20"/>
          <w:szCs w:val="20"/>
          <w:color w:val="auto"/>
        </w:rPr>
        <w:tab/>
      </w:r>
      <w:r>
        <w:rPr>
          <w:rFonts w:ascii="Courier New" w:cs="Courier New" w:eastAsia="Courier New" w:hAnsi="Courier New"/>
          <w:sz w:val="18"/>
          <w:szCs w:val="18"/>
          <w:color w:val="auto"/>
        </w:rPr>
        <w:t>Retention Agreement, dated as of November 19, 1997, by and between Parent and Ronald Carlini.*</w:t>
      </w:r>
    </w:p>
    <w:p>
      <w:pPr>
        <w:spacing w:after="0" w:line="208" w:lineRule="exact"/>
        <w:rPr>
          <w:sz w:val="20"/>
          <w:szCs w:val="20"/>
          <w:color w:val="auto"/>
        </w:rPr>
      </w:pPr>
    </w:p>
    <w:p>
      <w:pPr>
        <w:ind w:left="1800" w:right="2319" w:hanging="1799"/>
        <w:spacing w:after="0" w:line="235" w:lineRule="auto"/>
        <w:tabs>
          <w:tab w:leader="none" w:pos="1780" w:val="left"/>
        </w:tabs>
        <w:rPr>
          <w:sz w:val="20"/>
          <w:szCs w:val="20"/>
          <w:color w:val="auto"/>
        </w:rPr>
      </w:pPr>
      <w:r>
        <w:rPr>
          <w:rFonts w:ascii="Courier New" w:cs="Courier New" w:eastAsia="Courier New" w:hAnsi="Courier New"/>
          <w:sz w:val="18"/>
          <w:szCs w:val="18"/>
          <w:color w:val="auto"/>
        </w:rPr>
        <w:t>99(c)(6)</w:t>
      </w:r>
      <w:r>
        <w:rPr>
          <w:sz w:val="20"/>
          <w:szCs w:val="20"/>
          <w:color w:val="auto"/>
        </w:rPr>
        <w:tab/>
      </w:r>
      <w:r>
        <w:rPr>
          <w:rFonts w:ascii="Courier New" w:cs="Courier New" w:eastAsia="Courier New" w:hAnsi="Courier New"/>
          <w:sz w:val="18"/>
          <w:szCs w:val="18"/>
          <w:color w:val="auto"/>
        </w:rPr>
        <w:t>Retention Agreement, dated as of November 19, 1997, by and between Parent and James D. Hood.*</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99(d)</w:t>
      </w:r>
      <w:r>
        <w:rPr>
          <w:sz w:val="20"/>
          <w:szCs w:val="20"/>
          <w:color w:val="auto"/>
        </w:rPr>
        <w:tab/>
      </w: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99(e)</w:t>
      </w:r>
      <w:r>
        <w:rPr>
          <w:sz w:val="20"/>
          <w:szCs w:val="20"/>
          <w:color w:val="auto"/>
        </w:rPr>
        <w:tab/>
      </w: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99(f)</w:t>
      </w:r>
      <w:r>
        <w:rPr>
          <w:sz w:val="20"/>
          <w:szCs w:val="20"/>
          <w:color w:val="auto"/>
        </w:rPr>
        <w:tab/>
      </w: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 (a)(9)</w:t>
      </w:r>
    </w:p>
    <w:p>
      <w:pPr>
        <w:spacing w:after="0" w:line="224" w:lineRule="exact"/>
        <w:rPr>
          <w:sz w:val="20"/>
          <w:szCs w:val="20"/>
          <w:color w:val="auto"/>
        </w:rPr>
      </w:pPr>
    </w:p>
    <w:p>
      <w:pPr>
        <w:ind w:left="1800" w:right="3159" w:hanging="526"/>
        <w:spacing w:after="0" w:line="290" w:lineRule="auto"/>
        <w:rPr>
          <w:sz w:val="20"/>
          <w:szCs w:val="20"/>
          <w:color w:val="auto"/>
        </w:rPr>
      </w:pPr>
      <w:r>
        <w:rPr>
          <w:rFonts w:ascii="Courier New" w:cs="Courier New" w:eastAsia="Courier New" w:hAnsi="Courier New"/>
          <w:sz w:val="16"/>
          <w:szCs w:val="16"/>
          <w:color w:val="auto"/>
        </w:rPr>
        <w:t>Texas Instruments Incorporated Consummates Tender Offer for Shares of Amati Communications Corporation</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(December 24, 1997) -- Texas Instruments Incorporated (NYSE:TXN) and its wholly-owned subsidiary, DSL Acquisition Corporation, announced that DSL Acquisition Corporation has consummated its tender offer for all of the issued and outstanding shares of common stock of Amati Communications Corporation (NASDAQ:AMTX) of San Jose, California, at a price of $20 per share, net to the seller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DSL Acquisition Corporation has been advised by the depositary for the tender offer that as of the expiration 15,430,622 shares of Amati's common stock (approximately 78% of the issued and outstanding shares) had been validly tendered and not withdrawn.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Completion of the acquisition is expected to occur following a special meeting of Amati's stockholders in the first quarter of 1998.</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solutions, the engines driving the digitization of electronics. Headquartered in Dallas, Texas, the company's businesses also include calculators, productivity products, controls and sensors, metallurgical materials and digital light processing technologies. The company has manufacturing or sales operations in more than 25 countries.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http://www.ti.com.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2019-12-16T13:45:57Z</dcterms:created>
  <dcterms:modified xsi:type="dcterms:W3CDTF">2019-12-16T13:45:57Z</dcterms:modified>
</cp:coreProperties>
</file>