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60" w:type="dxa"/>
            <w:vAlign w:val="bottom"/>
          </w:tcPr>
          <w:p>
            <w:pPr>
              <w:jc w:val="right"/>
              <w:spacing w:after="0"/>
              <w:rPr>
                <w:sz w:val="20"/>
                <w:szCs w:val="20"/>
                <w:color w:val="auto"/>
              </w:rPr>
            </w:pPr>
            <w:r>
              <w:rPr>
                <w:rFonts w:ascii="Arial" w:cs="Arial" w:eastAsia="Arial" w:hAnsi="Arial"/>
                <w:sz w:val="18"/>
                <w:szCs w:val="18"/>
                <w:b w:val="1"/>
                <w:bCs w:val="1"/>
                <w:color w:val="auto"/>
              </w:rPr>
              <w:t>Filed Pursuant to Rule 433</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60" w:type="dxa"/>
            <w:vAlign w:val="bottom"/>
          </w:tcPr>
          <w:p>
            <w:pPr>
              <w:jc w:val="right"/>
              <w:spacing w:after="0"/>
              <w:rPr>
                <w:sz w:val="20"/>
                <w:szCs w:val="20"/>
                <w:color w:val="auto"/>
              </w:rPr>
            </w:pPr>
            <w:r>
              <w:rPr>
                <w:rFonts w:ascii="Arial" w:cs="Arial" w:eastAsia="Arial" w:hAnsi="Arial"/>
                <w:sz w:val="18"/>
                <w:szCs w:val="18"/>
                <w:b w:val="1"/>
                <w:bCs w:val="1"/>
                <w:color w:val="auto"/>
              </w:rPr>
              <w:t>Registration No. 333-229797</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60" w:type="dxa"/>
            <w:vAlign w:val="bottom"/>
          </w:tcPr>
          <w:p>
            <w:pPr>
              <w:jc w:val="right"/>
              <w:spacing w:after="0"/>
              <w:rPr>
                <w:sz w:val="20"/>
                <w:szCs w:val="20"/>
                <w:color w:val="auto"/>
              </w:rPr>
            </w:pPr>
            <w:r>
              <w:rPr>
                <w:rFonts w:ascii="Arial" w:cs="Arial" w:eastAsia="Arial" w:hAnsi="Arial"/>
                <w:sz w:val="18"/>
                <w:szCs w:val="18"/>
                <w:b w:val="1"/>
                <w:bCs w:val="1"/>
                <w:color w:val="auto"/>
              </w:rPr>
              <w:t>Issuer Free Writing Prospectus dated April 24, 2020</w:t>
            </w:r>
          </w:p>
        </w:tc>
      </w:tr>
      <w:tr>
        <w:trPr>
          <w:trHeight w:val="234"/>
        </w:trPr>
        <w:tc>
          <w:tcPr>
            <w:tcW w:w="3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80" w:type="dxa"/>
            <w:vAlign w:val="bottom"/>
            <w:gridSpan w:val="2"/>
          </w:tcPr>
          <w:p>
            <w:pPr>
              <w:jc w:val="right"/>
              <w:spacing w:after="0"/>
              <w:rPr>
                <w:sz w:val="20"/>
                <w:szCs w:val="20"/>
                <w:color w:val="auto"/>
              </w:rPr>
            </w:pPr>
            <w:r>
              <w:rPr>
                <w:rFonts w:ascii="Arial" w:cs="Arial" w:eastAsia="Arial" w:hAnsi="Arial"/>
                <w:sz w:val="18"/>
                <w:szCs w:val="18"/>
                <w:b w:val="1"/>
                <w:bCs w:val="1"/>
                <w:color w:val="auto"/>
              </w:rPr>
              <w:t>Relating to Preliminary Prospectus Supplement dated April 24, 2020</w:t>
            </w:r>
          </w:p>
        </w:tc>
      </w:tr>
      <w:tr>
        <w:trPr>
          <w:trHeight w:val="648"/>
        </w:trPr>
        <w:tc>
          <w:tcPr>
            <w:tcW w:w="3240" w:type="dxa"/>
            <w:vAlign w:val="bottom"/>
          </w:tcPr>
          <w:p>
            <w:pPr>
              <w:spacing w:after="0"/>
              <w:rPr>
                <w:sz w:val="24"/>
                <w:szCs w:val="24"/>
                <w:color w:val="auto"/>
              </w:rPr>
            </w:pPr>
          </w:p>
        </w:tc>
        <w:tc>
          <w:tcPr>
            <w:tcW w:w="7780" w:type="dxa"/>
            <w:vAlign w:val="bottom"/>
            <w:gridSpan w:val="3"/>
          </w:tcPr>
          <w:p>
            <w:pPr>
              <w:jc w:val="center"/>
              <w:ind w:right="3170"/>
              <w:spacing w:after="0"/>
              <w:rPr>
                <w:sz w:val="20"/>
                <w:szCs w:val="20"/>
                <w:color w:val="auto"/>
              </w:rPr>
            </w:pPr>
            <w:r>
              <w:rPr>
                <w:rFonts w:ascii="Arial" w:cs="Arial" w:eastAsia="Arial" w:hAnsi="Arial"/>
                <w:sz w:val="18"/>
                <w:szCs w:val="18"/>
                <w:b w:val="1"/>
                <w:bCs w:val="1"/>
                <w:color w:val="auto"/>
              </w:rPr>
              <w:t>TEXAS INSTRUMENTS INCORPORATED</w:t>
            </w:r>
          </w:p>
        </w:tc>
      </w:tr>
      <w:tr>
        <w:trPr>
          <w:trHeight w:val="432"/>
        </w:trPr>
        <w:tc>
          <w:tcPr>
            <w:tcW w:w="3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380" w:type="dxa"/>
            <w:vAlign w:val="bottom"/>
            <w:gridSpan w:val="2"/>
          </w:tcPr>
          <w:p>
            <w:pPr>
              <w:jc w:val="center"/>
              <w:ind w:right="4570"/>
              <w:spacing w:after="0"/>
              <w:rPr>
                <w:sz w:val="20"/>
                <w:szCs w:val="20"/>
                <w:color w:val="auto"/>
              </w:rPr>
            </w:pPr>
            <w:r>
              <w:rPr>
                <w:rFonts w:ascii="Arial" w:cs="Arial" w:eastAsia="Arial" w:hAnsi="Arial"/>
                <w:sz w:val="18"/>
                <w:szCs w:val="18"/>
                <w:b w:val="1"/>
                <w:bCs w:val="1"/>
                <w:color w:val="auto"/>
                <w:w w:val="90"/>
              </w:rPr>
              <w:t>Pricing Term Sheet</w:t>
            </w:r>
          </w:p>
        </w:tc>
      </w:tr>
      <w:tr>
        <w:trPr>
          <w:trHeight w:val="392"/>
        </w:trPr>
        <w:tc>
          <w:tcPr>
            <w:tcW w:w="3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380" w:type="dxa"/>
            <w:vAlign w:val="bottom"/>
            <w:gridSpan w:val="2"/>
          </w:tcPr>
          <w:p>
            <w:pPr>
              <w:jc w:val="center"/>
              <w:ind w:right="4570"/>
              <w:spacing w:after="0"/>
              <w:rPr>
                <w:sz w:val="20"/>
                <w:szCs w:val="20"/>
                <w:color w:val="auto"/>
              </w:rPr>
            </w:pPr>
            <w:r>
              <w:rPr>
                <w:rFonts w:ascii="Arial" w:cs="Arial" w:eastAsia="Arial" w:hAnsi="Arial"/>
                <w:sz w:val="18"/>
                <w:szCs w:val="18"/>
                <w:color w:val="auto"/>
                <w:w w:val="89"/>
              </w:rPr>
              <w:t>1.</w:t>
            </w:r>
            <w:r>
              <w:rPr>
                <w:rFonts w:ascii="Arial" w:cs="Arial" w:eastAsia="Arial" w:hAnsi="Arial"/>
                <w:sz w:val="18"/>
                <w:szCs w:val="18"/>
                <w:u w:val="single" w:color="auto"/>
                <w:color w:val="auto"/>
                <w:w w:val="89"/>
              </w:rPr>
              <w:t>750%</w:t>
            </w:r>
            <w:r>
              <w:rPr>
                <w:rFonts w:ascii="Arial" w:cs="Arial" w:eastAsia="Arial" w:hAnsi="Arial"/>
                <w:sz w:val="18"/>
                <w:szCs w:val="18"/>
                <w:color w:val="auto"/>
                <w:w w:val="89"/>
              </w:rPr>
              <w:t xml:space="preserve"> Notes due 2030</w:t>
            </w:r>
          </w:p>
        </w:tc>
      </w:tr>
      <w:tr>
        <w:trPr>
          <w:trHeight w:val="20"/>
        </w:trPr>
        <w:tc>
          <w:tcPr>
            <w:tcW w:w="3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479"/>
        </w:trPr>
        <w:tc>
          <w:tcPr>
            <w:tcW w:w="3240" w:type="dxa"/>
            <w:vAlign w:val="bottom"/>
          </w:tcPr>
          <w:p>
            <w:pPr>
              <w:spacing w:after="0"/>
              <w:rPr>
                <w:sz w:val="20"/>
                <w:szCs w:val="20"/>
                <w:color w:val="auto"/>
              </w:rPr>
            </w:pPr>
            <w:r>
              <w:rPr>
                <w:rFonts w:ascii="Arial" w:cs="Arial" w:eastAsia="Arial" w:hAnsi="Arial"/>
                <w:sz w:val="18"/>
                <w:szCs w:val="18"/>
                <w:color w:val="auto"/>
              </w:rPr>
              <w:t>Issuer:</w:t>
            </w:r>
          </w:p>
        </w:tc>
        <w:tc>
          <w:tcPr>
            <w:tcW w:w="1400" w:type="dxa"/>
            <w:vAlign w:val="bottom"/>
          </w:tcPr>
          <w:p>
            <w:pPr>
              <w:spacing w:after="0"/>
              <w:rPr>
                <w:sz w:val="24"/>
                <w:szCs w:val="24"/>
                <w:color w:val="auto"/>
              </w:rPr>
            </w:pPr>
          </w:p>
        </w:tc>
        <w:tc>
          <w:tcPr>
            <w:tcW w:w="6380" w:type="dxa"/>
            <w:vAlign w:val="bottom"/>
            <w:gridSpan w:val="2"/>
          </w:tcPr>
          <w:p>
            <w:pPr>
              <w:ind w:left="1020"/>
              <w:spacing w:after="0"/>
              <w:rPr>
                <w:sz w:val="20"/>
                <w:szCs w:val="20"/>
                <w:color w:val="auto"/>
              </w:rPr>
            </w:pPr>
            <w:r>
              <w:rPr>
                <w:rFonts w:ascii="Arial" w:cs="Arial" w:eastAsia="Arial" w:hAnsi="Arial"/>
                <w:sz w:val="18"/>
                <w:szCs w:val="18"/>
                <w:color w:val="auto"/>
              </w:rPr>
              <w:t>Texas Instruments Incorporated (“TI”)</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Principal Amount:</w:t>
            </w:r>
          </w:p>
        </w:tc>
        <w:tc>
          <w:tcPr>
            <w:tcW w:w="7780" w:type="dxa"/>
            <w:vAlign w:val="bottom"/>
            <w:gridSpan w:val="3"/>
          </w:tcPr>
          <w:p>
            <w:pPr>
              <w:ind w:left="2420"/>
              <w:spacing w:after="0"/>
              <w:rPr>
                <w:sz w:val="20"/>
                <w:szCs w:val="20"/>
                <w:color w:val="auto"/>
              </w:rPr>
            </w:pPr>
            <w:r>
              <w:rPr>
                <w:rFonts w:ascii="Arial" w:cs="Arial" w:eastAsia="Arial" w:hAnsi="Arial"/>
                <w:sz w:val="18"/>
                <w:szCs w:val="18"/>
                <w:color w:val="auto"/>
              </w:rPr>
              <w:t>$750,000,000</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Maturity:</w:t>
            </w:r>
          </w:p>
        </w:tc>
        <w:tc>
          <w:tcPr>
            <w:tcW w:w="1400" w:type="dxa"/>
            <w:vAlign w:val="bottom"/>
          </w:tcPr>
          <w:p>
            <w:pPr>
              <w:spacing w:after="0"/>
              <w:rPr>
                <w:sz w:val="24"/>
                <w:szCs w:val="24"/>
                <w:color w:val="auto"/>
              </w:rPr>
            </w:pPr>
          </w:p>
        </w:tc>
        <w:tc>
          <w:tcPr>
            <w:tcW w:w="6380" w:type="dxa"/>
            <w:vAlign w:val="bottom"/>
            <w:gridSpan w:val="2"/>
          </w:tcPr>
          <w:p>
            <w:pPr>
              <w:ind w:left="1020"/>
              <w:spacing w:after="0"/>
              <w:rPr>
                <w:sz w:val="20"/>
                <w:szCs w:val="20"/>
                <w:color w:val="auto"/>
              </w:rPr>
            </w:pPr>
            <w:r>
              <w:rPr>
                <w:rFonts w:ascii="Arial" w:cs="Arial" w:eastAsia="Arial" w:hAnsi="Arial"/>
                <w:sz w:val="18"/>
                <w:szCs w:val="18"/>
                <w:color w:val="auto"/>
              </w:rPr>
              <w:t>May 4, 2030</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Coupon:</w:t>
            </w:r>
          </w:p>
        </w:tc>
        <w:tc>
          <w:tcPr>
            <w:tcW w:w="3120" w:type="dxa"/>
            <w:vAlign w:val="bottom"/>
            <w:gridSpan w:val="2"/>
          </w:tcPr>
          <w:p>
            <w:pPr>
              <w:ind w:left="2420"/>
              <w:spacing w:after="0"/>
              <w:rPr>
                <w:sz w:val="20"/>
                <w:szCs w:val="20"/>
                <w:color w:val="auto"/>
              </w:rPr>
            </w:pPr>
            <w:r>
              <w:rPr>
                <w:rFonts w:ascii="Arial" w:cs="Arial" w:eastAsia="Arial" w:hAnsi="Arial"/>
                <w:sz w:val="18"/>
                <w:szCs w:val="18"/>
                <w:color w:val="auto"/>
              </w:rPr>
              <w:t>1.750%</w:t>
            </w:r>
          </w:p>
        </w:tc>
        <w:tc>
          <w:tcPr>
            <w:tcW w:w="4660" w:type="dxa"/>
            <w:vAlign w:val="bottom"/>
          </w:tcPr>
          <w:p>
            <w:pPr>
              <w:spacing w:after="0"/>
              <w:rPr>
                <w:sz w:val="24"/>
                <w:szCs w:val="24"/>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Price to Public:</w:t>
            </w:r>
          </w:p>
        </w:tc>
        <w:tc>
          <w:tcPr>
            <w:tcW w:w="1400" w:type="dxa"/>
            <w:vAlign w:val="bottom"/>
          </w:tcPr>
          <w:p>
            <w:pPr>
              <w:spacing w:after="0"/>
              <w:rPr>
                <w:sz w:val="24"/>
                <w:szCs w:val="24"/>
                <w:color w:val="auto"/>
              </w:rPr>
            </w:pPr>
          </w:p>
        </w:tc>
        <w:tc>
          <w:tcPr>
            <w:tcW w:w="6380" w:type="dxa"/>
            <w:vAlign w:val="bottom"/>
            <w:gridSpan w:val="2"/>
          </w:tcPr>
          <w:p>
            <w:pPr>
              <w:ind w:left="1020"/>
              <w:spacing w:after="0"/>
              <w:rPr>
                <w:sz w:val="20"/>
                <w:szCs w:val="20"/>
                <w:color w:val="auto"/>
              </w:rPr>
            </w:pPr>
            <w:r>
              <w:rPr>
                <w:rFonts w:ascii="Arial" w:cs="Arial" w:eastAsia="Arial" w:hAnsi="Arial"/>
                <w:sz w:val="18"/>
                <w:szCs w:val="18"/>
                <w:color w:val="auto"/>
              </w:rPr>
              <w:t>99.890% of principal amount</w:t>
            </w: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400" w:type="dxa"/>
            <w:vAlign w:val="bottom"/>
          </w:tcPr>
          <w:p>
            <w:pPr>
              <w:spacing w:after="0"/>
              <w:rPr>
                <w:sz w:val="24"/>
                <w:szCs w:val="24"/>
                <w:color w:val="auto"/>
              </w:rPr>
            </w:pPr>
          </w:p>
        </w:tc>
        <w:tc>
          <w:tcPr>
            <w:tcW w:w="6380" w:type="dxa"/>
            <w:vAlign w:val="bottom"/>
            <w:gridSpan w:val="2"/>
          </w:tcPr>
          <w:p>
            <w:pPr>
              <w:ind w:left="1020"/>
              <w:spacing w:after="0"/>
              <w:rPr>
                <w:sz w:val="20"/>
                <w:szCs w:val="20"/>
                <w:color w:val="auto"/>
              </w:rPr>
            </w:pPr>
            <w:r>
              <w:rPr>
                <w:rFonts w:ascii="Arial" w:cs="Arial" w:eastAsia="Arial" w:hAnsi="Arial"/>
                <w:sz w:val="18"/>
                <w:szCs w:val="18"/>
                <w:color w:val="auto"/>
                <w:w w:val="97"/>
              </w:rPr>
              <w:t>May 4 and November 4, beginning on November 4, 2020, and on the</w:t>
            </w:r>
          </w:p>
        </w:tc>
      </w:tr>
      <w:tr>
        <w:trPr>
          <w:trHeight w:val="230"/>
        </w:trPr>
        <w:tc>
          <w:tcPr>
            <w:tcW w:w="3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80" w:type="dxa"/>
            <w:vAlign w:val="bottom"/>
            <w:gridSpan w:val="2"/>
          </w:tcPr>
          <w:p>
            <w:pPr>
              <w:ind w:left="1020"/>
              <w:spacing w:after="0"/>
              <w:rPr>
                <w:sz w:val="20"/>
                <w:szCs w:val="20"/>
                <w:color w:val="auto"/>
              </w:rPr>
            </w:pPr>
            <w:r>
              <w:rPr>
                <w:rFonts w:ascii="Arial" w:cs="Arial" w:eastAsia="Arial" w:hAnsi="Arial"/>
                <w:sz w:val="18"/>
                <w:szCs w:val="18"/>
                <w:color w:val="auto"/>
              </w:rPr>
              <w:t>maturity date</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Day Count Convention:</w:t>
            </w:r>
          </w:p>
        </w:tc>
        <w:tc>
          <w:tcPr>
            <w:tcW w:w="3120" w:type="dxa"/>
            <w:vAlign w:val="bottom"/>
            <w:gridSpan w:val="2"/>
          </w:tcPr>
          <w:p>
            <w:pPr>
              <w:ind w:left="2420"/>
              <w:spacing w:after="0"/>
              <w:rPr>
                <w:sz w:val="20"/>
                <w:szCs w:val="20"/>
                <w:color w:val="auto"/>
              </w:rPr>
            </w:pPr>
            <w:r>
              <w:rPr>
                <w:rFonts w:ascii="Arial" w:cs="Arial" w:eastAsia="Arial" w:hAnsi="Arial"/>
                <w:sz w:val="18"/>
                <w:szCs w:val="18"/>
                <w:color w:val="auto"/>
              </w:rPr>
              <w:t>30/360</w:t>
            </w:r>
          </w:p>
        </w:tc>
        <w:tc>
          <w:tcPr>
            <w:tcW w:w="4660" w:type="dxa"/>
            <w:vAlign w:val="bottom"/>
          </w:tcPr>
          <w:p>
            <w:pPr>
              <w:spacing w:after="0"/>
              <w:rPr>
                <w:sz w:val="24"/>
                <w:szCs w:val="24"/>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7780" w:type="dxa"/>
            <w:vAlign w:val="bottom"/>
            <w:gridSpan w:val="3"/>
          </w:tcPr>
          <w:p>
            <w:pPr>
              <w:ind w:left="2420"/>
              <w:spacing w:after="0"/>
              <w:rPr>
                <w:sz w:val="20"/>
                <w:szCs w:val="20"/>
                <w:color w:val="auto"/>
              </w:rPr>
            </w:pPr>
            <w:r>
              <w:rPr>
                <w:rFonts w:ascii="Arial" w:cs="Arial" w:eastAsia="Arial" w:hAnsi="Arial"/>
                <w:sz w:val="18"/>
                <w:szCs w:val="18"/>
                <w:color w:val="auto"/>
              </w:rPr>
              <w:t>$745,800,000</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Benchmark Treasury:</w:t>
            </w:r>
          </w:p>
        </w:tc>
        <w:tc>
          <w:tcPr>
            <w:tcW w:w="1400" w:type="dxa"/>
            <w:vAlign w:val="bottom"/>
          </w:tcPr>
          <w:p>
            <w:pPr>
              <w:spacing w:after="0"/>
              <w:rPr>
                <w:sz w:val="24"/>
                <w:szCs w:val="24"/>
                <w:color w:val="auto"/>
              </w:rPr>
            </w:pPr>
          </w:p>
        </w:tc>
        <w:tc>
          <w:tcPr>
            <w:tcW w:w="6380" w:type="dxa"/>
            <w:vAlign w:val="bottom"/>
            <w:gridSpan w:val="2"/>
          </w:tcPr>
          <w:p>
            <w:pPr>
              <w:ind w:left="1020"/>
              <w:spacing w:after="0"/>
              <w:rPr>
                <w:sz w:val="20"/>
                <w:szCs w:val="20"/>
                <w:color w:val="auto"/>
              </w:rPr>
            </w:pPr>
            <w:r>
              <w:rPr>
                <w:rFonts w:ascii="Arial" w:cs="Arial" w:eastAsia="Arial" w:hAnsi="Arial"/>
                <w:sz w:val="18"/>
                <w:szCs w:val="18"/>
                <w:color w:val="auto"/>
              </w:rPr>
              <w:t>1.500% due February 15, 2030</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1400" w:type="dxa"/>
            <w:vAlign w:val="bottom"/>
          </w:tcPr>
          <w:p>
            <w:pPr>
              <w:spacing w:after="0"/>
              <w:rPr>
                <w:sz w:val="24"/>
                <w:szCs w:val="24"/>
                <w:color w:val="auto"/>
              </w:rPr>
            </w:pPr>
          </w:p>
        </w:tc>
        <w:tc>
          <w:tcPr>
            <w:tcW w:w="6380" w:type="dxa"/>
            <w:vAlign w:val="bottom"/>
            <w:gridSpan w:val="2"/>
          </w:tcPr>
          <w:p>
            <w:pPr>
              <w:ind w:left="1020"/>
              <w:spacing w:after="0"/>
              <w:rPr>
                <w:sz w:val="20"/>
                <w:szCs w:val="20"/>
                <w:color w:val="auto"/>
              </w:rPr>
            </w:pPr>
            <w:r>
              <w:rPr>
                <w:rFonts w:ascii="Arial" w:cs="Arial" w:eastAsia="Arial" w:hAnsi="Arial"/>
                <w:sz w:val="18"/>
                <w:szCs w:val="18"/>
                <w:color w:val="auto"/>
              </w:rPr>
              <w:t>115 basis points</w:t>
            </w: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Yield to Maturity:</w:t>
            </w:r>
          </w:p>
        </w:tc>
        <w:tc>
          <w:tcPr>
            <w:tcW w:w="3120" w:type="dxa"/>
            <w:vAlign w:val="bottom"/>
            <w:gridSpan w:val="2"/>
          </w:tcPr>
          <w:p>
            <w:pPr>
              <w:ind w:left="2420"/>
              <w:spacing w:after="0"/>
              <w:rPr>
                <w:sz w:val="20"/>
                <w:szCs w:val="20"/>
                <w:color w:val="auto"/>
              </w:rPr>
            </w:pPr>
            <w:r>
              <w:rPr>
                <w:rFonts w:ascii="Arial" w:cs="Arial" w:eastAsia="Arial" w:hAnsi="Arial"/>
                <w:sz w:val="18"/>
                <w:szCs w:val="18"/>
                <w:color w:val="auto"/>
              </w:rPr>
              <w:t>1.762%</w:t>
            </w:r>
          </w:p>
        </w:tc>
        <w:tc>
          <w:tcPr>
            <w:tcW w:w="4660" w:type="dxa"/>
            <w:vAlign w:val="bottom"/>
          </w:tcPr>
          <w:p>
            <w:pPr>
              <w:spacing w:after="0"/>
              <w:rPr>
                <w:sz w:val="24"/>
                <w:szCs w:val="24"/>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7780" w:type="dxa"/>
            <w:vAlign w:val="bottom"/>
            <w:gridSpan w:val="3"/>
          </w:tcPr>
          <w:p>
            <w:pPr>
              <w:ind w:left="2420"/>
              <w:spacing w:after="0"/>
              <w:rPr>
                <w:sz w:val="20"/>
                <w:szCs w:val="20"/>
                <w:color w:val="auto"/>
              </w:rPr>
            </w:pPr>
            <w:r>
              <w:rPr>
                <w:rFonts w:ascii="Arial" w:cs="Arial" w:eastAsia="Arial" w:hAnsi="Arial"/>
                <w:sz w:val="18"/>
                <w:szCs w:val="18"/>
                <w:color w:val="auto"/>
              </w:rPr>
              <w:t>108-14; 0.612%</w:t>
            </w:r>
          </w:p>
        </w:tc>
      </w:tr>
      <w:tr>
        <w:trPr>
          <w:trHeight w:val="364"/>
        </w:trPr>
        <w:tc>
          <w:tcPr>
            <w:tcW w:w="3240" w:type="dxa"/>
            <w:vAlign w:val="bottom"/>
          </w:tcPr>
          <w:p>
            <w:pPr>
              <w:spacing w:after="0"/>
              <w:rPr>
                <w:sz w:val="24"/>
                <w:szCs w:val="24"/>
                <w:color w:val="auto"/>
              </w:rPr>
            </w:pPr>
          </w:p>
        </w:tc>
        <w:tc>
          <w:tcPr>
            <w:tcW w:w="3120" w:type="dxa"/>
            <w:vAlign w:val="bottom"/>
            <w:gridSpan w:val="2"/>
          </w:tcPr>
          <w:p>
            <w:pPr>
              <w:jc w:val="center"/>
              <w:ind w:left="1310"/>
              <w:spacing w:after="0"/>
              <w:rPr>
                <w:sz w:val="20"/>
                <w:szCs w:val="20"/>
                <w:color w:val="auto"/>
              </w:rPr>
            </w:pPr>
            <w:r>
              <w:rPr>
                <w:rFonts w:ascii="Arial" w:cs="Arial" w:eastAsia="Arial" w:hAnsi="Arial"/>
                <w:sz w:val="18"/>
                <w:szCs w:val="18"/>
                <w:color w:val="auto"/>
                <w:w w:val="79"/>
              </w:rPr>
              <w:t>1</w:t>
            </w:r>
          </w:p>
        </w:tc>
        <w:tc>
          <w:tcPr>
            <w:tcW w:w="4660" w:type="dxa"/>
            <w:vAlign w:val="bottom"/>
          </w:tcPr>
          <w:p>
            <w:pPr>
              <w:spacing w:after="0"/>
              <w:rPr>
                <w:sz w:val="24"/>
                <w:szCs w:val="24"/>
                <w:color w:val="auto"/>
              </w:rPr>
            </w:pPr>
          </w:p>
        </w:tc>
      </w:tr>
    </w:tbl>
    <w:p>
      <w:pPr>
        <w:sectPr>
          <w:pgSz w:w="11900" w:h="16838" w:orient="portrait"/>
          <w:cols w:equalWidth="0" w:num="1">
            <w:col w:w="11020"/>
          </w:cols>
          <w:pgMar w:left="440" w:top="337" w:right="4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Make-Whole Call:</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color w:val="auto"/>
        </w:rPr>
        <w:t>At any time before February 4, 2030 (three months before the maturity date) at the greater of: (i) 100% of the principal amount of the notes being redeemed; and (ii) the sum of the present values of the principal amount of such notes and the scheduled payments of interest thereon (not including any portion of such payments of interest accrued as of the date of redemption) from the date of redemption to February 4, 2030 (three months before the maturity date), in each case discounted to the date of redemption on a semi-annual basis at the rate of Treasury plus 20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-1468755</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4940" w:space="720"/>
            <w:col w:w="5340"/>
          </w:cols>
          <w:pgMar w:left="440" w:top="490" w:right="459" w:bottom="1440" w:gutter="0" w:footer="0" w:header="0"/>
        </w:sectPr>
      </w:pPr>
    </w:p>
    <w:p>
      <w:pPr>
        <w:spacing w:after="0"/>
        <w:rPr>
          <w:sz w:val="20"/>
          <w:szCs w:val="20"/>
          <w:color w:val="auto"/>
        </w:rPr>
      </w:pPr>
      <w:r>
        <w:rPr>
          <w:rFonts w:ascii="Arial" w:cs="Arial" w:eastAsia="Arial" w:hAnsi="Arial"/>
          <w:sz w:val="16"/>
          <w:szCs w:val="16"/>
          <w:color w:val="auto"/>
        </w:rPr>
        <w:t>Par Call:</w:t>
      </w:r>
    </w:p>
    <w:p>
      <w:pPr>
        <w:spacing w:after="0" w:line="20" w:lineRule="exact"/>
        <w:rPr>
          <w:sz w:val="20"/>
          <w:szCs w:val="20"/>
          <w:color w:val="auto"/>
        </w:rPr>
      </w:pPr>
      <w:r>
        <w:rPr>
          <w:sz w:val="20"/>
          <w:szCs w:val="20"/>
          <w:color w:val="auto"/>
        </w:rPr>
        <w:br w:type="column"/>
      </w:r>
    </w:p>
    <w:p>
      <w:pPr>
        <w:ind w:right="140"/>
        <w:spacing w:after="0" w:line="342" w:lineRule="auto"/>
        <w:rPr>
          <w:sz w:val="20"/>
          <w:szCs w:val="20"/>
          <w:color w:val="auto"/>
        </w:rPr>
      </w:pPr>
      <w:r>
        <w:rPr>
          <w:rFonts w:ascii="Arial" w:cs="Arial" w:eastAsia="Arial" w:hAnsi="Arial"/>
          <w:sz w:val="16"/>
          <w:szCs w:val="16"/>
          <w:color w:val="auto"/>
        </w:rPr>
        <w:t>At any time on or after February 4, 2030 (three months before the maturity date) at 100% of the principal amount of notes being redeemed</w:t>
      </w:r>
    </w:p>
    <w:p>
      <w:pPr>
        <w:spacing w:after="0" w:line="124" w:lineRule="exact"/>
        <w:rPr>
          <w:sz w:val="20"/>
          <w:szCs w:val="20"/>
          <w:color w:val="auto"/>
        </w:rPr>
      </w:pPr>
    </w:p>
    <w:p>
      <w:pPr>
        <w:sectPr>
          <w:pgSz w:w="11900" w:h="16838" w:orient="portrait"/>
          <w:cols w:equalWidth="0" w:num="2">
            <w:col w:w="4940" w:space="720"/>
            <w:col w:w="5340"/>
          </w:cols>
          <w:pgMar w:left="440" w:top="490" w:right="459" w:bottom="1440" w:gutter="0" w:footer="0" w:header="0"/>
          <w:type w:val="continuous"/>
        </w:sectPr>
      </w:pPr>
    </w:p>
    <w:p>
      <w:pPr>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April 24, 2020</w:t>
      </w:r>
    </w:p>
    <w:p>
      <w:pPr>
        <w:spacing w:after="0" w:line="200" w:lineRule="exact"/>
        <w:rPr>
          <w:sz w:val="20"/>
          <w:szCs w:val="20"/>
          <w:color w:val="auto"/>
        </w:rPr>
      </w:pPr>
    </w:p>
    <w:p>
      <w:pPr>
        <w:sectPr>
          <w:pgSz w:w="11900" w:h="16838" w:orient="portrait"/>
          <w:cols w:equalWidth="0" w:num="2">
            <w:col w:w="4940" w:space="720"/>
            <w:col w:w="5340"/>
          </w:cols>
          <w:pgMar w:left="440" w:top="490" w:right="4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May 4, 2020 (T+6)</w:t>
      </w:r>
    </w:p>
    <w:p>
      <w:pPr>
        <w:spacing w:after="0" w:line="200" w:lineRule="exact"/>
        <w:rPr>
          <w:sz w:val="20"/>
          <w:szCs w:val="20"/>
          <w:color w:val="auto"/>
        </w:rPr>
      </w:pPr>
    </w:p>
    <w:p>
      <w:pPr>
        <w:sectPr>
          <w:pgSz w:w="11900" w:h="16838" w:orient="portrait"/>
          <w:cols w:equalWidth="0" w:num="2">
            <w:col w:w="4940" w:space="720"/>
            <w:col w:w="5340"/>
          </w:cols>
          <w:pgMar w:left="440" w:top="490" w:right="4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Denominations: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$2,000 and multiples of $1,000 thereafter</w:t>
      </w:r>
    </w:p>
    <w:p>
      <w:pPr>
        <w:spacing w:after="0" w:line="200" w:lineRule="exact"/>
        <w:rPr>
          <w:sz w:val="20"/>
          <w:szCs w:val="20"/>
          <w:color w:val="auto"/>
        </w:rPr>
      </w:pPr>
    </w:p>
    <w:p>
      <w:pPr>
        <w:sectPr>
          <w:pgSz w:w="11900" w:h="16838" w:orient="portrait"/>
          <w:cols w:equalWidth="0" w:num="2">
            <w:col w:w="4940" w:space="720"/>
            <w:col w:w="5340"/>
          </w:cols>
          <w:pgMar w:left="440" w:top="490" w:right="4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882508 BJ2 / US882508BJ22</w:t>
      </w:r>
    </w:p>
    <w:p>
      <w:pPr>
        <w:spacing w:after="0" w:line="211" w:lineRule="exact"/>
        <w:rPr>
          <w:sz w:val="20"/>
          <w:szCs w:val="20"/>
          <w:color w:val="auto"/>
        </w:rPr>
      </w:pPr>
    </w:p>
    <w:p>
      <w:pPr>
        <w:sectPr>
          <w:pgSz w:w="11900" w:h="16838" w:orient="portrait"/>
          <w:cols w:equalWidth="0" w:num="2">
            <w:col w:w="4940" w:space="720"/>
            <w:col w:w="5340"/>
          </w:cols>
          <w:pgMar w:left="440" w:top="490" w:right="4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Ratings:*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Moody’s: A1 (stable outlook)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S&amp;P: A+ (stable outlook)</w:t>
      </w:r>
    </w:p>
    <w:p>
      <w:pPr>
        <w:spacing w:after="0" w:line="200" w:lineRule="exact"/>
        <w:rPr>
          <w:sz w:val="20"/>
          <w:szCs w:val="20"/>
          <w:color w:val="auto"/>
        </w:rPr>
      </w:pPr>
    </w:p>
    <w:p>
      <w:pPr>
        <w:sectPr>
          <w:pgSz w:w="11900" w:h="16838" w:orient="portrait"/>
          <w:cols w:equalWidth="0" w:num="2">
            <w:col w:w="4940" w:space="720"/>
            <w:col w:w="5340"/>
          </w:cols>
          <w:pgMar w:left="440" w:top="490" w:right="45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MUFG Securities Americas Inc.</w:t>
      </w:r>
    </w:p>
    <w:p>
      <w:pPr>
        <w:spacing w:after="0" w:line="200" w:lineRule="exact"/>
        <w:rPr>
          <w:sz w:val="20"/>
          <w:szCs w:val="20"/>
          <w:color w:val="auto"/>
        </w:rPr>
      </w:pPr>
    </w:p>
    <w:p>
      <w:pPr>
        <w:sectPr>
          <w:pgSz w:w="11900" w:h="16838" w:orient="portrait"/>
          <w:cols w:equalWidth="0" w:num="2">
            <w:col w:w="4940" w:space="720"/>
            <w:col w:w="5340"/>
          </w:cols>
          <w:pgMar w:left="440" w:top="490" w:right="45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Siebert Williams Shank &amp; Co.,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157" w:lineRule="exact"/>
        <w:rPr>
          <w:sz w:val="20"/>
          <w:szCs w:val="20"/>
          <w:color w:val="auto"/>
        </w:rPr>
      </w:pPr>
    </w:p>
    <w:p>
      <w:pPr>
        <w:sectPr>
          <w:pgSz w:w="11900" w:h="16838" w:orient="portrait"/>
          <w:cols w:equalWidth="0" w:num="2">
            <w:col w:w="4940" w:space="720"/>
            <w:col w:w="5340"/>
          </w:cols>
          <w:pgMar w:left="440" w:top="490" w:right="45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000"/>
          </w:cols>
          <w:pgMar w:left="440" w:top="490" w:right="4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securities rating is not a recommendation to buy, sell or hold securities and may be subject to revision or withdrawal at any time.</w:t>
      </w:r>
    </w:p>
    <w:p>
      <w:pPr>
        <w:spacing w:after="0" w:line="23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It is expected that delivery of the notes will be made against payment therefore on or about May 4, 2020, which is the sixth business day following the date hereof (such settlement cycle being referred to as “T+6”).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T+6, to specify an alternative settlement cycle at the time of any such trade to prevent failed settlement. Purchasers of the notes who wish to trade the notes prior to the second business day before the delivery of the notes should consult their own advisors.</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Citigroup Global Markets Inc. at (800) 831-9146, Mizuho Securities USA LLC at (866) 271-7403 or Morgan Stanley &amp; Co. LLC at (866) 718-1649.</w:t>
      </w:r>
    </w:p>
    <w:p>
      <w:pPr>
        <w:spacing w:after="0" w:line="189"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2020-04-24T16:03:03Z</dcterms:created>
  <dcterms:modified xsi:type="dcterms:W3CDTF">2020-04-24T16:03:03Z</dcterms:modified>
</cp:coreProperties>
</file>