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2613025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CURRENT REPORT PURSUANT TO SECTION 13 OR 15(d)</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129" w:lineRule="exact"/>
        <w:rPr>
          <w:sz w:val="24"/>
          <w:szCs w:val="24"/>
          <w:color w:val="auto"/>
        </w:rPr>
      </w:pPr>
    </w:p>
    <w:p>
      <w:pPr>
        <w:ind w:left="1360"/>
        <w:spacing w:after="0"/>
        <w:rPr>
          <w:sz w:val="20"/>
          <w:szCs w:val="20"/>
          <w:color w:val="auto"/>
        </w:rPr>
      </w:pPr>
      <w:r>
        <w:rPr>
          <w:rFonts w:ascii="Arial" w:cs="Arial" w:eastAsia="Arial" w:hAnsi="Arial"/>
          <w:sz w:val="22"/>
          <w:szCs w:val="22"/>
          <w:b w:val="1"/>
          <w:bCs w:val="1"/>
          <w:color w:val="auto"/>
        </w:rPr>
        <w:t>DATE OF REPORT (DATE OF EARLIEST EVENT REPORTED): June 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2613025</wp:posOffset>
            </wp:positionH>
            <wp:positionV relativeFrom="paragraph">
              <wp:posOffset>173990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9980"/>
          </w:cols>
          <w:pgMar w:left="860" w:top="516" w:right="1059" w:bottom="1440" w:gutter="0" w:footer="0" w:header="0"/>
        </w:sectPr>
      </w:pPr>
    </w:p>
    <w:p>
      <w:pPr>
        <w:spacing w:after="0" w:line="121"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32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060" w:space="720"/>
            <w:col w:w="3080" w:space="720"/>
            <w:col w:w="1400"/>
          </w:cols>
          <w:pgMar w:left="860" w:top="516" w:right="105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47" w:lineRule="exact"/>
        <w:rPr>
          <w:sz w:val="24"/>
          <w:szCs w:val="24"/>
          <w:color w:val="auto"/>
        </w:rPr>
      </w:pPr>
    </w:p>
    <w:p>
      <w:pPr>
        <w:sectPr>
          <w:pgSz w:w="11900" w:h="16838" w:orient="portrait"/>
          <w:cols w:equalWidth="0" w:num="3">
            <w:col w:w="3680" w:space="720"/>
            <w:col w:w="2860" w:space="720"/>
            <w:col w:w="2000"/>
          </w:cols>
          <w:pgMar w:left="860" w:top="516" w:right="10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DALLAS, TEXAS 75266-0199</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9980"/>
          </w:cols>
          <w:pgMar w:left="860" w:top="516" w:right="1059" w:bottom="1440" w:gutter="0" w:footer="0" w:header="0"/>
          <w:type w:val="continuous"/>
        </w:sectPr>
      </w:pPr>
    </w:p>
    <w:p>
      <w:pPr>
        <w:spacing w:after="0" w:line="147"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wp:posOffset>
            </wp:positionH>
            <wp:positionV relativeFrom="paragraph">
              <wp:posOffset>197485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980"/>
          </w:cols>
          <w:pgMar w:left="860" w:top="516" w:right="105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4"/>
              </w:rPr>
              <w:t>Designation of</w:t>
            </w: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49"/>
        </w:trPr>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Exhibit in</w:t>
            </w: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4"/>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this Report</w:t>
            </w:r>
          </w:p>
        </w:tc>
        <w:tc>
          <w:tcPr>
            <w:tcW w:w="4780" w:type="dxa"/>
            <w:vAlign w:val="bottom"/>
            <w:gridSpan w:val="3"/>
          </w:tcPr>
          <w:p>
            <w:pPr>
              <w:ind w:left="12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30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r>
      <w:tr>
        <w:trPr>
          <w:trHeight w:val="417"/>
        </w:trPr>
        <w:tc>
          <w:tcPr>
            <w:tcW w:w="130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4780" w:type="dxa"/>
            <w:vAlign w:val="bottom"/>
            <w:gridSpan w:val="3"/>
          </w:tcPr>
          <w:p>
            <w:pPr>
              <w:ind w:left="1200"/>
              <w:spacing w:after="0"/>
              <w:rPr>
                <w:sz w:val="20"/>
                <w:szCs w:val="20"/>
                <w:color w:val="auto"/>
              </w:rPr>
            </w:pPr>
            <w:r>
              <w:rPr>
                <w:rFonts w:ascii="Arial" w:cs="Arial" w:eastAsia="Arial" w:hAnsi="Arial"/>
                <w:sz w:val="18"/>
                <w:szCs w:val="18"/>
                <w:color w:val="auto"/>
              </w:rPr>
              <w:t>Registrant’s News Release</w:t>
            </w:r>
          </w:p>
        </w:tc>
      </w:tr>
      <w:tr>
        <w:trPr>
          <w:trHeight w:val="222"/>
        </w:trPr>
        <w:tc>
          <w:tcPr>
            <w:tcW w:w="1300" w:type="dxa"/>
            <w:vAlign w:val="bottom"/>
          </w:tcPr>
          <w:p>
            <w:pPr>
              <w:spacing w:after="0"/>
              <w:rPr>
                <w:sz w:val="19"/>
                <w:szCs w:val="19"/>
                <w:color w:val="auto"/>
              </w:rPr>
            </w:pPr>
          </w:p>
        </w:tc>
        <w:tc>
          <w:tcPr>
            <w:tcW w:w="4780" w:type="dxa"/>
            <w:vAlign w:val="bottom"/>
            <w:gridSpan w:val="3"/>
          </w:tcPr>
          <w:p>
            <w:pPr>
              <w:ind w:left="1200"/>
              <w:spacing w:after="0"/>
              <w:rPr>
                <w:sz w:val="20"/>
                <w:szCs w:val="20"/>
                <w:color w:val="auto"/>
              </w:rPr>
            </w:pPr>
            <w:r>
              <w:rPr>
                <w:rFonts w:ascii="Arial" w:cs="Arial" w:eastAsia="Arial" w:hAnsi="Arial"/>
                <w:sz w:val="18"/>
                <w:szCs w:val="18"/>
                <w:color w:val="auto"/>
                <w:w w:val="87"/>
              </w:rPr>
              <w:t>Dated June 7, 2004 (furnished pursuant to Item 12)</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12. Results of Operations and Financial Condition</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Registrant’s news release dated June 7, 2004, regarding the Registrant’s outlook for the second quarter of 2004 attached hereto as Exhibit 99 is incorporated by reference herein.</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900" w:right="3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w:t>
      </w:r>
    </w:p>
    <w:p>
      <w:pPr>
        <w:spacing w:after="0" w:line="37"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ectPr>
          <w:pgSz w:w="11900" w:h="16838" w:orient="portrait"/>
          <w:cols w:equalWidth="0" w:num="1">
            <w:col w:w="11280"/>
          </w:cols>
          <w:pgMar w:left="240" w:top="280" w:right="379" w:bottom="1440" w:gutter="0" w:footer="0" w:header="0"/>
        </w:sectPr>
      </w:pPr>
    </w:p>
    <w:bookmarkStart w:id="2" w:name="page3"/>
    <w:bookmarkEnd w:id="2"/>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Date: June 7,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340"/>
          </w:cols>
          <w:pgMar w:left="240" w:top="280"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C-04030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Updates Second-Quarter 2004 Business Outlook</w:t>
      </w:r>
    </w:p>
    <w:p>
      <w:pPr>
        <w:spacing w:after="0" w:line="16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$3170 Million and $3290 Million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$0.24 and $0.26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Daylight Time Today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www.ti.com</w:t>
      </w:r>
    </w:p>
    <w:p>
      <w:pPr>
        <w:spacing w:after="0" w:line="15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DALLAS (June 7, 2004) – In a scheduled update to its business outlook for the second quarter of 2004, Texas Instruments Incorporated (NYSE: TXN) today narrowed its expected revenue and earnings ranges. TI’s updated estimate reflects continuing strong demand across a broad range of its Semiconductor products, as well as seasonal growth in its educational calculators.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expectations for revenue are:</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$3170 million and $3290 million, compared with the prior range of $3085 million to $3325 million;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revenue between $2725 million and $2825 million, compared with the prior range of $2650 million to $2850 million;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Sensors &amp; Controls revenue between $285 million and $295 million, compared with the prior range of $280 million to $300 million; and</w:t>
      </w:r>
    </w:p>
    <w:p>
      <w:pPr>
        <w:spacing w:after="0" w:line="99"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Educational &amp; Productivity Solutions revenue between $165 million and $175 million, compared with the prior range of $160 million to $180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expects earnings per share (EPS) between $0.24 and $0.26, compared with the previous range of $0.23 to $0.26.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company will hold a conference call at 4 p.m. CDT today to discuss this update. This conference call will be available live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ectPr>
          <w:pgSz w:w="11900" w:h="16838" w:orient="portrait"/>
          <w:cols w:equalWidth="0" w:num="1">
            <w:col w:w="11420"/>
          </w:cols>
          <w:pgMar w:left="240" w:top="131"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TI’s original second-quarter outlook was published in the company’s first-quarter 2004 earnings release on April 14, available at </w:t>
      </w:r>
      <w:r>
        <w:rPr>
          <w:rFonts w:ascii="Arial" w:cs="Arial" w:eastAsia="Arial" w:hAnsi="Arial"/>
          <w:sz w:val="18"/>
          <w:szCs w:val="18"/>
          <w:u w:val="single" w:color="auto"/>
          <w:color w:val="auto"/>
        </w:rPr>
        <w:t>www.ti.com</w:t>
      </w:r>
      <w:r>
        <w:rPr>
          <w:rFonts w:ascii="Arial" w:cs="Arial" w:eastAsia="Arial" w:hAnsi="Arial"/>
          <w:sz w:val="18"/>
          <w:szCs w:val="18"/>
          <w:color w:val="auto"/>
        </w:rPr>
        <w:t>. TI’s second quarter ends on June 30.</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900" w:right="4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telecommunications and computers;</w:t>
      </w:r>
    </w:p>
    <w:p>
      <w:pPr>
        <w:spacing w:after="0" w:line="37"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900" w:right="70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ectPr>
          <w:pgSz w:w="11900" w:h="16838" w:orient="portrait"/>
          <w:cols w:equalWidth="0" w:num="1">
            <w:col w:w="11380"/>
          </w:cols>
          <w:pgMar w:left="240" w:top="280" w:right="279" w:bottom="1440" w:gutter="0" w:footer="0" w:header="0"/>
        </w:sectPr>
      </w:pPr>
    </w:p>
    <w:bookmarkStart w:id="5" w:name="page6"/>
    <w:bookmarkEnd w:id="5"/>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2019-12-13T07:40:37Z</dcterms:created>
  <dcterms:modified xsi:type="dcterms:W3CDTF">2019-12-13T07:40:37Z</dcterms:modified>
</cp:coreProperties>
</file>