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141" w:lineRule="exact"/>
        <w:rPr>
          <w:sz w:val="24"/>
          <w:szCs w:val="24"/>
          <w:color w:val="auto"/>
        </w:rPr>
      </w:pPr>
    </w:p>
    <w:p>
      <w:pPr>
        <w:ind w:right="120"/>
        <w:spacing w:after="0" w:line="244"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270"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DE1A1E"/>
        </w:rPr>
        <w:t>SUBJECT TO COMPLETION, DATED APRIL 27, 2017</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101600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368"/>
        </w:trPr>
        <w:tc>
          <w:tcPr>
            <w:tcW w:w="3420" w:type="dxa"/>
            <w:vAlign w:val="bottom"/>
          </w:tcPr>
          <w:p>
            <w:pPr>
              <w:jc w:val="right"/>
              <w:spacing w:after="0"/>
              <w:rPr>
                <w:sz w:val="20"/>
                <w:szCs w:val="20"/>
                <w:color w:val="auto"/>
              </w:rPr>
            </w:pPr>
            <w:r>
              <w:rPr>
                <w:rFonts w:ascii="Arial" w:cs="Arial" w:eastAsia="Arial" w:hAnsi="Arial"/>
                <w:sz w:val="32"/>
                <w:szCs w:val="32"/>
                <w:b w:val="1"/>
                <w:bCs w:val="1"/>
                <w:color w:val="auto"/>
              </w:rPr>
              <w:t>$</w:t>
            </w:r>
          </w:p>
        </w:tc>
        <w:tc>
          <w:tcPr>
            <w:tcW w:w="6100" w:type="dxa"/>
            <w:vAlign w:val="bottom"/>
            <w:gridSpan w:val="3"/>
          </w:tcPr>
          <w:p>
            <w:pPr>
              <w:jc w:val="right"/>
              <w:ind w:right="2200"/>
              <w:spacing w:after="0"/>
              <w:rPr>
                <w:sz w:val="20"/>
                <w:szCs w:val="20"/>
                <w:color w:val="auto"/>
              </w:rPr>
            </w:pPr>
            <w:r>
              <w:rPr>
                <w:rFonts w:ascii="Arial" w:cs="Arial" w:eastAsia="Arial" w:hAnsi="Arial"/>
                <w:sz w:val="32"/>
                <w:szCs w:val="32"/>
                <w:b w:val="1"/>
                <w:bCs w:val="1"/>
                <w:color w:val="auto"/>
              </w:rPr>
              <w:t>2.750% Notes due 2021</w:t>
            </w:r>
          </w:p>
        </w:tc>
        <w:tc>
          <w:tcPr>
            <w:tcW w:w="840" w:type="dxa"/>
            <w:vAlign w:val="bottom"/>
          </w:tcPr>
          <w:p>
            <w:pPr>
              <w:spacing w:after="0"/>
              <w:rPr>
                <w:sz w:val="24"/>
                <w:szCs w:val="24"/>
                <w:color w:val="auto"/>
              </w:rPr>
            </w:pPr>
          </w:p>
        </w:tc>
      </w:tr>
      <w:tr>
        <w:trPr>
          <w:trHeight w:val="421"/>
        </w:trPr>
        <w:tc>
          <w:tcPr>
            <w:tcW w:w="3420" w:type="dxa"/>
            <w:vAlign w:val="bottom"/>
          </w:tcPr>
          <w:p>
            <w:pPr>
              <w:jc w:val="right"/>
              <w:spacing w:after="0"/>
              <w:rPr>
                <w:sz w:val="20"/>
                <w:szCs w:val="20"/>
                <w:color w:val="auto"/>
              </w:rPr>
            </w:pPr>
            <w:r>
              <w:rPr>
                <w:rFonts w:ascii="Arial" w:cs="Arial" w:eastAsia="Arial" w:hAnsi="Arial"/>
                <w:sz w:val="32"/>
                <w:szCs w:val="32"/>
                <w:b w:val="1"/>
                <w:bCs w:val="1"/>
                <w:color w:val="auto"/>
              </w:rPr>
              <w:t>$</w:t>
            </w:r>
          </w:p>
        </w:tc>
        <w:tc>
          <w:tcPr>
            <w:tcW w:w="980" w:type="dxa"/>
            <w:vAlign w:val="bottom"/>
          </w:tcPr>
          <w:p>
            <w:pPr>
              <w:spacing w:after="0"/>
              <w:rPr>
                <w:sz w:val="24"/>
                <w:szCs w:val="24"/>
                <w:color w:val="auto"/>
              </w:rPr>
            </w:pPr>
          </w:p>
        </w:tc>
        <w:tc>
          <w:tcPr>
            <w:tcW w:w="5120" w:type="dxa"/>
            <w:vAlign w:val="bottom"/>
            <w:gridSpan w:val="2"/>
          </w:tcPr>
          <w:p>
            <w:pPr>
              <w:jc w:val="right"/>
              <w:ind w:right="2200"/>
              <w:spacing w:after="0"/>
              <w:rPr>
                <w:sz w:val="20"/>
                <w:szCs w:val="20"/>
                <w:color w:val="auto"/>
              </w:rPr>
            </w:pPr>
            <w:r>
              <w:rPr>
                <w:rFonts w:ascii="Arial" w:cs="Arial" w:eastAsia="Arial" w:hAnsi="Arial"/>
                <w:sz w:val="32"/>
                <w:szCs w:val="32"/>
                <w:b w:val="1"/>
                <w:bCs w:val="1"/>
                <w:color w:val="auto"/>
              </w:rPr>
              <w:t>% Notes due 2024</w:t>
            </w:r>
          </w:p>
        </w:tc>
        <w:tc>
          <w:tcPr>
            <w:tcW w:w="840" w:type="dxa"/>
            <w:vAlign w:val="bottom"/>
          </w:tcPr>
          <w:p>
            <w:pPr>
              <w:spacing w:after="0"/>
              <w:rPr>
                <w:sz w:val="24"/>
                <w:szCs w:val="24"/>
                <w:color w:val="auto"/>
              </w:rPr>
            </w:pPr>
          </w:p>
        </w:tc>
      </w:tr>
      <w:tr>
        <w:trPr>
          <w:trHeight w:val="134"/>
        </w:trPr>
        <w:tc>
          <w:tcPr>
            <w:tcW w:w="3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302"/>
        </w:trPr>
        <w:tc>
          <w:tcPr>
            <w:tcW w:w="3420" w:type="dxa"/>
            <w:vAlign w:val="bottom"/>
          </w:tcPr>
          <w:p>
            <w:pPr>
              <w:jc w:val="right"/>
              <w:ind w:right="163"/>
              <w:spacing w:after="0"/>
              <w:rPr>
                <w:sz w:val="20"/>
                <w:szCs w:val="20"/>
                <w:color w:val="auto"/>
              </w:rPr>
            </w:pPr>
            <w:r>
              <w:rPr>
                <w:rFonts w:ascii="Arial" w:cs="Arial" w:eastAsia="Arial" w:hAnsi="Arial"/>
                <w:sz w:val="18"/>
                <w:szCs w:val="18"/>
                <w:color w:val="auto"/>
                <w:w w:val="88"/>
              </w:rPr>
              <w:t>Texas Instruments Incorporated is offering $</w:t>
            </w:r>
          </w:p>
        </w:tc>
        <w:tc>
          <w:tcPr>
            <w:tcW w:w="61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aggregate principal amount of its 2.750% Notes due 2021 (the “2021 Notes”) and $</w:t>
            </w:r>
          </w:p>
        </w:tc>
        <w:tc>
          <w:tcPr>
            <w:tcW w:w="840" w:type="dxa"/>
            <w:vAlign w:val="bottom"/>
          </w:tcPr>
          <w:p>
            <w:pPr>
              <w:ind w:left="160"/>
              <w:spacing w:after="0"/>
              <w:rPr>
                <w:sz w:val="20"/>
                <w:szCs w:val="20"/>
                <w:color w:val="auto"/>
              </w:rPr>
            </w:pPr>
            <w:r>
              <w:rPr>
                <w:rFonts w:ascii="Arial" w:cs="Arial" w:eastAsia="Arial" w:hAnsi="Arial"/>
                <w:sz w:val="18"/>
                <w:szCs w:val="18"/>
                <w:color w:val="auto"/>
                <w:w w:val="81"/>
              </w:rPr>
              <w:t>aggregate</w:t>
            </w:r>
          </w:p>
        </w:tc>
      </w:tr>
    </w:tbl>
    <w:p>
      <w:pPr>
        <w:ind w:right="80"/>
        <w:spacing w:after="0" w:line="281" w:lineRule="auto"/>
        <w:rPr>
          <w:sz w:val="20"/>
          <w:szCs w:val="20"/>
          <w:color w:val="auto"/>
        </w:rPr>
      </w:pPr>
      <w:r>
        <w:rPr>
          <w:rFonts w:ascii="Arial" w:cs="Arial" w:eastAsia="Arial" w:hAnsi="Arial"/>
          <w:sz w:val="16"/>
          <w:szCs w:val="16"/>
          <w:color w:val="auto"/>
        </w:rPr>
        <w:t>principal amount of its % Notes due 2024 (the “2024 Notes” and, together with the 2021 Notes, the “Notes”), which will bear interest at the applicable rate per year for each series, as set forth above. The 2021 Notes will be a further issuance of, and will form a single series with, the $250 million aggregate principal</w:t>
      </w:r>
    </w:p>
    <w:p>
      <w:pPr>
        <w:spacing w:after="0" w:line="1" w:lineRule="exact"/>
        <w:rPr>
          <w:sz w:val="24"/>
          <w:szCs w:val="24"/>
          <w:color w:val="auto"/>
        </w:rPr>
      </w:pPr>
    </w:p>
    <w:p>
      <w:pPr>
        <w:ind w:right="480"/>
        <w:spacing w:after="0" w:line="300" w:lineRule="auto"/>
        <w:rPr>
          <w:sz w:val="20"/>
          <w:szCs w:val="20"/>
          <w:color w:val="auto"/>
        </w:rPr>
      </w:pPr>
      <w:r>
        <w:rPr>
          <w:rFonts w:ascii="Arial" w:cs="Arial" w:eastAsia="Arial" w:hAnsi="Arial"/>
          <w:sz w:val="15"/>
          <w:szCs w:val="15"/>
          <w:color w:val="auto"/>
        </w:rPr>
        <w:t>amount of 2.750% Notes due 2021 issued on March 12, 2014 (the “Existing 2021 Notes”). Upon completion of this offering, we will have $ million aggregate principal amount of outstanding 2.750% Notes due 2021. The 2021 Notes offered hereby will have the same terms (other than issue date, price to</w:t>
      </w:r>
    </w:p>
    <w:p>
      <w:pPr>
        <w:spacing w:after="0" w:line="1" w:lineRule="exact"/>
        <w:rPr>
          <w:sz w:val="24"/>
          <w:szCs w:val="24"/>
          <w:color w:val="auto"/>
        </w:rPr>
      </w:pPr>
    </w:p>
    <w:p>
      <w:pPr>
        <w:spacing w:after="0" w:line="300" w:lineRule="auto"/>
        <w:rPr>
          <w:sz w:val="20"/>
          <w:szCs w:val="20"/>
          <w:color w:val="auto"/>
        </w:rPr>
      </w:pPr>
      <w:r>
        <w:rPr>
          <w:rFonts w:ascii="Arial" w:cs="Arial" w:eastAsia="Arial" w:hAnsi="Arial"/>
          <w:sz w:val="15"/>
          <w:szCs w:val="15"/>
          <w:color w:val="auto"/>
        </w:rPr>
        <w:t>public and initial interest payment date) and will vote together as a single class, with the same CUSIP number as, and be fungible with, the Existing 2021 Notes. Interest on the 2021 Notes will be payable semi-annually in arrears on March 12 and September 12 of each year, beginning on September 12, 2017. Interest on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5"/>
              </w:rPr>
              <w:t>2024 Notes will be payable semi-annually in arrears on</w:t>
            </w:r>
          </w:p>
        </w:tc>
        <w:tc>
          <w:tcPr>
            <w:tcW w:w="840" w:type="dxa"/>
            <w:vAlign w:val="bottom"/>
          </w:tcPr>
          <w:p>
            <w:pPr>
              <w:ind w:left="300"/>
              <w:spacing w:after="0"/>
              <w:rPr>
                <w:sz w:val="20"/>
                <w:szCs w:val="20"/>
                <w:color w:val="auto"/>
              </w:rPr>
            </w:pPr>
            <w:r>
              <w:rPr>
                <w:rFonts w:ascii="Arial" w:cs="Arial" w:eastAsia="Arial" w:hAnsi="Arial"/>
                <w:sz w:val="18"/>
                <w:szCs w:val="18"/>
                <w:color w:val="auto"/>
              </w:rPr>
              <w:t>and</w:t>
            </w:r>
          </w:p>
        </w:tc>
        <w:tc>
          <w:tcPr>
            <w:tcW w:w="2600" w:type="dxa"/>
            <w:vAlign w:val="bottom"/>
          </w:tcPr>
          <w:p>
            <w:pPr>
              <w:ind w:left="280"/>
              <w:spacing w:after="0"/>
              <w:rPr>
                <w:sz w:val="20"/>
                <w:szCs w:val="20"/>
                <w:color w:val="auto"/>
              </w:rPr>
            </w:pPr>
            <w:r>
              <w:rPr>
                <w:rFonts w:ascii="Arial" w:cs="Arial" w:eastAsia="Arial" w:hAnsi="Arial"/>
                <w:sz w:val="18"/>
                <w:szCs w:val="18"/>
                <w:color w:val="auto"/>
              </w:rPr>
              <w:t>of each year, beginning on</w:t>
            </w:r>
          </w:p>
        </w:tc>
        <w:tc>
          <w:tcPr>
            <w:tcW w:w="78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77"/>
        </w:trPr>
        <w:tc>
          <w:tcPr>
            <w:tcW w:w="7640" w:type="dxa"/>
            <w:vAlign w:val="bottom"/>
            <w:gridSpan w:val="3"/>
          </w:tcPr>
          <w:p>
            <w:pPr>
              <w:ind w:left="460"/>
              <w:spacing w:after="0"/>
              <w:rPr>
                <w:sz w:val="20"/>
                <w:szCs w:val="20"/>
                <w:color w:val="auto"/>
              </w:rPr>
            </w:pPr>
            <w:r>
              <w:rPr>
                <w:rFonts w:ascii="Arial" w:cs="Arial" w:eastAsia="Arial" w:hAnsi="Arial"/>
                <w:sz w:val="18"/>
                <w:szCs w:val="18"/>
                <w:color w:val="auto"/>
                <w:w w:val="94"/>
              </w:rPr>
              <w:t>The 2021 Notes will mature on March 12, 2021 and the 2024 Notes will mature on May   , 2024.</w:t>
            </w:r>
          </w:p>
        </w:tc>
        <w:tc>
          <w:tcPr>
            <w:tcW w:w="780" w:type="dxa"/>
            <w:vAlign w:val="bottom"/>
          </w:tcPr>
          <w:p>
            <w:pPr>
              <w:spacing w:after="0"/>
              <w:rPr>
                <w:sz w:val="24"/>
                <w:szCs w:val="24"/>
                <w:color w:val="auto"/>
              </w:rPr>
            </w:pPr>
          </w:p>
        </w:tc>
      </w:tr>
    </w:tbl>
    <w:p>
      <w:pPr>
        <w:spacing w:after="0" w:line="61" w:lineRule="exact"/>
        <w:rPr>
          <w:sz w:val="24"/>
          <w:szCs w:val="24"/>
          <w:color w:val="auto"/>
        </w:rPr>
      </w:pPr>
    </w:p>
    <w:p>
      <w:pPr>
        <w:ind w:right="60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Notes—Optional Redemption.”</w:t>
      </w:r>
    </w:p>
    <w:p>
      <w:pPr>
        <w:spacing w:after="0" w:line="37" w:lineRule="exact"/>
        <w:rPr>
          <w:sz w:val="24"/>
          <w:szCs w:val="24"/>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77" w:lineRule="exact"/>
        <w:rPr>
          <w:sz w:val="24"/>
          <w:szCs w:val="24"/>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6"/>
              </w:rPr>
              <w:t>Per 2021 Note</w:t>
            </w:r>
          </w:p>
        </w:tc>
        <w:tc>
          <w:tcPr>
            <w:tcW w:w="9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20"/>
                <w:szCs w:val="20"/>
                <w:color w:val="auto"/>
              </w:rPr>
            </w:pPr>
            <w:r>
              <w:rPr>
                <w:rFonts w:ascii="Arial" w:cs="Arial" w:eastAsia="Arial" w:hAnsi="Arial"/>
                <w:sz w:val="14"/>
                <w:szCs w:val="14"/>
                <w:b w:val="1"/>
                <w:bCs w:val="1"/>
                <w:color w:val="auto"/>
                <w:w w:val="86"/>
              </w:rPr>
              <w:t>Per 2024 Note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8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4"/>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920" w:type="dxa"/>
            <w:vAlign w:val="bottom"/>
          </w:tcPr>
          <w:p>
            <w:pPr>
              <w:jc w:val="right"/>
              <w:ind w:right="692"/>
              <w:spacing w:after="0"/>
              <w:rPr>
                <w:sz w:val="20"/>
                <w:szCs w:val="20"/>
                <w:color w:val="auto"/>
              </w:rPr>
            </w:pPr>
            <w:r>
              <w:rPr>
                <w:rFonts w:ascii="Arial" w:cs="Arial" w:eastAsia="Arial" w:hAnsi="Arial"/>
                <w:sz w:val="18"/>
                <w:szCs w:val="18"/>
                <w:color w:val="auto"/>
                <w:w w:val="74"/>
              </w:rPr>
              <w:t>%</w:t>
            </w:r>
          </w:p>
        </w:tc>
        <w:tc>
          <w:tcPr>
            <w:tcW w:w="640" w:type="dxa"/>
            <w:vAlign w:val="bottom"/>
          </w:tcPr>
          <w:p>
            <w:pPr>
              <w:jc w:val="right"/>
              <w:ind w:right="457"/>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312"/>
              <w:spacing w:after="0"/>
              <w:rPr>
                <w:sz w:val="20"/>
                <w:szCs w:val="20"/>
                <w:color w:val="auto"/>
              </w:rPr>
            </w:pPr>
            <w:r>
              <w:rPr>
                <w:rFonts w:ascii="Arial" w:cs="Arial" w:eastAsia="Arial" w:hAnsi="Arial"/>
                <w:sz w:val="18"/>
                <w:szCs w:val="18"/>
                <w:color w:val="auto"/>
                <w:w w:val="74"/>
              </w:rPr>
              <w:t>%</w:t>
            </w:r>
          </w:p>
        </w:tc>
        <w:tc>
          <w:tcPr>
            <w:tcW w:w="100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2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4"/>
              </w:rPr>
              <w:t>%</w:t>
            </w:r>
          </w:p>
        </w:tc>
        <w:tc>
          <w:tcPr>
            <w:tcW w:w="100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case of the 2021 Notes, plus accrued interest from March 12, 2017.</w:t>
      </w:r>
    </w:p>
    <w:p>
      <w:pPr>
        <w:spacing w:after="0" w:line="77"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Interest on the 2021 Notes offered hereby will accrue from March 12, 2017. Interest on the 2024 Notes offered hereby will accrue from May , 2017 to the date of delivery.</w:t>
      </w:r>
    </w:p>
    <w:p>
      <w:pPr>
        <w:spacing w:after="0" w:line="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on or about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560" w:type="dxa"/>
            <w:vAlign w:val="bottom"/>
            <w:gridSpan w:val="5"/>
          </w:tcPr>
          <w:p>
            <w:pPr>
              <w:spacing w:after="0"/>
              <w:rPr>
                <w:sz w:val="20"/>
                <w:szCs w:val="20"/>
                <w:color w:val="auto"/>
              </w:rPr>
            </w:pPr>
            <w:r>
              <w:rPr>
                <w:rFonts w:ascii="Arial" w:cs="Arial" w:eastAsia="Arial" w:hAnsi="Arial"/>
                <w:sz w:val="18"/>
                <w:szCs w:val="18"/>
                <w:color w:val="auto"/>
                <w:w w:val="94"/>
              </w:rPr>
              <w:t>May   , 2017, which is the fifth business day following the date of this prospectus supplement. See “Underwriting.”</w:t>
            </w:r>
          </w:p>
        </w:tc>
        <w:tc>
          <w:tcPr>
            <w:tcW w:w="2860" w:type="dxa"/>
            <w:vAlign w:val="bottom"/>
          </w:tcPr>
          <w:p>
            <w:pPr>
              <w:spacing w:after="0"/>
              <w:rPr>
                <w:sz w:val="19"/>
                <w:szCs w:val="19"/>
                <w:color w:val="auto"/>
              </w:rPr>
            </w:pPr>
          </w:p>
        </w:tc>
      </w:tr>
      <w:tr>
        <w:trPr>
          <w:trHeight w:val="131"/>
        </w:trPr>
        <w:tc>
          <w:tcPr>
            <w:tcW w:w="1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Borders>
              <w:bottom w:val="single" w:sz="8" w:color="auto"/>
            </w:tcBorders>
            <w:gridSpan w:val="2"/>
          </w:tcPr>
          <w:p>
            <w:pPr>
              <w:spacing w:after="0"/>
              <w:rPr>
                <w:sz w:val="11"/>
                <w:szCs w:val="11"/>
                <w:color w:val="auto"/>
              </w:rPr>
            </w:pPr>
          </w:p>
        </w:tc>
        <w:tc>
          <w:tcPr>
            <w:tcW w:w="198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341"/>
        </w:trPr>
        <w:tc>
          <w:tcPr>
            <w:tcW w:w="1880" w:type="dxa"/>
            <w:vAlign w:val="bottom"/>
          </w:tcPr>
          <w:p>
            <w:pPr>
              <w:spacing w:after="0"/>
              <w:rPr>
                <w:sz w:val="24"/>
                <w:szCs w:val="24"/>
                <w:color w:val="auto"/>
              </w:rPr>
            </w:pPr>
          </w:p>
        </w:tc>
        <w:tc>
          <w:tcPr>
            <w:tcW w:w="6680" w:type="dxa"/>
            <w:vAlign w:val="bottom"/>
            <w:gridSpan w:val="4"/>
          </w:tcPr>
          <w:p>
            <w:pPr>
              <w:ind w:left="2500"/>
              <w:spacing w:after="0"/>
              <w:rPr>
                <w:sz w:val="20"/>
                <w:szCs w:val="20"/>
                <w:color w:val="auto"/>
              </w:rPr>
            </w:pPr>
            <w:r>
              <w:rPr>
                <w:rFonts w:ascii="Arial" w:cs="Arial" w:eastAsia="Arial" w:hAnsi="Arial"/>
                <w:sz w:val="22"/>
                <w:szCs w:val="22"/>
                <w:i w:val="1"/>
                <w:iCs w:val="1"/>
                <w:color w:val="auto"/>
              </w:rPr>
              <w:t>Joint Book-Running Managers</w:t>
            </w:r>
          </w:p>
        </w:tc>
        <w:tc>
          <w:tcPr>
            <w:tcW w:w="2860" w:type="dxa"/>
            <w:vAlign w:val="bottom"/>
          </w:tcPr>
          <w:p>
            <w:pPr>
              <w:spacing w:after="0"/>
              <w:rPr>
                <w:sz w:val="24"/>
                <w:szCs w:val="24"/>
                <w:color w:val="auto"/>
              </w:rPr>
            </w:pPr>
          </w:p>
        </w:tc>
      </w:tr>
      <w:tr>
        <w:trPr>
          <w:trHeight w:val="437"/>
        </w:trPr>
        <w:tc>
          <w:tcPr>
            <w:tcW w:w="188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680" w:type="dxa"/>
            <w:vAlign w:val="bottom"/>
            <w:gridSpan w:val="4"/>
          </w:tcPr>
          <w:p>
            <w:pPr>
              <w:ind w:left="2860"/>
              <w:spacing w:after="0"/>
              <w:rPr>
                <w:sz w:val="20"/>
                <w:szCs w:val="20"/>
                <w:color w:val="auto"/>
              </w:rPr>
            </w:pPr>
            <w:r>
              <w:rPr>
                <w:rFonts w:ascii="Arial" w:cs="Arial" w:eastAsia="Arial" w:hAnsi="Arial"/>
                <w:sz w:val="32"/>
                <w:szCs w:val="32"/>
                <w:b w:val="1"/>
                <w:bCs w:val="1"/>
                <w:color w:val="auto"/>
              </w:rPr>
              <w:t>Morgan Stanley</w:t>
            </w:r>
          </w:p>
        </w:tc>
        <w:tc>
          <w:tcPr>
            <w:tcW w:w="286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473"/>
        </w:trPr>
        <w:tc>
          <w:tcPr>
            <w:tcW w:w="188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3740" w:type="dxa"/>
            <w:vAlign w:val="bottom"/>
            <w:gridSpan w:val="2"/>
          </w:tcPr>
          <w:p>
            <w:pPr>
              <w:ind w:left="520"/>
              <w:spacing w:after="0"/>
              <w:rPr>
                <w:sz w:val="20"/>
                <w:szCs w:val="20"/>
                <w:color w:val="auto"/>
              </w:rPr>
            </w:pPr>
            <w:r>
              <w:rPr>
                <w:rFonts w:ascii="Arial" w:cs="Arial" w:eastAsia="Arial" w:hAnsi="Arial"/>
                <w:sz w:val="32"/>
                <w:szCs w:val="32"/>
                <w:b w:val="1"/>
                <w:bCs w:val="1"/>
                <w:color w:val="auto"/>
              </w:rPr>
              <w:t>BofA Merrill Lynch</w:t>
            </w:r>
          </w:p>
        </w:tc>
        <w:tc>
          <w:tcPr>
            <w:tcW w:w="2940" w:type="dxa"/>
            <w:vAlign w:val="bottom"/>
            <w:gridSpan w:val="2"/>
          </w:tcPr>
          <w:p>
            <w:pPr>
              <w:ind w:left="460"/>
              <w:spacing w:after="0"/>
              <w:rPr>
                <w:sz w:val="20"/>
                <w:szCs w:val="20"/>
                <w:color w:val="auto"/>
              </w:rPr>
            </w:pPr>
            <w:r>
              <w:rPr>
                <w:rFonts w:ascii="Arial" w:cs="Arial" w:eastAsia="Arial" w:hAnsi="Arial"/>
                <w:sz w:val="32"/>
                <w:szCs w:val="32"/>
                <w:b w:val="1"/>
                <w:bCs w:val="1"/>
                <w:color w:val="auto"/>
              </w:rPr>
              <w:t>J.P. Morgan</w:t>
            </w:r>
          </w:p>
        </w:tc>
        <w:tc>
          <w:tcPr>
            <w:tcW w:w="286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r>
    </w:tbl>
    <w:p>
      <w:pPr>
        <w:spacing w:after="0" w:line="125" w:lineRule="exact"/>
        <w:rPr>
          <w:sz w:val="24"/>
          <w:szCs w:val="24"/>
          <w:color w:val="auto"/>
        </w:rPr>
      </w:pPr>
    </w:p>
    <w:p>
      <w:pPr>
        <w:sectPr>
          <w:pgSz w:w="11900" w:h="16838" w:orient="portrait"/>
          <w:cols w:equalWidth="0" w:num="1">
            <w:col w:w="11420"/>
          </w:cols>
          <w:pgMar w:left="240" w:top="230" w:right="239" w:bottom="1440" w:gutter="0" w:footer="0" w:header="0"/>
        </w:sectPr>
      </w:pPr>
    </w:p>
    <w:p>
      <w:pPr>
        <w:jc w:val="center"/>
        <w:spacing w:after="0"/>
        <w:tabs>
          <w:tab w:leader="none" w:pos="180" w:val="left"/>
        </w:tabs>
        <w:rPr>
          <w:sz w:val="20"/>
          <w:szCs w:val="20"/>
          <w:color w:val="auto"/>
        </w:rPr>
      </w:pPr>
      <w:r>
        <w:rPr>
          <w:rFonts w:ascii="Arial" w:cs="Arial" w:eastAsia="Arial" w:hAnsi="Arial"/>
          <w:sz w:val="18"/>
          <w:szCs w:val="18"/>
          <w:color w:val="auto"/>
        </w:rPr>
        <w:t>April</w:t>
        <w:tab/>
        <w:t>,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38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60" w:type="dxa"/>
            <w:vAlign w:val="bottom"/>
            <w:vMerge w:val="restart"/>
          </w:tcPr>
          <w:p>
            <w:pPr>
              <w:jc w:val="right"/>
              <w:ind w:right="4612"/>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4"/>
        </w:trPr>
        <w:tc>
          <w:tcPr>
            <w:tcW w:w="3360" w:type="dxa"/>
            <w:vAlign w:val="bottom"/>
            <w:gridSpan w:val="18"/>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Notice Regarding Forward-Looking Statements</w:t>
              </w:r>
            </w:hyperlink>
          </w:p>
        </w:tc>
        <w:tc>
          <w:tcPr>
            <w:tcW w:w="620" w:type="dxa"/>
            <w:vAlign w:val="bottom"/>
            <w:gridSpan w:val="2"/>
            <w:vMerge w:val="restart"/>
          </w:tcPr>
          <w:p>
            <w:pPr>
              <w:spacing w:after="0"/>
              <w:rPr>
                <w:sz w:val="16"/>
                <w:szCs w:val="16"/>
                <w:color w:val="auto"/>
              </w:rPr>
            </w:pPr>
          </w:p>
        </w:tc>
        <w:tc>
          <w:tcPr>
            <w:tcW w:w="6960" w:type="dxa"/>
            <w:vAlign w:val="bottom"/>
            <w:vMerge w:val="continue"/>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91"/>
        </w:trPr>
        <w:tc>
          <w:tcPr>
            <w:tcW w:w="3360" w:type="dxa"/>
            <w:vAlign w:val="bottom"/>
            <w:tcBorders>
              <w:bottom w:val="single" w:sz="8" w:color="0000EE"/>
            </w:tcBorders>
            <w:gridSpan w:val="18"/>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69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1540" w:type="dxa"/>
            <w:vAlign w:val="bottom"/>
            <w:gridSpan w:val="5"/>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280" w:type="dxa"/>
            <w:vAlign w:val="bottom"/>
            <w:gridSpan w:val="18"/>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3080" w:type="dxa"/>
            <w:vAlign w:val="bottom"/>
            <w:gridSpan w:val="17"/>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40" w:type="dxa"/>
            <w:vAlign w:val="bottom"/>
            <w:gridSpan w:val="14"/>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Material U.S. Federal Income Tax Consequences</w:t>
              </w:r>
            </w:hyperlink>
          </w:p>
        </w:tc>
        <w:tc>
          <w:tcPr>
            <w:tcW w:w="5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020" w:type="dxa"/>
            <w:vAlign w:val="bottom"/>
            <w:gridSpan w:val="16"/>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Validity of Securities</w:t>
              </w:r>
            </w:hyperlink>
          </w:p>
        </w:tc>
        <w:tc>
          <w:tcPr>
            <w:tcW w:w="2480" w:type="dxa"/>
            <w:vAlign w:val="bottom"/>
            <w:gridSpan w:val="10"/>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69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80" w:type="dxa"/>
            <w:vAlign w:val="bottom"/>
            <w:gridSpan w:val="2"/>
          </w:tcPr>
          <w:p>
            <w:pPr>
              <w:jc w:val="right"/>
              <w:ind w:right="54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286"/>
        </w:trPr>
        <w:tc>
          <w:tcPr>
            <w:tcW w:w="398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The Company</w:t>
              </w:r>
            </w:hyperlink>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Notice Regarding Forward-Looking Statements</w:t>
              </w:r>
            </w:hyperlink>
          </w:p>
        </w:tc>
        <w:tc>
          <w:tcPr>
            <w:tcW w:w="620" w:type="dxa"/>
            <w:vAlign w:val="bottom"/>
            <w:gridSpan w:val="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Ratios of Earnings to Fixed Charges</w:t>
              </w:r>
            </w:hyperlink>
          </w:p>
        </w:tc>
        <w:tc>
          <w:tcPr>
            <w:tcW w:w="1420" w:type="dxa"/>
            <w:vAlign w:val="bottom"/>
            <w:gridSpan w:val="4"/>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1960" w:type="dxa"/>
            <w:vAlign w:val="bottom"/>
            <w:gridSpan w:val="7"/>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Debt Securities</w:t>
              </w:r>
            </w:hyperlink>
          </w:p>
        </w:tc>
        <w:tc>
          <w:tcPr>
            <w:tcW w:w="1840" w:type="dxa"/>
            <w:vAlign w:val="bottom"/>
            <w:gridSpan w:val="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260" w:type="dxa"/>
            <w:vAlign w:val="bottom"/>
            <w:gridSpan w:val="8"/>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2540" w:type="dxa"/>
            <w:vAlign w:val="bottom"/>
            <w:gridSpan w:val="11"/>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Validity of Securities</w:t>
              </w:r>
            </w:hyperlink>
          </w:p>
        </w:tc>
        <w:tc>
          <w:tcPr>
            <w:tcW w:w="2480" w:type="dxa"/>
            <w:vAlign w:val="bottom"/>
            <w:gridSpan w:val="10"/>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8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37"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or disruptions of our information technology systems or those of our customers or suppliers;</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660" w:right="80" w:hanging="206"/>
        <w:spacing w:after="0" w:line="32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increases in tariff rates and the ability to realize deferred tax assets;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03"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enforce a strong intellectual property portfolio and maintain freedom of operation; or our exposure to infringement claims;</w:t>
      </w:r>
    </w:p>
    <w:p>
      <w:pPr>
        <w:spacing w:after="0" w:line="126"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Texas Instruments Incorporated</w:t>
      </w:r>
    </w:p>
    <w:p>
      <w:pPr>
        <w:spacing w:after="0" w:line="83" w:lineRule="exact"/>
        <w:rPr>
          <w:sz w:val="20"/>
          <w:szCs w:val="20"/>
          <w:color w:val="auto"/>
        </w:rPr>
      </w:pPr>
    </w:p>
    <w:p>
      <w:pPr>
        <w:ind w:left="200" w:right="140" w:firstLine="443"/>
        <w:spacing w:after="0" w:line="33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On April 25, 2017, we announced our results of operations as of and for the three months ended March 31, 2017. A summary of these results is as follows: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1Q17 Results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1"/>
              </w:rPr>
              <w:t>1Q17</w:t>
            </w: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1Q16(1)</w:t>
            </w:r>
          </w:p>
        </w:tc>
        <w:tc>
          <w:tcPr>
            <w:tcW w:w="7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3,008</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984(2)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40" w:lineRule="exact"/>
        <w:rPr>
          <w:sz w:val="20"/>
          <w:szCs w:val="20"/>
          <w:color w:val="auto"/>
        </w:rPr>
      </w:pPr>
    </w:p>
    <w:p>
      <w:pPr>
        <w:ind w:left="620" w:right="600" w:hanging="423"/>
        <w:spacing w:after="0" w:line="25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amounts in the prior period have been adjusted to reflect the fourth quarter 2016 early adoption of ASU 2016-09 related to stock-based compensation.</w:t>
      </w:r>
    </w:p>
    <w:p>
      <w:pPr>
        <w:ind w:left="620" w:right="320" w:hanging="423"/>
        <w:spacing w:after="0" w:line="261"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has been adjusted to reflect our first quarter 2017 early adoption of ASU 2017-07 related to the reclassification of certain pension and other retiree benefit costs to Other income (expense),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1Q17 Additional Financial Information</w:t>
      </w:r>
    </w:p>
    <w:p>
      <w:pPr>
        <w:spacing w:after="0" w:line="77" w:lineRule="exact"/>
        <w:rPr>
          <w:sz w:val="20"/>
          <w:szCs w:val="20"/>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Analog revenue grew 20% and Embedded Processing revenue grew 10% from the same quarter a year ago.</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and short-term investments were $3.0 billion at the end of the quarter, about 80 percent of which was owned by our U.S. entities.</w:t>
      </w:r>
    </w:p>
    <w:p>
      <w:pPr>
        <w:spacing w:after="0" w:line="126" w:lineRule="exact"/>
        <w:rPr>
          <w:rFonts w:ascii="Arial" w:cs="Arial" w:eastAsia="Arial" w:hAnsi="Arial"/>
          <w:sz w:val="16"/>
          <w:szCs w:val="16"/>
          <w:color w:val="auto"/>
        </w:rPr>
      </w:pPr>
    </w:p>
    <w:p>
      <w:pPr>
        <w:ind w:left="840" w:right="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flows from operating activities in the first quarter were $795 million. For the trailing twelve months, cash flows from operating activities were $4.8 billion, as compared with $4.3 billion in the year-ago trailing twelve-month period.</w:t>
      </w:r>
    </w:p>
    <w:p>
      <w:pPr>
        <w:spacing w:after="0" w:line="37" w:lineRule="exact"/>
        <w:rPr>
          <w:rFonts w:ascii="Arial" w:cs="Arial" w:eastAsia="Arial" w:hAnsi="Arial"/>
          <w:sz w:val="18"/>
          <w:szCs w:val="18"/>
          <w:color w:val="auto"/>
        </w:rPr>
      </w:pPr>
    </w:p>
    <w:p>
      <w:pPr>
        <w:ind w:left="840" w:right="30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in the first quarter was $668 million. For the trailing twelve months, free cash flow was $4.2 billion, or 31 percent of revenue, as compared with $3.8 billion, or 30 percent of revenue, in the year-ago trailing twelve-month period.</w:t>
      </w:r>
    </w:p>
    <w:p>
      <w:pPr>
        <w:spacing w:after="0" w:line="37" w:lineRule="exact"/>
        <w:rPr>
          <w:rFonts w:ascii="Arial" w:cs="Arial" w:eastAsia="Arial" w:hAnsi="Arial"/>
          <w:sz w:val="18"/>
          <w:szCs w:val="18"/>
          <w:color w:val="auto"/>
        </w:rPr>
      </w:pPr>
    </w:p>
    <w:p>
      <w:pPr>
        <w:ind w:left="840" w:right="2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returned $1.1 billion in the first quarter to shareholders through stock repurchases and dividends. For the trailing twelve months, the return to shareholders totaled $3.8 billion.</w:t>
      </w:r>
    </w:p>
    <w:p>
      <w:pPr>
        <w:spacing w:after="0" w:line="118"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40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1Q17 Segment Results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24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1Q17</w:t>
            </w:r>
          </w:p>
        </w:tc>
        <w:tc>
          <w:tcPr>
            <w:tcW w:w="100" w:type="dxa"/>
            <w:vAlign w:val="bottom"/>
          </w:tcPr>
          <w:p>
            <w:pPr>
              <w:spacing w:after="0"/>
              <w:rPr>
                <w:sz w:val="14"/>
                <w:szCs w:val="14"/>
                <w:color w:val="auto"/>
              </w:rPr>
            </w:pPr>
          </w:p>
        </w:tc>
        <w:tc>
          <w:tcPr>
            <w:tcW w:w="11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1"/>
              </w:rPr>
              <w:t>1Q16</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2,256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w w:val="84"/>
              </w:rPr>
              <w:t>1,879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688(1)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187(1)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400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140" w:lineRule="exact"/>
        <w:rPr>
          <w:sz w:val="20"/>
          <w:szCs w:val="20"/>
          <w:color w:val="auto"/>
        </w:rPr>
      </w:pPr>
    </w:p>
    <w:p>
      <w:pPr>
        <w:ind w:left="620" w:right="40" w:hanging="423"/>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have been adjusted to reflect our first quarter 2017 early adoption of ASU 2017-07 related to the reclassification of certain pension and other retiree benefit costs to Other income (expense), net.</w:t>
      </w:r>
    </w:p>
    <w:p>
      <w:pPr>
        <w:spacing w:after="0" w:line="38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2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83"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Issuer</w:t>
            </w:r>
          </w:p>
        </w:tc>
        <w:tc>
          <w:tcPr>
            <w:tcW w:w="4040" w:type="dxa"/>
            <w:vAlign w:val="bottom"/>
            <w:gridSpan w:val="3"/>
          </w:tcPr>
          <w:p>
            <w:pPr>
              <w:ind w:left="1280"/>
              <w:spacing w:after="0"/>
              <w:rPr>
                <w:sz w:val="20"/>
                <w:szCs w:val="20"/>
                <w:color w:val="auto"/>
              </w:rPr>
            </w:pPr>
            <w:r>
              <w:rPr>
                <w:rFonts w:ascii="Arial" w:cs="Arial" w:eastAsia="Arial" w:hAnsi="Arial"/>
                <w:sz w:val="18"/>
                <w:szCs w:val="18"/>
                <w:color w:val="auto"/>
              </w:rPr>
              <w:t>Texas Instruments Incorporated.</w:t>
            </w:r>
          </w:p>
        </w:tc>
        <w:tc>
          <w:tcPr>
            <w:tcW w:w="4080" w:type="dxa"/>
            <w:vAlign w:val="bottom"/>
          </w:tcPr>
          <w:p>
            <w:pPr>
              <w:spacing w:after="0"/>
              <w:rPr>
                <w:sz w:val="19"/>
                <w:szCs w:val="19"/>
                <w:color w:val="auto"/>
              </w:rPr>
            </w:pP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Securities Offered</w:t>
            </w:r>
          </w:p>
        </w:tc>
        <w:tc>
          <w:tcPr>
            <w:tcW w:w="1680" w:type="dxa"/>
            <w:vAlign w:val="bottom"/>
          </w:tcPr>
          <w:p>
            <w:pPr>
              <w:ind w:left="1280"/>
              <w:spacing w:after="0"/>
              <w:rPr>
                <w:sz w:val="20"/>
                <w:szCs w:val="20"/>
                <w:color w:val="auto"/>
              </w:rPr>
            </w:pPr>
            <w:r>
              <w:rPr>
                <w:rFonts w:ascii="Arial" w:cs="Arial" w:eastAsia="Arial" w:hAnsi="Arial"/>
                <w:sz w:val="18"/>
                <w:szCs w:val="18"/>
                <w:color w:val="auto"/>
              </w:rPr>
              <w:t>$</w:t>
            </w:r>
          </w:p>
        </w:tc>
        <w:tc>
          <w:tcPr>
            <w:tcW w:w="6440" w:type="dxa"/>
            <w:vAlign w:val="bottom"/>
            <w:gridSpan w:val="3"/>
          </w:tcPr>
          <w:p>
            <w:pPr>
              <w:ind w:left="40"/>
              <w:spacing w:after="0"/>
              <w:rPr>
                <w:sz w:val="20"/>
                <w:szCs w:val="20"/>
                <w:color w:val="auto"/>
              </w:rPr>
            </w:pPr>
            <w:r>
              <w:rPr>
                <w:rFonts w:ascii="Arial" w:cs="Arial" w:eastAsia="Arial" w:hAnsi="Arial"/>
                <w:sz w:val="18"/>
                <w:szCs w:val="18"/>
                <w:color w:val="auto"/>
              </w:rPr>
              <w:t>aggregate principal amount of 2.750% Notes due 2021 (the “2021 Notes”).</w:t>
            </w:r>
          </w:p>
        </w:tc>
      </w:tr>
      <w:tr>
        <w:trPr>
          <w:trHeight w:val="473"/>
        </w:trPr>
        <w:tc>
          <w:tcPr>
            <w:tcW w:w="2920" w:type="dxa"/>
            <w:vAlign w:val="bottom"/>
          </w:tcPr>
          <w:p>
            <w:pPr>
              <w:spacing w:after="0"/>
              <w:rPr>
                <w:sz w:val="24"/>
                <w:szCs w:val="24"/>
                <w:color w:val="auto"/>
              </w:rPr>
            </w:pPr>
          </w:p>
        </w:tc>
        <w:tc>
          <w:tcPr>
            <w:tcW w:w="1680" w:type="dxa"/>
            <w:vAlign w:val="bottom"/>
          </w:tcPr>
          <w:p>
            <w:pPr>
              <w:ind w:left="1280"/>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40"/>
              <w:spacing w:after="0"/>
              <w:rPr>
                <w:sz w:val="20"/>
                <w:szCs w:val="20"/>
                <w:color w:val="auto"/>
              </w:rPr>
            </w:pPr>
            <w:r>
              <w:rPr>
                <w:rFonts w:ascii="Arial" w:cs="Arial" w:eastAsia="Arial" w:hAnsi="Arial"/>
                <w:sz w:val="18"/>
                <w:szCs w:val="18"/>
                <w:color w:val="auto"/>
                <w:w w:val="96"/>
              </w:rPr>
              <w:t>aggregate principal amount of</w:t>
            </w:r>
          </w:p>
        </w:tc>
        <w:tc>
          <w:tcPr>
            <w:tcW w:w="4080" w:type="dxa"/>
            <w:vAlign w:val="bottom"/>
          </w:tcPr>
          <w:p>
            <w:pPr>
              <w:spacing w:after="0"/>
              <w:rPr>
                <w:sz w:val="20"/>
                <w:szCs w:val="20"/>
                <w:color w:val="auto"/>
              </w:rPr>
            </w:pPr>
            <w:r>
              <w:rPr>
                <w:rFonts w:ascii="Arial" w:cs="Arial" w:eastAsia="Arial" w:hAnsi="Arial"/>
                <w:sz w:val="18"/>
                <w:szCs w:val="18"/>
                <w:color w:val="auto"/>
              </w:rPr>
              <w:t>% Notes due 2024 (the “2024 Notes”).</w:t>
            </w:r>
          </w:p>
        </w:tc>
      </w:tr>
      <w:tr>
        <w:trPr>
          <w:trHeight w:val="453"/>
        </w:trPr>
        <w:tc>
          <w:tcPr>
            <w:tcW w:w="2920" w:type="dxa"/>
            <w:vAlign w:val="bottom"/>
          </w:tcPr>
          <w:p>
            <w:pPr>
              <w:spacing w:after="0"/>
              <w:rPr>
                <w:sz w:val="24"/>
                <w:szCs w:val="24"/>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90"/>
              </w:rPr>
              <w:t>The 2021 Notes will be a further issuance of and will form a single series with, the $250 million</w:t>
            </w:r>
          </w:p>
        </w:tc>
      </w:tr>
      <w:tr>
        <w:trPr>
          <w:trHeight w:val="216"/>
        </w:trPr>
        <w:tc>
          <w:tcPr>
            <w:tcW w:w="2920" w:type="dxa"/>
            <w:vAlign w:val="bottom"/>
          </w:tcPr>
          <w:p>
            <w:pPr>
              <w:spacing w:after="0"/>
              <w:rPr>
                <w:sz w:val="18"/>
                <w:szCs w:val="18"/>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89"/>
              </w:rPr>
              <w:t>aggregate principal amount of 2.750% Notes due 2021 issued on March 12, 2014 (the “Existing</w:t>
            </w:r>
          </w:p>
        </w:tc>
      </w:tr>
      <w:tr>
        <w:trPr>
          <w:trHeight w:val="216"/>
        </w:trPr>
        <w:tc>
          <w:tcPr>
            <w:tcW w:w="2920" w:type="dxa"/>
            <w:vAlign w:val="bottom"/>
          </w:tcPr>
          <w:p>
            <w:pPr>
              <w:spacing w:after="0"/>
              <w:rPr>
                <w:sz w:val="18"/>
                <w:szCs w:val="18"/>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90"/>
              </w:rPr>
              <w:t>2021 Notes”). The 2021 Notes offered hereby will have the same terms (other than issue date,</w:t>
            </w:r>
          </w:p>
        </w:tc>
      </w:tr>
      <w:tr>
        <w:trPr>
          <w:trHeight w:val="216"/>
        </w:trPr>
        <w:tc>
          <w:tcPr>
            <w:tcW w:w="2920" w:type="dxa"/>
            <w:vAlign w:val="bottom"/>
          </w:tcPr>
          <w:p>
            <w:pPr>
              <w:spacing w:after="0"/>
              <w:rPr>
                <w:sz w:val="18"/>
                <w:szCs w:val="18"/>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89"/>
              </w:rPr>
              <w:t>price to public and initial interest payment date) and will vote together as a single class, with the</w:t>
            </w:r>
          </w:p>
        </w:tc>
      </w:tr>
      <w:tr>
        <w:trPr>
          <w:trHeight w:val="222"/>
        </w:trPr>
        <w:tc>
          <w:tcPr>
            <w:tcW w:w="2920" w:type="dxa"/>
            <w:vAlign w:val="bottom"/>
          </w:tcPr>
          <w:p>
            <w:pPr>
              <w:spacing w:after="0"/>
              <w:rPr>
                <w:sz w:val="19"/>
                <w:szCs w:val="19"/>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rPr>
              <w:t>same CUSIP number as, and be fungible with, the Existing 2021 Notes.</w:t>
            </w:r>
          </w:p>
        </w:tc>
      </w:tr>
      <w:tr>
        <w:trPr>
          <w:trHeight w:val="365"/>
        </w:trPr>
        <w:tc>
          <w:tcPr>
            <w:tcW w:w="2920" w:type="dxa"/>
            <w:vAlign w:val="bottom"/>
          </w:tcPr>
          <w:p>
            <w:pPr>
              <w:spacing w:after="0"/>
              <w:rPr>
                <w:sz w:val="20"/>
                <w:szCs w:val="20"/>
                <w:color w:val="auto"/>
              </w:rPr>
            </w:pPr>
            <w:r>
              <w:rPr>
                <w:rFonts w:ascii="Arial" w:cs="Arial" w:eastAsia="Arial" w:hAnsi="Arial"/>
                <w:sz w:val="18"/>
                <w:szCs w:val="18"/>
                <w:color w:val="auto"/>
              </w:rPr>
              <w:t>Maturity Date</w:t>
            </w:r>
          </w:p>
        </w:tc>
        <w:tc>
          <w:tcPr>
            <w:tcW w:w="4040" w:type="dxa"/>
            <w:vAlign w:val="bottom"/>
            <w:gridSpan w:val="3"/>
          </w:tcPr>
          <w:p>
            <w:pPr>
              <w:ind w:left="1280"/>
              <w:spacing w:after="0"/>
              <w:rPr>
                <w:sz w:val="20"/>
                <w:szCs w:val="20"/>
                <w:color w:val="auto"/>
              </w:rPr>
            </w:pPr>
            <w:r>
              <w:rPr>
                <w:rFonts w:ascii="Arial" w:cs="Arial" w:eastAsia="Arial" w:hAnsi="Arial"/>
                <w:sz w:val="18"/>
                <w:szCs w:val="18"/>
                <w:color w:val="auto"/>
                <w:w w:val="96"/>
              </w:rPr>
              <w:t>March 12, 2021 for the 2021 Notes.</w:t>
            </w:r>
          </w:p>
        </w:tc>
        <w:tc>
          <w:tcPr>
            <w:tcW w:w="4080" w:type="dxa"/>
            <w:vAlign w:val="bottom"/>
          </w:tcPr>
          <w:p>
            <w:pPr>
              <w:spacing w:after="0"/>
              <w:rPr>
                <w:sz w:val="24"/>
                <w:szCs w:val="24"/>
                <w:color w:val="auto"/>
              </w:rPr>
            </w:pPr>
          </w:p>
        </w:tc>
      </w:tr>
      <w:tr>
        <w:trPr>
          <w:trHeight w:val="473"/>
        </w:trPr>
        <w:tc>
          <w:tcPr>
            <w:tcW w:w="2920" w:type="dxa"/>
            <w:vAlign w:val="bottom"/>
          </w:tcPr>
          <w:p>
            <w:pPr>
              <w:spacing w:after="0"/>
              <w:rPr>
                <w:sz w:val="24"/>
                <w:szCs w:val="24"/>
                <w:color w:val="auto"/>
              </w:rPr>
            </w:pPr>
          </w:p>
        </w:tc>
        <w:tc>
          <w:tcPr>
            <w:tcW w:w="1680" w:type="dxa"/>
            <w:vAlign w:val="bottom"/>
          </w:tcPr>
          <w:p>
            <w:pPr>
              <w:ind w:left="1280"/>
              <w:spacing w:after="0"/>
              <w:rPr>
                <w:sz w:val="20"/>
                <w:szCs w:val="20"/>
                <w:color w:val="auto"/>
              </w:rPr>
            </w:pPr>
            <w:r>
              <w:rPr>
                <w:rFonts w:ascii="Arial" w:cs="Arial" w:eastAsia="Arial" w:hAnsi="Arial"/>
                <w:sz w:val="18"/>
                <w:szCs w:val="18"/>
                <w:color w:val="auto"/>
              </w:rPr>
              <w:t>May</w:t>
            </w: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 2024 for the 2024 Notes.</w:t>
            </w:r>
          </w:p>
        </w:tc>
        <w:tc>
          <w:tcPr>
            <w:tcW w:w="4080" w:type="dxa"/>
            <w:vAlign w:val="bottom"/>
          </w:tcPr>
          <w:p>
            <w:pPr>
              <w:spacing w:after="0"/>
              <w:rPr>
                <w:sz w:val="24"/>
                <w:szCs w:val="24"/>
                <w:color w:val="auto"/>
              </w:rPr>
            </w:pPr>
          </w:p>
        </w:tc>
      </w:tr>
      <w:tr>
        <w:trPr>
          <w:trHeight w:val="365"/>
        </w:trPr>
        <w:tc>
          <w:tcPr>
            <w:tcW w:w="2920" w:type="dxa"/>
            <w:vAlign w:val="bottom"/>
          </w:tcPr>
          <w:p>
            <w:pPr>
              <w:spacing w:after="0"/>
              <w:rPr>
                <w:sz w:val="20"/>
                <w:szCs w:val="20"/>
                <w:color w:val="auto"/>
              </w:rPr>
            </w:pPr>
            <w:r>
              <w:rPr>
                <w:rFonts w:ascii="Arial" w:cs="Arial" w:eastAsia="Arial" w:hAnsi="Arial"/>
                <w:sz w:val="18"/>
                <w:szCs w:val="18"/>
                <w:color w:val="auto"/>
              </w:rPr>
              <w:t>Issue Date</w:t>
            </w:r>
          </w:p>
        </w:tc>
        <w:tc>
          <w:tcPr>
            <w:tcW w:w="1680" w:type="dxa"/>
            <w:vAlign w:val="bottom"/>
          </w:tcPr>
          <w:p>
            <w:pPr>
              <w:ind w:left="1280"/>
              <w:spacing w:after="0"/>
              <w:rPr>
                <w:sz w:val="20"/>
                <w:szCs w:val="20"/>
                <w:color w:val="auto"/>
              </w:rPr>
            </w:pPr>
            <w:r>
              <w:rPr>
                <w:rFonts w:ascii="Arial" w:cs="Arial" w:eastAsia="Arial" w:hAnsi="Arial"/>
                <w:sz w:val="18"/>
                <w:szCs w:val="18"/>
                <w:color w:val="auto"/>
              </w:rPr>
              <w:t>May</w:t>
            </w:r>
          </w:p>
        </w:tc>
        <w:tc>
          <w:tcPr>
            <w:tcW w:w="1120" w:type="dxa"/>
            <w:vAlign w:val="bottom"/>
          </w:tcPr>
          <w:p>
            <w:pPr>
              <w:ind w:left="140"/>
              <w:spacing w:after="0"/>
              <w:rPr>
                <w:sz w:val="20"/>
                <w:szCs w:val="20"/>
                <w:color w:val="auto"/>
              </w:rPr>
            </w:pPr>
            <w:r>
              <w:rPr>
                <w:rFonts w:ascii="Arial" w:cs="Arial" w:eastAsia="Arial" w:hAnsi="Arial"/>
                <w:sz w:val="18"/>
                <w:szCs w:val="18"/>
                <w:color w:val="auto"/>
              </w:rPr>
              <w:t>, 2017.</w:t>
            </w:r>
          </w:p>
        </w:tc>
        <w:tc>
          <w:tcPr>
            <w:tcW w:w="12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Arial" w:cs="Arial" w:eastAsia="Arial" w:hAnsi="Arial"/>
                <w:sz w:val="18"/>
                <w:szCs w:val="18"/>
                <w:color w:val="auto"/>
              </w:rPr>
              <w:t>Interest Rate</w:t>
            </w: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rPr>
              <w:t>Fixed rate of 2.750% for the 2021 Notes.</w:t>
            </w:r>
          </w:p>
        </w:tc>
      </w:tr>
      <w:tr>
        <w:trPr>
          <w:trHeight w:val="473"/>
        </w:trPr>
        <w:tc>
          <w:tcPr>
            <w:tcW w:w="2920" w:type="dxa"/>
            <w:vAlign w:val="bottom"/>
          </w:tcPr>
          <w:p>
            <w:pPr>
              <w:spacing w:after="0"/>
              <w:rPr>
                <w:sz w:val="24"/>
                <w:szCs w:val="24"/>
                <w:color w:val="auto"/>
              </w:rPr>
            </w:pPr>
          </w:p>
        </w:tc>
        <w:tc>
          <w:tcPr>
            <w:tcW w:w="4040" w:type="dxa"/>
            <w:vAlign w:val="bottom"/>
            <w:gridSpan w:val="3"/>
          </w:tcPr>
          <w:p>
            <w:pPr>
              <w:ind w:left="1280"/>
              <w:spacing w:after="0"/>
              <w:rPr>
                <w:sz w:val="20"/>
                <w:szCs w:val="20"/>
                <w:color w:val="auto"/>
              </w:rPr>
            </w:pPr>
            <w:r>
              <w:rPr>
                <w:rFonts w:ascii="Arial" w:cs="Arial" w:eastAsia="Arial" w:hAnsi="Arial"/>
                <w:sz w:val="18"/>
                <w:szCs w:val="18"/>
                <w:color w:val="auto"/>
                <w:w w:val="94"/>
              </w:rPr>
              <w:t>Fixed rate of   % for the 2024 Notes.</w:t>
            </w:r>
          </w:p>
        </w:tc>
        <w:tc>
          <w:tcPr>
            <w:tcW w:w="4080" w:type="dxa"/>
            <w:vAlign w:val="bottom"/>
          </w:tcPr>
          <w:p>
            <w:pPr>
              <w:spacing w:after="0"/>
              <w:rPr>
                <w:sz w:val="24"/>
                <w:szCs w:val="24"/>
                <w:color w:val="auto"/>
              </w:rPr>
            </w:pPr>
          </w:p>
        </w:tc>
      </w:tr>
      <w:tr>
        <w:trPr>
          <w:trHeight w:val="358"/>
        </w:trPr>
        <w:tc>
          <w:tcPr>
            <w:tcW w:w="29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87"/>
              </w:rPr>
              <w:t>Each March 12 and September 12 beginning on September 12, 2017, and on the maturity date for</w:t>
            </w:r>
          </w:p>
        </w:tc>
      </w:tr>
      <w:tr>
        <w:trPr>
          <w:trHeight w:val="222"/>
        </w:trPr>
        <w:tc>
          <w:tcPr>
            <w:tcW w:w="2920" w:type="dxa"/>
            <w:vAlign w:val="bottom"/>
          </w:tcPr>
          <w:p>
            <w:pPr>
              <w:spacing w:after="0"/>
              <w:rPr>
                <w:sz w:val="19"/>
                <w:szCs w:val="19"/>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93"/>
              </w:rPr>
              <w:t>the 2021 Notes. Interest on the 2021 Notes offered hereby will accrue from March 12, 2017.</w:t>
            </w:r>
          </w:p>
        </w:tc>
      </w:tr>
      <w:tr>
        <w:trPr>
          <w:trHeight w:val="358"/>
        </w:trPr>
        <w:tc>
          <w:tcPr>
            <w:tcW w:w="2920" w:type="dxa"/>
            <w:vAlign w:val="bottom"/>
          </w:tcPr>
          <w:p>
            <w:pPr>
              <w:spacing w:after="0"/>
              <w:rPr>
                <w:sz w:val="24"/>
                <w:szCs w:val="24"/>
                <w:color w:val="auto"/>
              </w:rPr>
            </w:pPr>
          </w:p>
        </w:tc>
        <w:tc>
          <w:tcPr>
            <w:tcW w:w="1680" w:type="dxa"/>
            <w:vAlign w:val="bottom"/>
          </w:tcPr>
          <w:p>
            <w:pPr>
              <w:ind w:left="1280"/>
              <w:spacing w:after="0"/>
              <w:rPr>
                <w:sz w:val="20"/>
                <w:szCs w:val="20"/>
                <w:color w:val="auto"/>
              </w:rPr>
            </w:pPr>
            <w:r>
              <w:rPr>
                <w:rFonts w:ascii="Arial" w:cs="Arial" w:eastAsia="Arial" w:hAnsi="Arial"/>
                <w:sz w:val="18"/>
                <w:szCs w:val="18"/>
                <w:color w:val="auto"/>
                <w:w w:val="92"/>
              </w:rPr>
              <w:t>Each</w:t>
            </w:r>
          </w:p>
        </w:tc>
        <w:tc>
          <w:tcPr>
            <w:tcW w:w="1120" w:type="dxa"/>
            <w:vAlign w:val="bottom"/>
          </w:tcPr>
          <w:p>
            <w:pPr>
              <w:ind w:left="560"/>
              <w:spacing w:after="0"/>
              <w:rPr>
                <w:sz w:val="20"/>
                <w:szCs w:val="20"/>
                <w:color w:val="auto"/>
              </w:rPr>
            </w:pPr>
            <w:r>
              <w:rPr>
                <w:rFonts w:ascii="Arial" w:cs="Arial" w:eastAsia="Arial" w:hAnsi="Arial"/>
                <w:sz w:val="18"/>
                <w:szCs w:val="18"/>
                <w:color w:val="auto"/>
              </w:rPr>
              <w:t>and</w:t>
            </w:r>
          </w:p>
        </w:tc>
        <w:tc>
          <w:tcPr>
            <w:tcW w:w="1240" w:type="dxa"/>
            <w:vAlign w:val="bottom"/>
          </w:tcPr>
          <w:p>
            <w:pPr>
              <w:ind w:left="320"/>
              <w:spacing w:after="0"/>
              <w:rPr>
                <w:sz w:val="20"/>
                <w:szCs w:val="20"/>
                <w:color w:val="auto"/>
              </w:rPr>
            </w:pPr>
            <w:r>
              <w:rPr>
                <w:rFonts w:ascii="Arial" w:cs="Arial" w:eastAsia="Arial" w:hAnsi="Arial"/>
                <w:sz w:val="18"/>
                <w:szCs w:val="18"/>
                <w:color w:val="auto"/>
                <w:w w:val="87"/>
              </w:rPr>
              <w:t>beginning on</w:t>
            </w:r>
          </w:p>
        </w:tc>
        <w:tc>
          <w:tcPr>
            <w:tcW w:w="4080" w:type="dxa"/>
            <w:vAlign w:val="bottom"/>
          </w:tcPr>
          <w:p>
            <w:pPr>
              <w:ind w:left="920"/>
              <w:spacing w:after="0"/>
              <w:rPr>
                <w:sz w:val="20"/>
                <w:szCs w:val="20"/>
                <w:color w:val="auto"/>
              </w:rPr>
            </w:pPr>
            <w:r>
              <w:rPr>
                <w:rFonts w:ascii="Arial" w:cs="Arial" w:eastAsia="Arial" w:hAnsi="Arial"/>
                <w:sz w:val="18"/>
                <w:szCs w:val="18"/>
                <w:color w:val="auto"/>
                <w:w w:val="88"/>
              </w:rPr>
              <w:t>, 2017, and on the maturity date for the 2024</w:t>
            </w:r>
          </w:p>
        </w:tc>
      </w:tr>
      <w:tr>
        <w:trPr>
          <w:trHeight w:val="222"/>
        </w:trPr>
        <w:tc>
          <w:tcPr>
            <w:tcW w:w="2920" w:type="dxa"/>
            <w:vAlign w:val="bottom"/>
          </w:tcPr>
          <w:p>
            <w:pPr>
              <w:spacing w:after="0"/>
              <w:rPr>
                <w:sz w:val="19"/>
                <w:szCs w:val="19"/>
                <w:color w:val="auto"/>
              </w:rPr>
            </w:pPr>
          </w:p>
        </w:tc>
        <w:tc>
          <w:tcPr>
            <w:tcW w:w="2800" w:type="dxa"/>
            <w:vAlign w:val="bottom"/>
            <w:gridSpan w:val="2"/>
          </w:tcPr>
          <w:p>
            <w:pPr>
              <w:ind w:left="1280"/>
              <w:spacing w:after="0"/>
              <w:rPr>
                <w:sz w:val="20"/>
                <w:szCs w:val="20"/>
                <w:color w:val="auto"/>
              </w:rPr>
            </w:pPr>
            <w:r>
              <w:rPr>
                <w:rFonts w:ascii="Arial" w:cs="Arial" w:eastAsia="Arial" w:hAnsi="Arial"/>
                <w:sz w:val="18"/>
                <w:szCs w:val="18"/>
                <w:color w:val="auto"/>
              </w:rPr>
              <w:t>Notes.</w:t>
            </w:r>
          </w:p>
        </w:tc>
        <w:tc>
          <w:tcPr>
            <w:tcW w:w="124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358"/>
        </w:trPr>
        <w:tc>
          <w:tcPr>
            <w:tcW w:w="2920" w:type="dxa"/>
            <w:vAlign w:val="bottom"/>
          </w:tcPr>
          <w:p>
            <w:pPr>
              <w:spacing w:after="0"/>
              <w:rPr>
                <w:sz w:val="20"/>
                <w:szCs w:val="20"/>
                <w:color w:val="auto"/>
              </w:rPr>
            </w:pPr>
            <w:r>
              <w:rPr>
                <w:rFonts w:ascii="Arial" w:cs="Arial" w:eastAsia="Arial" w:hAnsi="Arial"/>
                <w:sz w:val="18"/>
                <w:szCs w:val="18"/>
                <w:color w:val="auto"/>
              </w:rPr>
              <w:t>Ranking</w:t>
            </w: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91"/>
              </w:rPr>
              <w:t>The Notes will be the senior unsecured obligations of Texas Instruments Incorporated and will</w:t>
            </w:r>
          </w:p>
        </w:tc>
      </w:tr>
      <w:tr>
        <w:trPr>
          <w:trHeight w:val="222"/>
        </w:trPr>
        <w:tc>
          <w:tcPr>
            <w:tcW w:w="2920" w:type="dxa"/>
            <w:vAlign w:val="bottom"/>
          </w:tcPr>
          <w:p>
            <w:pPr>
              <w:spacing w:after="0"/>
              <w:rPr>
                <w:sz w:val="19"/>
                <w:szCs w:val="19"/>
                <w:color w:val="auto"/>
              </w:rPr>
            </w:pPr>
          </w:p>
        </w:tc>
        <w:tc>
          <w:tcPr>
            <w:tcW w:w="8120" w:type="dxa"/>
            <w:vAlign w:val="bottom"/>
            <w:gridSpan w:val="4"/>
          </w:tcPr>
          <w:p>
            <w:pPr>
              <w:ind w:left="1280"/>
              <w:spacing w:after="0"/>
              <w:rPr>
                <w:sz w:val="20"/>
                <w:szCs w:val="20"/>
                <w:color w:val="auto"/>
              </w:rPr>
            </w:pPr>
            <w:r>
              <w:rPr>
                <w:rFonts w:ascii="Arial" w:cs="Arial" w:eastAsia="Arial" w:hAnsi="Arial"/>
                <w:sz w:val="18"/>
                <w:szCs w:val="18"/>
                <w:color w:val="auto"/>
                <w:w w:val="90"/>
              </w:rPr>
              <w:t>rank equally with all of its existing and future senior indebtedness from time to time outstanding</w:t>
            </w:r>
          </w:p>
        </w:tc>
      </w:tr>
    </w:tbl>
    <w:p>
      <w:pPr>
        <w:ind w:left="4400" w:right="260"/>
        <w:spacing w:after="0" w:line="261" w:lineRule="auto"/>
        <w:rPr>
          <w:sz w:val="20"/>
          <w:szCs w:val="20"/>
          <w:color w:val="auto"/>
        </w:rPr>
      </w:pPr>
      <w:r>
        <w:rPr>
          <w:rFonts w:ascii="Arial" w:cs="Arial" w:eastAsia="Arial" w:hAnsi="Arial"/>
          <w:sz w:val="18"/>
          <w:szCs w:val="18"/>
          <w:color w:val="auto"/>
        </w:rPr>
        <w:t>(including the Existing 2021 Notes). All existing and future liabilities of subsidiaries of Texas Instruments Incorporated will be effectively senior to the Notes.</w:t>
      </w:r>
    </w:p>
    <w:p>
      <w:pPr>
        <w:spacing w:after="0" w:line="124" w:lineRule="exact"/>
        <w:rPr>
          <w:sz w:val="20"/>
          <w:szCs w:val="20"/>
          <w:color w:val="auto"/>
        </w:rPr>
      </w:pPr>
    </w:p>
    <w:p>
      <w:pPr>
        <w:ind w:left="4400"/>
        <w:spacing w:after="0" w:line="294" w:lineRule="auto"/>
        <w:rPr>
          <w:sz w:val="20"/>
          <w:szCs w:val="20"/>
          <w:color w:val="auto"/>
        </w:rPr>
      </w:pPr>
      <w:r>
        <w:rPr>
          <w:rFonts w:ascii="Arial" w:cs="Arial" w:eastAsia="Arial" w:hAnsi="Arial"/>
          <w:sz w:val="16"/>
          <w:szCs w:val="16"/>
          <w:color w:val="auto"/>
        </w:rPr>
        <w:t>As of December 31, 2016, Texas Instruments Incorporated had approximately $3.6 billion of outstanding indebtedness. As of December 31, 2016, we had approximately $6.0 billion of total liabilities on a consolidated basis. Of this amount, subsidiaries of Texas Instruments Incorporated had approximately $0.8 billion of liabilities (including trade payables and excluding intercompany debt) to which the Notes will be effectively subordinated.</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30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global securities.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We expect to use a portion of the net proceeds of this offering to repay $375 million aggregate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principal amount of notes due June 15, 2017, bearing interest at a fixed rate of 6.600% (assumed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with the acquisition of National Semiconductor Corporation in 2011). We expect to use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remainder of the net proceeds of this offering, if any, for general corporate purposes. See “Use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their affiliates.</w:t>
            </w:r>
          </w:p>
        </w:tc>
      </w:tr>
      <w:tr>
        <w:trPr>
          <w:trHeight w:val="358"/>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89"/>
              </w:rPr>
              <w:t>Texas Instruments Incorporated may create and issue further notes of a series ranking equally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ratably with the applicable series of Notes offered by this prospectus supplement in all respects,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so that such further notes of each series will be consolidated and form a single series with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applicable Notes offered by this prospectus supplement (and, in the case of the 2021 Notes, with</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Existing 2021 Notes).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redemption price indicated under the heading “Description of the Notes—Optional Redemption.”</w:t>
            </w:r>
          </w:p>
        </w:tc>
      </w:tr>
      <w:tr>
        <w:trPr>
          <w:trHeight w:val="358"/>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The 2024 Notes are a new issue of securities with no established trading market. We do not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intend to apply for listing of the Notes on any securities exchange. The underwriters have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advised us that they intend to make a market in the Notes offered hereby, but they are not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obligated to do so and may discontinue market-making at any time without notice. See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“Underwriting” in this prospectus supplement for more information about possible market-</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making by the underwriters.</w:t>
            </w:r>
          </w:p>
        </w:tc>
      </w:tr>
      <w:tr>
        <w:trPr>
          <w:trHeight w:val="365"/>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0"/>
              </w:rPr>
              <w:t>accompanying prospectus and the documents incorporated herein by reference. In particular, you</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1"/>
              </w:rPr>
              <w:t>should evaluate the information set forth under “Notice Regarding Forward-Looking Statements”</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and “Risk Factors” before deciding whether to invest in the Notes.</w:t>
            </w:r>
          </w:p>
        </w:tc>
      </w:tr>
      <w:tr>
        <w:trPr>
          <w:trHeight w:val="161"/>
        </w:trPr>
        <w:tc>
          <w:tcPr>
            <w:tcW w:w="3160" w:type="dxa"/>
            <w:vAlign w:val="bottom"/>
            <w:tcBorders>
              <w:left w:val="single" w:sz="8" w:color="auto"/>
              <w:bottom w:val="single" w:sz="8" w:color="auto"/>
            </w:tcBorders>
          </w:tcPr>
          <w:p>
            <w:pPr>
              <w:spacing w:after="0"/>
              <w:rPr>
                <w:sz w:val="13"/>
                <w:szCs w:val="13"/>
                <w:color w:val="auto"/>
              </w:rPr>
            </w:pPr>
          </w:p>
        </w:tc>
        <w:tc>
          <w:tcPr>
            <w:tcW w:w="8300" w:type="dxa"/>
            <w:vAlign w:val="bottom"/>
            <w:tcBorders>
              <w:bottom w:val="single" w:sz="8" w:color="auto"/>
              <w:right w:val="single" w:sz="8" w:color="auto"/>
            </w:tcBorders>
          </w:tcPr>
          <w:p>
            <w:pPr>
              <w:spacing w:after="0"/>
              <w:rPr>
                <w:sz w:val="13"/>
                <w:szCs w:val="13"/>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4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83" w:lineRule="exact"/>
        <w:rPr>
          <w:sz w:val="20"/>
          <w:szCs w:val="20"/>
          <w:color w:val="auto"/>
        </w:rPr>
      </w:pPr>
    </w:p>
    <w:p>
      <w:pPr>
        <w:ind w:left="200" w:right="300" w:firstLine="443"/>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2016, 2015 and 2014 and as of December 31, 2016 and 2015 has been derived from our audited consolidated financial statements included or incorporated by reference into this prospectus supplement and the accompanying prospectus.</w:t>
      </w:r>
    </w:p>
    <w:p>
      <w:pPr>
        <w:spacing w:after="0" w:line="127"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7"/>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0" w:right="320"/>
        <w:spacing w:after="0" w:line="294" w:lineRule="auto"/>
        <w:rPr>
          <w:sz w:val="20"/>
          <w:szCs w:val="20"/>
          <w:color w:val="auto"/>
        </w:rPr>
      </w:pPr>
      <w:r>
        <w:rPr>
          <w:rFonts w:ascii="Arial" w:cs="Arial" w:eastAsia="Arial" w:hAnsi="Arial"/>
          <w:sz w:val="16"/>
          <w:szCs w:val="16"/>
          <w:color w:val="auto"/>
        </w:rPr>
        <w:t>Upon issuance of our quarterly report on Form 10-Q for the quarter ended March 31, 2017, we will reflect the early adoption of ASU 2017-07 related to the classification of certain pension and other retiree benefit costs. ASU 2017-07 is required to be retrospectively applied to historical financial periods, and we expect to reflect the adoption in our annual report on Form 10-K for the period ended December 31, 2017. In connection with this adoption, we will reclassify certain expenses currently impacting Operating profit to Other income (expense), net in the amounts of $56 million, $48 million and $56 million for the 2016, 2015 and 2014 periods reflected above, respectively. The table below represents these line items on an as adjusted basis: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4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Adjusted)</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2015</w:t>
            </w: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(unaudited)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18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4,855</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180" w:type="dxa"/>
            <w:vAlign w:val="bottom"/>
            <w:gridSpan w:val="2"/>
          </w:tcPr>
          <w:p>
            <w:pPr>
              <w:ind w:left="40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80" w:type="dxa"/>
            <w:vAlign w:val="bottom"/>
            <w:gridSpan w:val="2"/>
          </w:tcPr>
          <w:p>
            <w:pPr>
              <w:ind w:left="1700"/>
              <w:spacing w:after="0"/>
              <w:rPr>
                <w:sz w:val="20"/>
                <w:szCs w:val="20"/>
                <w:color w:val="auto"/>
              </w:rPr>
            </w:pPr>
            <w:r>
              <w:rPr>
                <w:rFonts w:ascii="Arial" w:cs="Arial" w:eastAsia="Arial" w:hAnsi="Arial"/>
                <w:sz w:val="18"/>
                <w:szCs w:val="18"/>
                <w:color w:val="auto"/>
              </w:rPr>
              <w:t>S-5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reclassification will not impact Revenue, Net income, Earnings per common share or Cash flows from operating activities.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46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16,431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16,230</w:t>
            </w:r>
          </w:p>
        </w:tc>
        <w:tc>
          <w:tcPr>
            <w:tcW w:w="0" w:type="dxa"/>
            <w:vAlign w:val="bottom"/>
          </w:tcPr>
          <w:p>
            <w:pPr>
              <w:spacing w:after="0"/>
              <w:rPr>
                <w:sz w:val="1"/>
                <w:szCs w:val="1"/>
                <w:color w:val="auto"/>
              </w:rPr>
            </w:pPr>
          </w:p>
        </w:tc>
      </w:tr>
      <w:tr>
        <w:trPr>
          <w:trHeight w:val="323"/>
        </w:trPr>
        <w:tc>
          <w:tcPr>
            <w:tcW w:w="94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16,431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16,230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83" w:lineRule="exact"/>
        <w:rPr>
          <w:sz w:val="20"/>
          <w:szCs w:val="20"/>
          <w:color w:val="auto"/>
        </w:rPr>
      </w:pPr>
    </w:p>
    <w:p>
      <w:pPr>
        <w:ind w:left="200" w:right="380" w:firstLine="443"/>
        <w:spacing w:after="0" w:line="259"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27"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jc w:val="right"/>
              <w:ind w:right="1100"/>
              <w:spacing w:after="0"/>
              <w:rPr>
                <w:sz w:val="20"/>
                <w:szCs w:val="20"/>
                <w:color w:val="auto"/>
              </w:rPr>
            </w:pPr>
            <w:r>
              <w:rPr>
                <w:rFonts w:ascii="Arial" w:cs="Arial" w:eastAsia="Arial" w:hAnsi="Arial"/>
                <w:sz w:val="14"/>
                <w:szCs w:val="14"/>
                <w:b w:val="1"/>
                <w:bCs w:val="1"/>
                <w:color w:val="auto"/>
                <w:w w:val="95"/>
              </w:rPr>
              <w:t>Twelve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5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(millions of dollars, except percentages)</w:t>
            </w: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2017</w:t>
            </w:r>
          </w:p>
        </w:tc>
        <w:tc>
          <w:tcPr>
            <w:tcW w:w="32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2017</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 (GAAP)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(552)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532"/>
              <w:spacing w:after="0"/>
              <w:rPr>
                <w:sz w:val="20"/>
                <w:szCs w:val="20"/>
                <w:color w:val="auto"/>
              </w:rPr>
            </w:pPr>
            <w:r>
              <w:rPr>
                <w:rFonts w:ascii="Arial" w:cs="Arial" w:eastAsia="Arial" w:hAnsi="Arial"/>
                <w:sz w:val="18"/>
                <w:szCs w:val="18"/>
                <w:color w:val="auto"/>
                <w:w w:val="83"/>
              </w:rPr>
              <w:t>13,764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w w:val="87"/>
              </w:rPr>
              <w:t>12,858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flows from operating activities as a percent of revenue (GAAP)</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0" w:type="dxa"/>
            <w:vAlign w:val="bottom"/>
            <w:tcBorders>
              <w:bottom w:val="single" w:sz="8" w:color="auto"/>
            </w:tcBorders>
          </w:tcPr>
          <w:p>
            <w:pPr>
              <w:spacing w:after="0"/>
              <w:rPr>
                <w:sz w:val="12"/>
                <w:szCs w:val="12"/>
                <w:color w:val="auto"/>
              </w:rPr>
            </w:pPr>
          </w:p>
        </w:tc>
        <w:tc>
          <w:tcPr>
            <w:tcW w:w="5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60" w:type="dxa"/>
            <w:vAlign w:val="bottom"/>
            <w:gridSpan w:val="2"/>
          </w:tcPr>
          <w:p>
            <w:pPr>
              <w:jc w:val="right"/>
              <w:ind w:right="768"/>
              <w:spacing w:after="0"/>
              <w:rPr>
                <w:sz w:val="20"/>
                <w:szCs w:val="20"/>
                <w:color w:val="auto"/>
              </w:rPr>
            </w:pPr>
            <w:r>
              <w:rPr>
                <w:rFonts w:ascii="Arial" w:cs="Arial" w:eastAsia="Arial" w:hAnsi="Arial"/>
                <w:sz w:val="18"/>
                <w:szCs w:val="18"/>
                <w:color w:val="auto"/>
              </w:rPr>
              <w:t>S-6</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0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530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Ratio of Earnings to Fixed Charges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1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56.4×</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43.2×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37.2×</w:t>
            </w:r>
          </w:p>
        </w:tc>
        <w:tc>
          <w:tcPr>
            <w:tcW w:w="60" w:type="dxa"/>
            <w:vAlign w:val="bottom"/>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 active trading market for the 2024 Notes may not develop, and any trading market for the Notes to the extent developed may not be maintained.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is currently no public market for the 2024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2016, we had approximately $6.0 billion of total liabilities on a consolidated basis. Of this amount, subsidiaries of Texas Instruments Incorporated had approximately $0.8 billion of liabilities (including trade payables and excluding intercompany debt) to which the Notes will be effectively subordinated.</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4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2016, Texas Instruments Incorporated would have had approximately $ billion of total long-term indebtedness (including the Notes), all of which would have been unsecured and unsubordinated.</w:t>
      </w:r>
    </w:p>
    <w:p>
      <w:pPr>
        <w:spacing w:after="0" w:line="12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1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anticipate that we will receive net proceeds of approximately $ million from this offering after underwriting discounts and other estimated expenses. We expect to use a portion of the net proceeds of this offering to repay $375 million aggregate principal amount of notes due June 15, 2017, bearing interest at a fixed rate of 6.600% (assumed with the acquisition of National Semiconductor Corporation in 2011). We expect to use the remainder of the net proceeds of this offering, if any, for general corporate purposes. Initially we intend to invest the net proceeds of this offering in certificates of deposit, United States government securities and certain other interest-bearing securities. Certain of the underwriters and/or their affiliates may be holders of our notes due June 15, 2017 and, accordingly, may receive a portion of the net proceeds of this offering in connection with the repayment of those notes. See “Underwriting.”</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2016. Our consolidated capitalization, as adjusted, gives effect to the issuance of the Notes offered by this prospectus supplement and the application of the estimated net proceeds as described in “Use of Proceeds” as if the offering had occurred on December 31, 2016. This table should be read in conjunction with our consolidated financial statements and the related notes incorporated by reference into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42"/>
        </w:trPr>
        <w:tc>
          <w:tcPr>
            <w:tcW w:w="9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w w:val="87"/>
              </w:rPr>
              <w:t>Historical</w:t>
            </w:r>
          </w:p>
        </w:tc>
        <w:tc>
          <w:tcPr>
            <w:tcW w:w="8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As Adjusted(1)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2021 Notes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2024 Notes offered hereby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rPr>
                <w:sz w:val="12"/>
                <w:szCs w:val="12"/>
                <w:color w:val="auto"/>
              </w:rPr>
            </w:pPr>
          </w:p>
        </w:tc>
        <w:tc>
          <w:tcPr>
            <w:tcW w:w="8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debt(2)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88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88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1,674</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33,107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33,107</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common stock at cost (744,831,978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9"/>
              </w:rPr>
              <w:t>(25,523)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(25,523)</w:t>
            </w:r>
          </w:p>
        </w:tc>
        <w:tc>
          <w:tcPr>
            <w:tcW w:w="0" w:type="dxa"/>
            <w:vAlign w:val="bottom"/>
          </w:tcPr>
          <w:p>
            <w:pPr>
              <w:spacing w:after="0"/>
              <w:rPr>
                <w:sz w:val="1"/>
                <w:szCs w:val="1"/>
                <w:color w:val="auto"/>
              </w:rPr>
            </w:pPr>
          </w:p>
        </w:tc>
      </w:tr>
      <w:tr>
        <w:trPr>
          <w:trHeight w:val="223"/>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(526)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10,473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13,451</w:t>
            </w:r>
          </w:p>
        </w:tc>
        <w:tc>
          <w:tcPr>
            <w:tcW w:w="62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less $631 million representing the current portion of long-term debt. A portion of the net proceeds of this offering will be used to repay $375 million aggregate principal amount of notes due June 15, 2017, bearing interest at a fixed rate of 6.600% (assumed with the acquisition of National Semiconductor Corporation in 2011), which are recorded as a current liability.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The 2021 Notes will mature on March 12, 2021 and the 2024 Notes will mature on May , 2024. The Notes will be issued in book-entry form only, in denominations of $2,000 and multiples of $1,000 thereafter. Interest on the 2021 Notes will accrue from March 12, 2017, and interest on the 2024 Notes will accrue from May , 2017 at the applicable rate per annum for each series shown on the cover of this prospectus supplement. Interest on the 2021 Notes will be payable semi-annually on March 12 and September 12, commencing on September 12, 2017, to the persons in whose names the 2021 Notes are registered at the close of business on the preceding March 1 or September 1, as the case may be. Interest on the 2024 Notes will be payable semi-annually</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on and , commencing on , 2017 to the persons in whose names the 2024 Notes are registered at the close of business on the preceding or , as the case may be. Interest on the Notes will be paid to but excluding the relevant interest payment date. Interest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will be calculated on the basis of a 360-day year comprised of twelve 30-day months.</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previously issued, on March 12, 2014, $250,000,000 aggregate principal amount of the Existing 2021 Notes, all of which will remain outstanding following this offering. The 2021 Notes offered hereby will form a part of the series and will have the same terms (other than issue date, price to public and initial interest payment date) and will vote together as a single class, with the same CUSIP number as, and be fungible with, the Existing 2021 Notes. Upon completion of this offering, we will have $ aggregate principal amount of outstanding 2.750% Notes due 2021. Unless the context requires otherwise, for all purposes of the indenture and this “Description of the Notes,” references to the 2021 Notes include the 2021 Notes offered hereby and the Existing 2021 Notes.</w:t>
      </w:r>
    </w:p>
    <w:p>
      <w:pPr>
        <w:spacing w:after="0" w:line="10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(including the Existing 2021 Notes).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2016, Texas Instruments Incorporated had approximately $3.6 billion of outstanding indebtedness. As of December 31, 2016, we had approximately $6.0 billion of total liabilities on a consolidated basis. Of this amount, subsidiaries of Texas Instruments Incorporated had approximately $0.8 billion of liabilities (including trade payables and excluding intercompany debt) to which the Notes will be effectively subordinated.</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2016:</w:t>
      </w:r>
    </w:p>
    <w:p>
      <w:pPr>
        <w:spacing w:after="0" w:line="37" w:lineRule="exact"/>
        <w:rPr>
          <w:sz w:val="20"/>
          <w:szCs w:val="20"/>
          <w:color w:val="auto"/>
        </w:rPr>
      </w:pPr>
    </w:p>
    <w:p>
      <w:pPr>
        <w:ind w:left="660" w:right="1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Texas Instruments Incorporated would not have had any secured indebtedness to which the Notes would have been effectively subordinated; and</w:t>
      </w:r>
    </w:p>
    <w:p>
      <w:pPr>
        <w:sectPr>
          <w:pgSz w:w="11900" w:h="16838" w:orient="portrait"/>
          <w:cols w:equalWidth="0" w:num="1">
            <w:col w:w="11400"/>
          </w:cols>
          <w:pgMar w:left="240" w:top="459" w:right="259" w:bottom="1440" w:gutter="0" w:footer="0" w:header="0"/>
        </w:sectPr>
      </w:pPr>
    </w:p>
    <w:p>
      <w:pPr>
        <w:spacing w:after="0" w:line="138" w:lineRule="exact"/>
        <w:rPr>
          <w:sz w:val="20"/>
          <w:szCs w:val="20"/>
          <w:color w:val="auto"/>
        </w:rPr>
      </w:pPr>
    </w:p>
    <w:p>
      <w:pPr>
        <w:ind w:left="660" w:hanging="199"/>
        <w:spacing w:after="0" w:line="332" w:lineRule="auto"/>
        <w:tabs>
          <w:tab w:leader="none" w:pos="640" w:val="left"/>
        </w:tabs>
        <w:rPr>
          <w:sz w:val="20"/>
          <w:szCs w:val="20"/>
          <w:color w:val="auto"/>
        </w:rPr>
      </w:pPr>
      <w:r>
        <w:rPr>
          <w:rFonts w:ascii="Arial" w:cs="Arial" w:eastAsia="Arial" w:hAnsi="Arial"/>
          <w:sz w:val="16"/>
          <w:szCs w:val="16"/>
          <w:color w:val="auto"/>
        </w:rPr>
        <w:t>•</w:t>
        <w:tab/>
        <w:t>Texas Instruments Incorporated’s subsidiaries would have had approximately $ intercompany debt) to which the Notes would have been structurally subordinated.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billion of liabilities (including trade payables but excluding</w:t>
      </w:r>
    </w:p>
    <w:p>
      <w:pPr>
        <w:spacing w:after="0" w:line="391" w:lineRule="exact"/>
        <w:rPr>
          <w:sz w:val="20"/>
          <w:szCs w:val="20"/>
          <w:color w:val="auto"/>
        </w:rPr>
      </w:pPr>
    </w:p>
    <w:p>
      <w:pPr>
        <w:sectPr>
          <w:pgSz w:w="11900" w:h="16838" w:orient="portrait"/>
          <w:cols w:equalWidth="0" w:num="2">
            <w:col w:w="6480" w:space="100"/>
            <w:col w:w="482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Texas Instruments Incorporated may, without the consent of the holders, increase the principal amount of Notes of a series by issuing additional Notes of such series in the future on the same terms and conditions, except for any differences in the issue price and interest accrued prior to the issue date of such additional Notes. Such additional Notes will have the same CUSIP number as the applicable series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additional Notes that are not fungible with the applicable series of Notes for U.S. federal income tax purposes will be issued under a separate CUSIP number.</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February 12, 2021 in the case of the 2021 Notes (the date that is one month prior to the maturity date of the 2021 Notes) and prior to March , 2024 in the case of the 2024 Notes (the date that is two months prior to the maturity date of the 2024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49" w:lineRule="exact"/>
        <w:rPr>
          <w:sz w:val="20"/>
          <w:szCs w:val="20"/>
          <w:color w:val="auto"/>
        </w:rPr>
      </w:pPr>
    </w:p>
    <w:p>
      <w:pPr>
        <w:ind w:left="680" w:hanging="21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57" w:lineRule="exact"/>
        <w:rPr>
          <w:rFonts w:ascii="Arial" w:cs="Arial" w:eastAsia="Arial" w:hAnsi="Arial"/>
          <w:sz w:val="18"/>
          <w:szCs w:val="18"/>
          <w:color w:val="auto"/>
        </w:rPr>
      </w:pPr>
    </w:p>
    <w:p>
      <w:pPr>
        <w:ind w:right="60" w:firstLine="464"/>
        <w:spacing w:after="0" w:line="306" w:lineRule="auto"/>
        <w:tabs>
          <w:tab w:leader="none" w:pos="7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the 2021 Notes,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12.5 basis points; and</w:t>
      </w:r>
    </w:p>
    <w:p>
      <w:pPr>
        <w:spacing w:after="0" w:line="93" w:lineRule="exact"/>
        <w:rPr>
          <w:rFonts w:ascii="Arial" w:cs="Arial" w:eastAsia="Arial" w:hAnsi="Arial"/>
          <w:sz w:val="16"/>
          <w:szCs w:val="16"/>
          <w:color w:val="auto"/>
        </w:rPr>
      </w:pPr>
    </w:p>
    <w:p>
      <w:pPr>
        <w:ind w:left="780" w:hanging="316"/>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case of the 2024 Notes, the sum of the present values of the principal amount of such 2024 Notes and the scheduled payments of interest thereon</w:t>
      </w:r>
    </w:p>
    <w:p>
      <w:pPr>
        <w:spacing w:after="0" w:line="50"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(not including any portion of such payments of interest accrued as of the date of redemption), from the date of redemption to March , 2024 (the date that is two months prior to the maturity date of the 2024 Notes), discounted to the date of redemption on a semi-annual basis (assuming a 360-day year consisting of twelve</w:t>
      </w:r>
    </w:p>
    <w:p>
      <w:pPr>
        <w:spacing w:after="0" w:line="1"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30-day months) at the Treasury Rate, plus</w:t>
      </w:r>
      <w:r>
        <w:rPr>
          <w:sz w:val="20"/>
          <w:szCs w:val="20"/>
          <w:color w:val="auto"/>
        </w:rPr>
        <w:tab/>
      </w:r>
      <w:r>
        <w:rPr>
          <w:rFonts w:ascii="Arial" w:cs="Arial" w:eastAsia="Arial" w:hAnsi="Arial"/>
          <w:sz w:val="15"/>
          <w:szCs w:val="15"/>
          <w:color w:val="auto"/>
        </w:rPr>
        <w:t>basis points;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on or after February 12, 2021 in the case of the 2021 Notes (the date that is one month prior to the maturity date of the 2021 Notes) and at any time on or after March , 2024 in the case of the 2024 Notes (the date that is two months prior to the maturity date of the 2024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“Reference Treasury Dealer” means: (i) for the 2021 Notes, Citigroup Global Markets Inc., Merrill Lynch, Pierce, Fenner &amp; Smith Incorporated and Mizuho Securities USA LLC (or their respective affiliates that are Primary Treasury Dealers) and their respective successors; and, for the 2024 Notes, Citigroup Global Markets Inc.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3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of a series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77" w:lineRule="exact"/>
        <w:rPr>
          <w:sz w:val="20"/>
          <w:szCs w:val="20"/>
          <w:color w:val="auto"/>
        </w:rPr>
      </w:pPr>
    </w:p>
    <w:p>
      <w:pPr>
        <w:ind w:left="660" w:right="420" w:hanging="206"/>
        <w:spacing w:after="0" w:line="33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Texas Instruments Incorporated’s default in the payment of interest on the Notes when due and payable, if that default continues for a period of 30 days;</w:t>
      </w:r>
    </w:p>
    <w:p>
      <w:pPr>
        <w:spacing w:after="0" w:line="138" w:lineRule="exact"/>
        <w:rPr>
          <w:rFonts w:ascii="Arial" w:cs="Arial" w:eastAsia="Arial" w:hAnsi="Arial"/>
          <w:sz w:val="15"/>
          <w:szCs w:val="15"/>
          <w:color w:val="auto"/>
        </w:rPr>
      </w:pPr>
    </w:p>
    <w:p>
      <w:pPr>
        <w:ind w:left="660" w:right="160" w:hanging="206"/>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of a series and any other series of debt securities affected thereby then outstanding;</w:t>
      </w:r>
    </w:p>
    <w:p>
      <w:pPr>
        <w:spacing w:after="0" w:line="18" w:lineRule="exact"/>
        <w:rPr>
          <w:rFonts w:ascii="Arial" w:cs="Arial" w:eastAsia="Arial" w:hAnsi="Arial"/>
          <w:sz w:val="16"/>
          <w:szCs w:val="16"/>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1460" w:right="140" w:hanging="547"/>
        <w:spacing w:after="0" w:line="268" w:lineRule="auto"/>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37" w:lineRule="exact"/>
        <w:rPr>
          <w:rFonts w:ascii="Arial" w:cs="Arial" w:eastAsia="Arial" w:hAnsi="Arial"/>
          <w:sz w:val="18"/>
          <w:szCs w:val="18"/>
          <w:color w:val="auto"/>
        </w:rPr>
      </w:pPr>
    </w:p>
    <w:p>
      <w:pPr>
        <w:ind w:left="1460" w:hanging="547"/>
        <w:spacing w:after="0" w:line="268" w:lineRule="auto"/>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7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76" w:lineRule="exact"/>
        <w:rPr>
          <w:rFonts w:ascii="Arial" w:cs="Arial" w:eastAsia="Arial" w:hAnsi="Arial"/>
          <w:sz w:val="18"/>
          <w:szCs w:val="18"/>
          <w:color w:val="auto"/>
        </w:rPr>
      </w:pPr>
    </w:p>
    <w:p>
      <w:pPr>
        <w:ind w:left="1460" w:right="100" w:hanging="547"/>
        <w:spacing w:after="0" w:line="26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37"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of a series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18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2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of a series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 xml:space="preserve">of the Euroclear System (“Euroclear”), and Clearstream Banking,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7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“public offering price” listed on the cover of this prospectus supplement and held as capital assets for U.S. federal income tax purposes.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Stated interest on a Note (other than any portion of the first interest payment on a 2021 Note treated as a return of pre-acquisition accrued interest, as described under “—Pre-acquisition Accrued Interest” below) will be taxable to you as ordinary interest income at the time it accrues or is received, in accordance with your method of accounting for U.S. federal income tax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It is expected, and this discussion assumes, that the Notes will be issued without original issue discount for U.S. federal income tax purposes. If, however, the principal amount of a Note exceeds its issue price by at least a de minimis amount, as 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portion of the price paid for a 2021 Note offered hereby will be allocable to interest that accrued prior to the date the 2021 Note is purchased (the “pre-acquisition accrued interest”). On the first interest payment date, you may generally treat a portion of the interest received in an amount equal to the pre-acquisition accrued interest as a return of the pre-acquisition accrued interest and not as a payment of interest on the 2021 Note. Amounts treated as a return of pre-acquisition accrued interest should not be taxable when received. It is not clear in such instance whether to exclude the amount attributable to pre-acquisition accrued interest from your initial basis, or to reduce your basis by the amount of pre-acquisition accrued interest when it is received.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 purchase a Note for an amount that is greater than its principal amount (disregarding any amount paid in respect of pre-acquisition accrued interest), you will be considered to have purchased the Note with amortizable bond premium. In general, the amortizable bond premium with respect to any Note is the excess of the purchase price over the principal amount, and you may elect to amortize this bond premium, using a constant-yield method, over the remaining term of the Note. Because of the optional redemption feature of the Notes, however, special rules apply that may reduce, eliminate or defer the amount of bond premium that may be amortized. You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 (the “IRS”).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Subject to the discussion above under “—Pre-acquisition Accrued Interest,” your adjusted tax basis in a Note will equal the cost of your Note, reduced by any bond premium previously amortized.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discussions below under “—Backup Withholding and Information Reporting” and “FATCA Legislation,” payments of principal and interest on the Notes to you will not be subject to U.S. federal income or withholding tax, provided that, in the case of interest,</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240" w:hanging="206"/>
        <w:spacing w:after="0" w:line="32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discussions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commonly referred to as “FATCA” impose withholding of 30% on payments of interest on the 2024 Notes and (for dispositions after December 31, 2018) of proceeds of sales or redemptions of the 2024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2024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Citigroup Global Markets Inc., Morgan Stanley &amp; Co.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2021 Notes and the 2024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040" w:type="dxa"/>
            <w:vAlign w:val="bottom"/>
            <w:vMerge w:val="restart"/>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w w:val="87"/>
              </w:rPr>
              <w:t>Principal Amount of</w:t>
            </w:r>
          </w:p>
        </w:tc>
        <w:tc>
          <w:tcPr>
            <w:tcW w:w="11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1"/>
              </w:rPr>
              <w:t>Principal 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120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2021 Notes</w:t>
            </w:r>
          </w:p>
        </w:tc>
        <w:tc>
          <w:tcPr>
            <w:tcW w:w="1160" w:type="dxa"/>
            <w:vAlign w:val="bottom"/>
          </w:tcPr>
          <w:p>
            <w:pPr>
              <w:spacing w:after="0"/>
              <w:rPr>
                <w:sz w:val="14"/>
                <w:szCs w:val="14"/>
                <w:color w:val="auto"/>
              </w:rPr>
            </w:pPr>
          </w:p>
        </w:tc>
        <w:tc>
          <w:tcPr>
            <w:tcW w:w="124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200" w:type="dxa"/>
            <w:vAlign w:val="bottom"/>
            <w:tcBorders>
              <w:bottom w:val="single" w:sz="8" w:color="auto"/>
            </w:tcBorders>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2021 Note and % per 2024 Note. Any such securities dealers may resell any Notes purchased from the underwriters to certain other brokers or dealers at a discount from the initial public offering price not to exceed % per 2021 Note and % per 2024 Note. If all the Notes are not sold at the initial offering price, the underwriters may change the offering price and the other selling terms.</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59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59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Incorporated</w:t>
            </w: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2021 Note</w:t>
            </w:r>
          </w:p>
        </w:tc>
        <w:tc>
          <w:tcPr>
            <w:tcW w:w="4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Per 2024 Note</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56"/>
        </w:trPr>
        <w:tc>
          <w:tcPr>
            <w:tcW w:w="5980" w:type="dxa"/>
            <w:vAlign w:val="bottom"/>
          </w:tcPr>
          <w:p>
            <w:pPr>
              <w:ind w:left="460"/>
              <w:spacing w:after="0"/>
              <w:rPr>
                <w:sz w:val="20"/>
                <w:szCs w:val="20"/>
                <w:color w:val="auto"/>
              </w:rPr>
            </w:pPr>
            <w:r>
              <w:rPr>
                <w:rFonts w:ascii="Arial" w:cs="Arial" w:eastAsia="Arial" w:hAnsi="Arial"/>
                <w:sz w:val="18"/>
                <w:szCs w:val="18"/>
                <w:color w:val="auto"/>
                <w:w w:val="91"/>
              </w:rPr>
              <w:t>We estimate that our total expenses for this offering will be approximately $</w:t>
            </w:r>
          </w:p>
        </w:tc>
        <w:tc>
          <w:tcPr>
            <w:tcW w:w="5440" w:type="dxa"/>
            <w:vAlign w:val="bottom"/>
            <w:gridSpan w:val="3"/>
          </w:tcPr>
          <w:p>
            <w:pPr>
              <w:jc w:val="right"/>
              <w:ind w:right="2212"/>
              <w:spacing w:after="0"/>
              <w:rPr>
                <w:sz w:val="20"/>
                <w:szCs w:val="20"/>
                <w:color w:val="auto"/>
              </w:rPr>
            </w:pPr>
            <w:r>
              <w:rPr>
                <w:rFonts w:ascii="Arial" w:cs="Arial" w:eastAsia="Arial" w:hAnsi="Arial"/>
                <w:sz w:val="18"/>
                <w:szCs w:val="18"/>
                <w:color w:val="auto"/>
                <w:w w:val="97"/>
              </w:rPr>
              <w:t>million, including underwriting discounts.</w:t>
            </w:r>
          </w:p>
        </w:tc>
      </w:tr>
    </w:tbl>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Certain of the underwriters and/or their affiliates may be holders of our notes due June 15, 2017 and, accordingly, may receive a portion of the net proceeds of this offering in connection with the repayment of those notes.</w:t>
      </w:r>
    </w:p>
    <w:p>
      <w:pPr>
        <w:spacing w:after="0" w:line="1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46" w:lineRule="exact"/>
        <w:rPr>
          <w:sz w:val="20"/>
          <w:szCs w:val="20"/>
          <w:color w:val="auto"/>
        </w:rPr>
      </w:pPr>
    </w:p>
    <w:p>
      <w:pPr>
        <w:ind w:left="5540" w:right="4640" w:hanging="5086"/>
        <w:spacing w:after="0" w:line="561" w:lineRule="auto"/>
        <w:tabs>
          <w:tab w:leader="none" w:pos="6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 S-26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2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2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 conflicts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interest disclosure pertaining to “connected issuer” and/or “related issuer” relationships as would otherwise be required pursuant to subsection 2.1(1) of NI 33-105.</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offer and sale of the Notes in Canada is being made on a private placement basis only and is exempt from the requirement to prepare and file a prospectus under applicable Canadian securities laws. Any resale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7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(“NI 45-106”) or, in Ontario, as such term is defined in 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w:t>
      </w:r>
    </w:p>
    <w:p>
      <w:pPr>
        <w:spacing w:after="0" w:line="3" w:lineRule="exact"/>
        <w:rPr>
          <w:sz w:val="20"/>
          <w:szCs w:val="20"/>
          <w:color w:val="auto"/>
        </w:rPr>
      </w:pPr>
    </w:p>
    <w:p>
      <w:pPr>
        <w:ind w:right="180" w:firstLine="8"/>
        <w:spacing w:after="0" w:line="261"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77"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w:t>
      </w:r>
      <w:r>
        <w:rPr>
          <w:rFonts w:ascii="Arial" w:cs="Arial" w:eastAsia="Arial" w:hAnsi="Arial"/>
          <w:sz w:val="18"/>
          <w:szCs w:val="18"/>
          <w:color w:val="auto"/>
        </w:rPr>
        <w:t xml:space="preserve"> </w:t>
      </w:r>
      <w:r>
        <w:rPr>
          <w:rFonts w:ascii="Arial" w:cs="Arial" w:eastAsia="Arial" w:hAnsi="Arial"/>
          <w:sz w:val="18"/>
          <w:szCs w:val="18"/>
          <w:i w:val="1"/>
          <w:iCs w:val="1"/>
          <w:color w:val="auto"/>
        </w:rPr>
        <w:t>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0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0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83"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7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and the effectiveness of our internal control over financial reporting as of December 31, 2016, as set forth in their reports, which are incorporated by reference herein. Our financial statements and our management’s assessment of the effectiveness of internal control over financial reporting as of December 31, 2016, are incorporated by reference in reliance on Ernst &amp; Young LLP’s reports, given on their authority as experts in accounting and auditing.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2016, filed on February 23, 2017, the Current Reports on Form 8-K filed on January 19, 2017, January 24, 2017 (filed under Item 5.02) and April 26, 2017 and all documents subsequently filed with the SEC pursuant to Section 13(a), 13(c), 14, or 15(d) of the Exchange Act (other than information furnished under Item 2.02 or Item 7.01 of Form 8-K) prior to the termination of the offering under this prospectus supplement.</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24"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454660</wp:posOffset>
            </wp:positionV>
            <wp:extent cx="2864485" cy="660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20" w:hanging="1225"/>
        <w:spacing w:after="0"/>
        <w:tabs>
          <w:tab w:leader="none" w:pos="4720" w:val="left"/>
        </w:tabs>
        <w:numPr>
          <w:ilvl w:val="0"/>
          <w:numId w:val="50"/>
        </w:numPr>
        <w:rPr>
          <w:rFonts w:ascii="Arial" w:cs="Arial" w:eastAsia="Arial" w:hAnsi="Arial"/>
          <w:sz w:val="32"/>
          <w:szCs w:val="32"/>
          <w:b w:val="1"/>
          <w:bCs w:val="1"/>
          <w:color w:val="auto"/>
        </w:rPr>
      </w:pPr>
      <w:r>
        <w:rPr>
          <w:rFonts w:ascii="Arial" w:cs="Arial" w:eastAsia="Arial" w:hAnsi="Arial"/>
          <w:sz w:val="32"/>
          <w:szCs w:val="32"/>
          <w:b w:val="1"/>
          <w:bCs w:val="1"/>
          <w:color w:val="auto"/>
        </w:rPr>
        <w:t>2.750% Notes due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1880" w:type="dxa"/>
            <w:vAlign w:val="bottom"/>
          </w:tcPr>
          <w:p>
            <w:pPr>
              <w:spacing w:after="0"/>
              <w:rPr>
                <w:sz w:val="24"/>
                <w:szCs w:val="24"/>
                <w:color w:val="auto"/>
              </w:rPr>
            </w:pPr>
          </w:p>
        </w:tc>
        <w:tc>
          <w:tcPr>
            <w:tcW w:w="3260" w:type="dxa"/>
            <w:vAlign w:val="bottom"/>
          </w:tcPr>
          <w:p>
            <w:pPr>
              <w:jc w:val="right"/>
              <w:ind w:right="1344"/>
              <w:spacing w:after="0"/>
              <w:rPr>
                <w:sz w:val="20"/>
                <w:szCs w:val="20"/>
                <w:color w:val="auto"/>
              </w:rPr>
            </w:pPr>
            <w:r>
              <w:rPr>
                <w:rFonts w:ascii="Arial" w:cs="Arial" w:eastAsia="Arial" w:hAnsi="Arial"/>
                <w:sz w:val="32"/>
                <w:szCs w:val="32"/>
                <w:b w:val="1"/>
                <w:bCs w:val="1"/>
                <w:color w:val="auto"/>
              </w:rPr>
              <w:t>$</w:t>
            </w:r>
          </w:p>
        </w:tc>
        <w:tc>
          <w:tcPr>
            <w:tcW w:w="20" w:type="dxa"/>
            <w:vAlign w:val="bottom"/>
          </w:tcPr>
          <w:p>
            <w:pPr>
              <w:spacing w:after="0"/>
              <w:rPr>
                <w:sz w:val="24"/>
                <w:szCs w:val="24"/>
                <w:color w:val="auto"/>
              </w:rPr>
            </w:pPr>
          </w:p>
        </w:tc>
        <w:tc>
          <w:tcPr>
            <w:tcW w:w="3260" w:type="dxa"/>
            <w:vAlign w:val="bottom"/>
            <w:gridSpan w:val="2"/>
          </w:tcPr>
          <w:p>
            <w:pPr>
              <w:ind w:left="280"/>
              <w:spacing w:after="0"/>
              <w:rPr>
                <w:sz w:val="20"/>
                <w:szCs w:val="20"/>
                <w:color w:val="auto"/>
              </w:rPr>
            </w:pPr>
            <w:r>
              <w:rPr>
                <w:rFonts w:ascii="Arial" w:cs="Arial" w:eastAsia="Arial" w:hAnsi="Arial"/>
                <w:sz w:val="32"/>
                <w:szCs w:val="32"/>
                <w:b w:val="1"/>
                <w:bCs w:val="1"/>
                <w:color w:val="auto"/>
              </w:rPr>
              <w:t>% Notes due 2024</w:t>
            </w:r>
          </w:p>
        </w:tc>
        <w:tc>
          <w:tcPr>
            <w:tcW w:w="3000" w:type="dxa"/>
            <w:vAlign w:val="bottom"/>
          </w:tcPr>
          <w:p>
            <w:pPr>
              <w:spacing w:after="0"/>
              <w:rPr>
                <w:sz w:val="24"/>
                <w:szCs w:val="24"/>
                <w:color w:val="auto"/>
              </w:rPr>
            </w:pPr>
          </w:p>
        </w:tc>
      </w:tr>
      <w:tr>
        <w:trPr>
          <w:trHeight w:val="165"/>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14"/>
                <w:szCs w:val="14"/>
                <w:color w:val="auto"/>
              </w:rPr>
            </w:pPr>
          </w:p>
        </w:tc>
        <w:tc>
          <w:tcPr>
            <w:tcW w:w="214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451"/>
        </w:trPr>
        <w:tc>
          <w:tcPr>
            <w:tcW w:w="1880" w:type="dxa"/>
            <w:vAlign w:val="bottom"/>
          </w:tcPr>
          <w:p>
            <w:pPr>
              <w:spacing w:after="0"/>
              <w:rPr>
                <w:sz w:val="24"/>
                <w:szCs w:val="24"/>
                <w:color w:val="auto"/>
              </w:rPr>
            </w:pPr>
          </w:p>
        </w:tc>
        <w:tc>
          <w:tcPr>
            <w:tcW w:w="6540" w:type="dxa"/>
            <w:vAlign w:val="bottom"/>
            <w:gridSpan w:val="4"/>
          </w:tcPr>
          <w:p>
            <w:pPr>
              <w:jc w:val="center"/>
              <w:ind w:left="1004"/>
              <w:spacing w:after="0"/>
              <w:rPr>
                <w:sz w:val="20"/>
                <w:szCs w:val="20"/>
                <w:color w:val="auto"/>
              </w:rPr>
            </w:pPr>
            <w:r>
              <w:rPr>
                <w:rFonts w:ascii="Arial" w:cs="Arial" w:eastAsia="Arial" w:hAnsi="Arial"/>
                <w:sz w:val="18"/>
                <w:szCs w:val="18"/>
                <w:b w:val="1"/>
                <w:bCs w:val="1"/>
                <w:color w:val="auto"/>
                <w:w w:val="99"/>
              </w:rPr>
              <w:t>PRELIMINARY PROSPECTUS SUPPLEMENT</w:t>
            </w:r>
          </w:p>
        </w:tc>
        <w:tc>
          <w:tcPr>
            <w:tcW w:w="3000" w:type="dxa"/>
            <w:vAlign w:val="bottom"/>
          </w:tcPr>
          <w:p>
            <w:pPr>
              <w:spacing w:after="0"/>
              <w:rPr>
                <w:sz w:val="24"/>
                <w:szCs w:val="24"/>
                <w:color w:val="auto"/>
              </w:rPr>
            </w:pPr>
          </w:p>
        </w:tc>
      </w:tr>
      <w:tr>
        <w:trPr>
          <w:trHeight w:val="365"/>
        </w:trPr>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9"/>
              </w:rPr>
              <w:t>April   , 2017</w:t>
            </w:r>
          </w:p>
        </w:tc>
        <w:tc>
          <w:tcPr>
            <w:tcW w:w="3000" w:type="dxa"/>
            <w:vAlign w:val="bottom"/>
          </w:tcPr>
          <w:p>
            <w:pPr>
              <w:spacing w:after="0"/>
              <w:rPr>
                <w:sz w:val="24"/>
                <w:szCs w:val="24"/>
                <w:color w:val="auto"/>
              </w:rPr>
            </w:pPr>
          </w:p>
        </w:tc>
      </w:tr>
      <w:tr>
        <w:trPr>
          <w:trHeight w:val="232"/>
        </w:trPr>
        <w:tc>
          <w:tcPr>
            <w:tcW w:w="18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21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571"/>
        </w:trPr>
        <w:tc>
          <w:tcPr>
            <w:tcW w:w="1880" w:type="dxa"/>
            <w:vAlign w:val="bottom"/>
          </w:tcPr>
          <w:p>
            <w:pPr>
              <w:spacing w:after="0"/>
              <w:rPr>
                <w:sz w:val="24"/>
                <w:szCs w:val="24"/>
                <w:color w:val="auto"/>
              </w:rPr>
            </w:pPr>
          </w:p>
        </w:tc>
        <w:tc>
          <w:tcPr>
            <w:tcW w:w="6540" w:type="dxa"/>
            <w:vAlign w:val="bottom"/>
            <w:gridSpan w:val="4"/>
          </w:tcPr>
          <w:p>
            <w:pPr>
              <w:jc w:val="center"/>
              <w:ind w:left="984"/>
              <w:spacing w:after="0"/>
              <w:rPr>
                <w:sz w:val="20"/>
                <w:szCs w:val="20"/>
                <w:color w:val="auto"/>
              </w:rPr>
            </w:pPr>
            <w:r>
              <w:rPr>
                <w:rFonts w:ascii="Arial" w:cs="Arial" w:eastAsia="Arial" w:hAnsi="Arial"/>
                <w:sz w:val="22"/>
                <w:szCs w:val="22"/>
                <w:i w:val="1"/>
                <w:iCs w:val="1"/>
                <w:color w:val="auto"/>
                <w:w w:val="89"/>
              </w:rPr>
              <w:t>Joint Book-Running Managers</w:t>
            </w:r>
          </w:p>
        </w:tc>
        <w:tc>
          <w:tcPr>
            <w:tcW w:w="3000" w:type="dxa"/>
            <w:vAlign w:val="bottom"/>
          </w:tcPr>
          <w:p>
            <w:pPr>
              <w:spacing w:after="0"/>
              <w:rPr>
                <w:sz w:val="24"/>
                <w:szCs w:val="24"/>
                <w:color w:val="auto"/>
              </w:rPr>
            </w:pPr>
          </w:p>
        </w:tc>
      </w:tr>
      <w:tr>
        <w:trPr>
          <w:trHeight w:val="518"/>
        </w:trPr>
        <w:tc>
          <w:tcPr>
            <w:tcW w:w="188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540" w:type="dxa"/>
            <w:vAlign w:val="bottom"/>
            <w:gridSpan w:val="4"/>
          </w:tcPr>
          <w:p>
            <w:pPr>
              <w:jc w:val="center"/>
              <w:ind w:left="1024"/>
              <w:spacing w:after="0"/>
              <w:rPr>
                <w:sz w:val="20"/>
                <w:szCs w:val="20"/>
                <w:color w:val="auto"/>
              </w:rPr>
            </w:pPr>
            <w:r>
              <w:rPr>
                <w:rFonts w:ascii="Arial" w:cs="Arial" w:eastAsia="Arial" w:hAnsi="Arial"/>
                <w:sz w:val="32"/>
                <w:szCs w:val="32"/>
                <w:b w:val="1"/>
                <w:bCs w:val="1"/>
                <w:color w:val="auto"/>
                <w:w w:val="93"/>
              </w:rPr>
              <w:t>Morgan Stanley</w:t>
            </w:r>
          </w:p>
        </w:tc>
        <w:tc>
          <w:tcPr>
            <w:tcW w:w="300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473"/>
        </w:trPr>
        <w:tc>
          <w:tcPr>
            <w:tcW w:w="188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3280" w:type="dxa"/>
            <w:vAlign w:val="bottom"/>
            <w:gridSpan w:val="2"/>
          </w:tcPr>
          <w:p>
            <w:pPr>
              <w:ind w:left="520"/>
              <w:spacing w:after="0"/>
              <w:rPr>
                <w:sz w:val="20"/>
                <w:szCs w:val="20"/>
                <w:color w:val="auto"/>
              </w:rPr>
            </w:pPr>
            <w:r>
              <w:rPr>
                <w:rFonts w:ascii="Arial" w:cs="Arial" w:eastAsia="Arial" w:hAnsi="Arial"/>
                <w:sz w:val="32"/>
                <w:szCs w:val="32"/>
                <w:b w:val="1"/>
                <w:bCs w:val="1"/>
                <w:color w:val="auto"/>
                <w:w w:val="96"/>
              </w:rPr>
              <w:t>BofA Merrill Lynch</w:t>
            </w:r>
          </w:p>
        </w:tc>
        <w:tc>
          <w:tcPr>
            <w:tcW w:w="3260" w:type="dxa"/>
            <w:vAlign w:val="bottom"/>
            <w:gridSpan w:val="2"/>
          </w:tcPr>
          <w:p>
            <w:pPr>
              <w:ind w:left="920"/>
              <w:spacing w:after="0"/>
              <w:rPr>
                <w:sz w:val="20"/>
                <w:szCs w:val="20"/>
                <w:color w:val="auto"/>
              </w:rPr>
            </w:pPr>
            <w:r>
              <w:rPr>
                <w:rFonts w:ascii="Arial" w:cs="Arial" w:eastAsia="Arial" w:hAnsi="Arial"/>
                <w:sz w:val="32"/>
                <w:szCs w:val="32"/>
                <w:b w:val="1"/>
                <w:bCs w:val="1"/>
                <w:color w:val="auto"/>
              </w:rPr>
              <w:t>J.P. Morgan</w:t>
            </w:r>
          </w:p>
        </w:tc>
        <w:tc>
          <w:tcPr>
            <w:tcW w:w="300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r>
      <w:tr>
        <w:trPr>
          <w:trHeight w:val="431"/>
        </w:trPr>
        <w:tc>
          <w:tcPr>
            <w:tcW w:w="1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r>
        <w:trPr>
          <w:trHeight w:val="55"/>
        </w:trPr>
        <w:tc>
          <w:tcPr>
            <w:tcW w:w="18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4">
    <w:nsid w:val="22221A70"/>
    <w:multiLevelType w:val="hybridMultilevel"/>
    <w:lvl w:ilvl="0">
      <w:lvlJc w:val="left"/>
      <w:lvlText w:val="•"/>
      <w:numFmt w:val="bullet"/>
      <w:start w:val="1"/>
    </w:lvl>
    <w:lvl w:ilvl="1">
      <w:lvlJc w:val="left"/>
      <w:lvlText w:val="(%2)"/>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Roman"/>
      <w:start w:val="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lvl w:ilvl="1">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2019-12-05T07:44:06Z</dcterms:created>
  <dcterms:modified xsi:type="dcterms:W3CDTF">2019-12-05T07:44:06Z</dcterms:modified>
</cp:coreProperties>
</file>