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AMATI COMMUNICATIONS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$.20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023115 10 8</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RICHARD AGNICH</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rPr>
          <w:sz w:val="20"/>
          <w:szCs w:val="20"/>
          <w:color w:val="auto"/>
        </w:rPr>
      </w:pPr>
      <w:r>
        <w:rPr>
          <w:rFonts w:ascii="Courier New" w:cs="Courier New" w:eastAsia="Courier New" w:hAnsi="Courier New"/>
          <w:sz w:val="18"/>
          <w:szCs w:val="18"/>
          <w:color w:val="auto"/>
        </w:rPr>
        <w:t>7839 CHURCHILL WAY, M/S 3995</w:t>
      </w:r>
    </w:p>
    <w:p>
      <w:pPr>
        <w:jc w:val="center"/>
        <w:ind w:right="1679"/>
        <w:spacing w:after="0" w:line="237" w:lineRule="auto"/>
        <w:rPr>
          <w:sz w:val="20"/>
          <w:szCs w:val="20"/>
          <w:color w:val="auto"/>
        </w:rPr>
      </w:pPr>
      <w:r>
        <w:rPr>
          <w:rFonts w:ascii="Courier New" w:cs="Courier New" w:eastAsia="Courier New" w:hAnsi="Courier New"/>
          <w:sz w:val="18"/>
          <w:szCs w:val="18"/>
          <w:color w:val="auto"/>
        </w:rPr>
        <w:t>DALLAS, TEXAS 75251</w:t>
      </w:r>
    </w:p>
    <w:p>
      <w:pPr>
        <w:ind w:left="4120" w:hanging="636"/>
        <w:spacing w:after="0" w:line="238" w:lineRule="auto"/>
        <w:tabs>
          <w:tab w:leader="none" w:pos="4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995-2551</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ADDRESS AND TELEPHONE NUMBER OF PERSON</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 SCOTT COHEN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WEIL, GOTSHAL &amp; MANGES LLP</w:t>
      </w:r>
    </w:p>
    <w:p>
      <w:pPr>
        <w:jc w:val="center"/>
        <w:ind w:right="1779"/>
        <w:spacing w:after="0"/>
        <w:rPr>
          <w:sz w:val="20"/>
          <w:szCs w:val="20"/>
          <w:color w:val="auto"/>
        </w:rPr>
      </w:pPr>
      <w:r>
        <w:rPr>
          <w:rFonts w:ascii="Courier New" w:cs="Courier New" w:eastAsia="Courier New" w:hAnsi="Courier New"/>
          <w:sz w:val="18"/>
          <w:szCs w:val="18"/>
          <w:color w:val="auto"/>
        </w:rPr>
        <w:t>100 CRESCENT COURT, SUITE 1300</w:t>
      </w:r>
    </w:p>
    <w:p>
      <w:pPr>
        <w:jc w:val="center"/>
        <w:ind w:right="1779"/>
        <w:spacing w:after="0" w:line="237" w:lineRule="auto"/>
        <w:rPr>
          <w:sz w:val="20"/>
          <w:szCs w:val="20"/>
          <w:color w:val="auto"/>
        </w:rPr>
      </w:pPr>
      <w:r>
        <w:rPr>
          <w:rFonts w:ascii="Courier New" w:cs="Courier New" w:eastAsia="Courier New" w:hAnsi="Courier New"/>
          <w:sz w:val="18"/>
          <w:szCs w:val="18"/>
          <w:color w:val="auto"/>
        </w:rPr>
        <w:t>DALLAS, TEXAS 75201-6950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(214) 746-7738</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24, 1997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023115 10 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0" w:lineRule="exact"/>
        <w:rPr>
          <w:sz w:val="20"/>
          <w:szCs w:val="20"/>
          <w:color w:val="auto"/>
        </w:rPr>
      </w:pPr>
    </w:p>
    <w:p>
      <w:pPr>
        <w:sectPr>
          <w:pgSz w:w="11900" w:h="16838" w:orient="portrait"/>
          <w:cols w:equalWidth="0" w:num="2">
            <w:col w:w="2760" w:space="720"/>
            <w:col w:w="6739"/>
          </w:cols>
          <w:pgMar w:left="240" w:top="312" w:right="1440" w:bottom="176" w:gutter="0" w:footer="0" w:header="0"/>
        </w:sectPr>
      </w:pPr>
    </w:p>
    <w:p>
      <w:pPr>
        <w:spacing w:after="0" w:line="22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spacing w:after="0" w:line="4" w:lineRule="exact"/>
        <w:rPr>
          <w:rFonts w:ascii="Courier New" w:cs="Courier New" w:eastAsia="Courier New" w:hAnsi="Courier New"/>
          <w:sz w:val="16"/>
          <w:szCs w:val="16"/>
          <w:color w:val="auto"/>
        </w:rPr>
      </w:pPr>
    </w:p>
    <w:p>
      <w:pPr>
        <w:ind w:left="640" w:right="3359"/>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TEXAS INSTRUMENTS INCORPORATED (75-0289970)</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020" w:hanging="427"/>
        <w:spacing w:after="0" w:line="238" w:lineRule="auto"/>
        <w:tabs>
          <w:tab w:leader="none" w:pos="802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020" w:hanging="427"/>
        <w:spacing w:after="0" w:line="238" w:lineRule="auto"/>
        <w:tabs>
          <w:tab w:leader="none" w:pos="802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 TO</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84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0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405"/>
        </w:trPr>
        <w:tc>
          <w:tcPr>
            <w:tcW w:w="1840" w:type="dxa"/>
            <w:vAlign w:val="bottom"/>
          </w:tcPr>
          <w:p>
            <w:pPr>
              <w:jc w:val="center"/>
              <w:ind w:right="512"/>
              <w:spacing w:after="0"/>
              <w:rPr>
                <w:sz w:val="20"/>
                <w:szCs w:val="20"/>
                <w:color w:val="auto"/>
              </w:rPr>
            </w:pPr>
            <w:r>
              <w:rPr>
                <w:rFonts w:ascii="Courier New" w:cs="Courier New" w:eastAsia="Courier New" w:hAnsi="Courier New"/>
                <w:sz w:val="18"/>
                <w:szCs w:val="18"/>
                <w:color w:val="auto"/>
                <w:w w:val="97"/>
              </w:rPr>
              <w:t>OWNED BY</w:t>
            </w:r>
          </w:p>
        </w:tc>
        <w:tc>
          <w:tcPr>
            <w:tcW w:w="12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Courier New" w:cs="Courier New" w:eastAsia="Courier New" w:hAnsi="Courier New"/>
                <w:sz w:val="18"/>
                <w:szCs w:val="18"/>
                <w:color w:val="auto"/>
              </w:rPr>
              <w:t>15,290,381</w:t>
            </w:r>
          </w:p>
        </w:tc>
      </w:tr>
      <w:tr>
        <w:trPr>
          <w:trHeight w:val="203"/>
        </w:trPr>
        <w:tc>
          <w:tcPr>
            <w:tcW w:w="1840" w:type="dxa"/>
            <w:vAlign w:val="bottom"/>
          </w:tcPr>
          <w:p>
            <w:pPr>
              <w:spacing w:after="0"/>
              <w:rPr>
                <w:sz w:val="17"/>
                <w:szCs w:val="17"/>
                <w:color w:val="auto"/>
              </w:rPr>
            </w:pPr>
          </w:p>
        </w:tc>
        <w:tc>
          <w:tcPr>
            <w:tcW w:w="5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w:t>
            </w: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REPORTING</w:t>
            </w:r>
          </w:p>
        </w:tc>
        <w:tc>
          <w:tcPr>
            <w:tcW w:w="12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10</w:t>
            </w: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1200" w:type="dxa"/>
            <w:vAlign w:val="bottom"/>
          </w:tcPr>
          <w:p>
            <w:pPr>
              <w:spacing w:after="0"/>
              <w:rPr>
                <w:sz w:val="17"/>
                <w:szCs w:val="17"/>
                <w:color w:val="auto"/>
              </w:rPr>
            </w:pPr>
          </w:p>
        </w:tc>
        <w:tc>
          <w:tcPr>
            <w:tcW w:w="4440" w:type="dxa"/>
            <w:vAlign w:val="bottom"/>
          </w:tcPr>
          <w:p>
            <w:pPr>
              <w:spacing w:after="0"/>
              <w:rPr>
                <w:sz w:val="17"/>
                <w:szCs w:val="17"/>
                <w:color w:val="auto"/>
              </w:rPr>
            </w:pPr>
          </w:p>
        </w:tc>
      </w:tr>
    </w:tbl>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15,290,381</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15,290,381</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w:t>
      </w:r>
    </w:p>
    <w:p>
      <w:pPr>
        <w:ind w:left="802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77.3%</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76" w:gutter="0" w:footer="0" w:header="0"/>
          <w:type w:val="continuous"/>
        </w:sectPr>
      </w:pPr>
    </w:p>
    <w:bookmarkStart w:id="2" w:name="page3"/>
    <w:bookmarkEnd w:id="2"/>
    <w:p>
      <w:pPr>
        <w:ind w:left="2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023115 10 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0" w:lineRule="exact"/>
        <w:rPr>
          <w:sz w:val="20"/>
          <w:szCs w:val="20"/>
          <w:color w:val="auto"/>
        </w:rPr>
      </w:pPr>
    </w:p>
    <w:p>
      <w:pPr>
        <w:sectPr>
          <w:pgSz w:w="11900" w:h="16838" w:orient="portrait"/>
          <w:cols w:equalWidth="0" w:num="2">
            <w:col w:w="2760" w:space="720"/>
            <w:col w:w="6739"/>
          </w:cols>
          <w:pgMar w:left="240" w:top="312" w:right="1440" w:bottom="176" w:gutter="0" w:footer="0" w:header="0"/>
        </w:sectPr>
      </w:pPr>
    </w:p>
    <w:p>
      <w:pPr>
        <w:spacing w:after="0" w:line="22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spacing w:after="0" w:line="4" w:lineRule="exact"/>
        <w:rPr>
          <w:rFonts w:ascii="Courier New" w:cs="Courier New" w:eastAsia="Courier New" w:hAnsi="Courier New"/>
          <w:sz w:val="16"/>
          <w:szCs w:val="16"/>
          <w:color w:val="auto"/>
        </w:rPr>
      </w:pPr>
    </w:p>
    <w:p>
      <w:pPr>
        <w:ind w:left="640" w:right="3359"/>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DSL ACQUISITION CORPORATION (75-2735708)</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020" w:hanging="427"/>
        <w:spacing w:after="0" w:line="238" w:lineRule="auto"/>
        <w:tabs>
          <w:tab w:leader="none" w:pos="802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020" w:hanging="427"/>
        <w:spacing w:after="0" w:line="238" w:lineRule="auto"/>
        <w:tabs>
          <w:tab w:leader="none" w:pos="802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AF</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 TO</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84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0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405"/>
        </w:trPr>
        <w:tc>
          <w:tcPr>
            <w:tcW w:w="1840" w:type="dxa"/>
            <w:vAlign w:val="bottom"/>
          </w:tcPr>
          <w:p>
            <w:pPr>
              <w:jc w:val="center"/>
              <w:ind w:right="512"/>
              <w:spacing w:after="0"/>
              <w:rPr>
                <w:sz w:val="20"/>
                <w:szCs w:val="20"/>
                <w:color w:val="auto"/>
              </w:rPr>
            </w:pPr>
            <w:r>
              <w:rPr>
                <w:rFonts w:ascii="Courier New" w:cs="Courier New" w:eastAsia="Courier New" w:hAnsi="Courier New"/>
                <w:sz w:val="18"/>
                <w:szCs w:val="18"/>
                <w:color w:val="auto"/>
                <w:w w:val="97"/>
              </w:rPr>
              <w:t>OWNED BY</w:t>
            </w:r>
          </w:p>
        </w:tc>
        <w:tc>
          <w:tcPr>
            <w:tcW w:w="12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Courier New" w:cs="Courier New" w:eastAsia="Courier New" w:hAnsi="Courier New"/>
                <w:sz w:val="18"/>
                <w:szCs w:val="18"/>
                <w:color w:val="auto"/>
              </w:rPr>
              <w:t>15,290,381</w:t>
            </w:r>
          </w:p>
        </w:tc>
      </w:tr>
      <w:tr>
        <w:trPr>
          <w:trHeight w:val="203"/>
        </w:trPr>
        <w:tc>
          <w:tcPr>
            <w:tcW w:w="1840" w:type="dxa"/>
            <w:vAlign w:val="bottom"/>
          </w:tcPr>
          <w:p>
            <w:pPr>
              <w:spacing w:after="0"/>
              <w:rPr>
                <w:sz w:val="17"/>
                <w:szCs w:val="17"/>
                <w:color w:val="auto"/>
              </w:rPr>
            </w:pPr>
          </w:p>
        </w:tc>
        <w:tc>
          <w:tcPr>
            <w:tcW w:w="5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w:t>
            </w: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REPORTING</w:t>
            </w:r>
          </w:p>
        </w:tc>
        <w:tc>
          <w:tcPr>
            <w:tcW w:w="12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10</w:t>
            </w:r>
          </w:p>
        </w:tc>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1200" w:type="dxa"/>
            <w:vAlign w:val="bottom"/>
          </w:tcPr>
          <w:p>
            <w:pPr>
              <w:spacing w:after="0"/>
              <w:rPr>
                <w:sz w:val="17"/>
                <w:szCs w:val="17"/>
                <w:color w:val="auto"/>
              </w:rPr>
            </w:pPr>
          </w:p>
        </w:tc>
        <w:tc>
          <w:tcPr>
            <w:tcW w:w="4440" w:type="dxa"/>
            <w:vAlign w:val="bottom"/>
          </w:tcPr>
          <w:p>
            <w:pPr>
              <w:spacing w:after="0"/>
              <w:rPr>
                <w:sz w:val="17"/>
                <w:szCs w:val="17"/>
                <w:color w:val="auto"/>
              </w:rPr>
            </w:pPr>
          </w:p>
        </w:tc>
      </w:tr>
    </w:tbl>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15,290,381</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15,290,381</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w:t>
      </w:r>
    </w:p>
    <w:p>
      <w:pPr>
        <w:ind w:left="802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77.3%</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76" w:gutter="0" w:footer="0" w:header="0"/>
          <w:type w:val="continuous"/>
        </w:sectPr>
      </w:pPr>
    </w:p>
    <w:bookmarkStart w:id="4" w:name="page5"/>
    <w:bookmarkEnd w:id="4"/>
    <w:p>
      <w:pPr>
        <w:ind w:left="2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statement constitutes the initial filing by Texas Instruments Incorporated, a Delaware corporation ("Parent"), and DSL Acquisition Corporation, a Delaware corporation ("Purchaser"), under Section 13(d) of the Securities Exchange Act of 1934, as amended (the "Exchange Act"), and Rule 13d-1 promulgated thereunder. Parent and Purchaser are making this joint filing because they constitute a "group" within the meaning of Section 13(d)(3) of the Exchange Act.</w:t>
      </w:r>
    </w:p>
    <w:p>
      <w:pPr>
        <w:spacing w:after="0" w:line="200" w:lineRule="exact"/>
        <w:rPr>
          <w:sz w:val="20"/>
          <w:szCs w:val="20"/>
          <w:color w:val="auto"/>
        </w:rPr>
      </w:pP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class of equity securities to which this statement relates is:</w:t>
      </w:r>
    </w:p>
    <w:p>
      <w:pPr>
        <w:spacing w:after="0" w:line="207" w:lineRule="exact"/>
        <w:rPr>
          <w:sz w:val="20"/>
          <w:szCs w:val="20"/>
          <w:color w:val="auto"/>
        </w:rPr>
      </w:pPr>
    </w:p>
    <w:p>
      <w:pPr>
        <w:ind w:left="1380" w:right="2199"/>
        <w:spacing w:after="0" w:line="236" w:lineRule="auto"/>
        <w:rPr>
          <w:sz w:val="20"/>
          <w:szCs w:val="20"/>
          <w:color w:val="auto"/>
        </w:rPr>
      </w:pPr>
      <w:r>
        <w:rPr>
          <w:rFonts w:ascii="Courier New" w:cs="Courier New" w:eastAsia="Courier New" w:hAnsi="Courier New"/>
          <w:sz w:val="18"/>
          <w:szCs w:val="18"/>
          <w:color w:val="auto"/>
        </w:rPr>
        <w:t>Common Stock, par value $.20 per share (the "Common Stock"), of Amati Communications Corporation, a Delaware corporation (the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name of the issuer and the address of its principal executive offices</w:t>
      </w:r>
    </w:p>
    <w:p>
      <w:pPr>
        <w:spacing w:after="0" w:line="238" w:lineRule="auto"/>
        <w:rPr>
          <w:sz w:val="20"/>
          <w:szCs w:val="20"/>
          <w:color w:val="auto"/>
        </w:rPr>
      </w:pPr>
      <w:r>
        <w:rPr>
          <w:rFonts w:ascii="Courier New" w:cs="Courier New" w:eastAsia="Courier New" w:hAnsi="Courier New"/>
          <w:sz w:val="18"/>
          <w:szCs w:val="18"/>
          <w:color w:val="auto"/>
        </w:rPr>
        <w:t>are: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Amati Communications Corporation</w:t>
      </w:r>
    </w:p>
    <w:p>
      <w:pPr>
        <w:ind w:left="1380"/>
        <w:spacing w:after="0" w:line="238" w:lineRule="auto"/>
        <w:rPr>
          <w:sz w:val="20"/>
          <w:szCs w:val="20"/>
          <w:color w:val="auto"/>
        </w:rPr>
      </w:pPr>
      <w:r>
        <w:rPr>
          <w:rFonts w:ascii="Courier New" w:cs="Courier New" w:eastAsia="Courier New" w:hAnsi="Courier New"/>
          <w:sz w:val="18"/>
          <w:szCs w:val="18"/>
          <w:color w:val="auto"/>
        </w:rPr>
        <w:t>2043 Samaritan Drive</w:t>
      </w:r>
    </w:p>
    <w:p>
      <w:pPr>
        <w:ind w:left="1380"/>
        <w:spacing w:after="0"/>
        <w:rPr>
          <w:sz w:val="20"/>
          <w:szCs w:val="20"/>
          <w:color w:val="auto"/>
        </w:rPr>
      </w:pPr>
      <w:r>
        <w:rPr>
          <w:rFonts w:ascii="Courier New" w:cs="Courier New" w:eastAsia="Courier New" w:hAnsi="Courier New"/>
          <w:sz w:val="18"/>
          <w:szCs w:val="18"/>
          <w:color w:val="auto"/>
        </w:rPr>
        <w:t>San Jose, California 95124</w:t>
      </w:r>
    </w:p>
    <w:p>
      <w:pPr>
        <w:spacing w:after="0" w:line="200" w:lineRule="exact"/>
        <w:rPr>
          <w:sz w:val="20"/>
          <w:szCs w:val="20"/>
          <w:color w:val="auto"/>
        </w:rPr>
      </w:pP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name, the state of organization, the principal business, the address of the principal business and the address of the principal office of Parent and Purchaser are set forth below:</w:t>
      </w:r>
    </w:p>
    <w:p>
      <w:pPr>
        <w:spacing w:after="0" w:line="209" w:lineRule="exact"/>
        <w:rPr>
          <w:sz w:val="20"/>
          <w:szCs w:val="20"/>
          <w:color w:val="auto"/>
        </w:rPr>
      </w:pPr>
    </w:p>
    <w:p>
      <w:pPr>
        <w:ind w:right="1879" w:firstLine="429"/>
        <w:spacing w:after="0" w:line="237" w:lineRule="auto"/>
        <w:tabs>
          <w:tab w:leader="none" w:pos="84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 Delaware corporation, is a global semiconductor company and the world's leading designer and supplier of digital signal processing solutions. The principal executive offices of Parent are located at 13500 North Central Expressway, P.O. Box 655474, Dallas, Texas 75265-5474.</w:t>
      </w:r>
    </w:p>
    <w:p>
      <w:pPr>
        <w:spacing w:after="0" w:line="207" w:lineRule="exact"/>
        <w:rPr>
          <w:rFonts w:ascii="Courier New" w:cs="Courier New" w:eastAsia="Courier New" w:hAnsi="Courier New"/>
          <w:sz w:val="18"/>
          <w:szCs w:val="18"/>
          <w:color w:val="auto"/>
        </w:rPr>
      </w:pPr>
    </w:p>
    <w:p>
      <w:pPr>
        <w:ind w:right="2099" w:firstLine="429"/>
        <w:spacing w:after="0" w:line="237"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is a Delaware corporation and wholly owned subsidiary of Parent. It was formed at the direction of Parent for the sole purpose of consummating the acquisition of the Company pursuant to the Offer (as defined below) and the Merger (as defined below). The principal executive offices of Purchaser are located at 13500 North Central Expressway, P.O. Box 655474, Dallas, Texas 75265-5474.</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name, residence or business address, and present principal occupation or employment of each executive officer or director of Parent or Purchaser, of each person controlling Parent or Purchaser, and each executive officer and director of any corporation or other person ultimately in control of Parent or Purchaser and the name, principal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80"/>
        <w:spacing w:after="0" w:line="235" w:lineRule="auto"/>
        <w:rPr>
          <w:sz w:val="20"/>
          <w:szCs w:val="20"/>
          <w:color w:val="auto"/>
        </w:rPr>
      </w:pPr>
      <w:r>
        <w:rPr>
          <w:rFonts w:ascii="Courier New" w:cs="Courier New" w:eastAsia="Courier New" w:hAnsi="Courier New"/>
          <w:sz w:val="18"/>
          <w:szCs w:val="18"/>
          <w:color w:val="auto"/>
        </w:rPr>
        <w:t>and address of any corporation or other organization in which such employment is conducted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78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PRESENT PRINCIPAL OCCUPATION OR EMPLOYMENT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780" w:type="dxa"/>
            <w:vAlign w:val="bottom"/>
            <w:gridSpan w:val="2"/>
          </w:tcPr>
          <w:p>
            <w:pPr>
              <w:ind w:left="13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James R. Adams</w:t>
            </w:r>
          </w:p>
        </w:tc>
        <w:tc>
          <w:tcPr>
            <w:tcW w:w="678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Chairman of the Board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Boren</w:t>
            </w: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President</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University of Oklahoma</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B. Busey IV</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Retired from U.S. Navy</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A. Carp</w:t>
            </w: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President</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Chief Operating Officer of Eastman</w:t>
            </w:r>
          </w:p>
        </w:tc>
      </w:tr>
      <w:tr>
        <w:trPr>
          <w:trHeight w:val="203"/>
        </w:trPr>
        <w:tc>
          <w:tcPr>
            <w:tcW w:w="3440" w:type="dxa"/>
            <w:vAlign w:val="bottom"/>
          </w:tcPr>
          <w:p>
            <w:pPr>
              <w:spacing w:after="0"/>
              <w:rPr>
                <w:sz w:val="17"/>
                <w:szCs w:val="17"/>
                <w:color w:val="auto"/>
              </w:rPr>
            </w:pP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Kodak Company</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J. Engibous</w:t>
            </w: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President</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Chief Executive Officer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W. Fronterhouse</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Investments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Wayne R. Sanders</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Chairman of the Board and Chief Executive Officer of</w:t>
            </w:r>
          </w:p>
        </w:tc>
      </w:tr>
      <w:tr>
        <w:trPr>
          <w:trHeight w:val="203"/>
        </w:trPr>
        <w:tc>
          <w:tcPr>
            <w:tcW w:w="3440" w:type="dxa"/>
            <w:vAlign w:val="bottom"/>
          </w:tcPr>
          <w:p>
            <w:pPr>
              <w:spacing w:after="0"/>
              <w:rPr>
                <w:sz w:val="17"/>
                <w:szCs w:val="17"/>
                <w:color w:val="auto"/>
              </w:rPr>
            </w:pP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Kimberly-Clark Company</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Gloria M. Shatto</w:t>
            </w: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President</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Berry College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P. Weber</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Vice Chairman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Clayton K. Yeutter</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Of Counsel, Hogan &amp; Hartson</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Gary D. Clubb</w:t>
            </w: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Executive</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and President, Digital</w:t>
            </w:r>
          </w:p>
        </w:tc>
      </w:tr>
      <w:tr>
        <w:trPr>
          <w:trHeight w:val="203"/>
        </w:trPr>
        <w:tc>
          <w:tcPr>
            <w:tcW w:w="3440" w:type="dxa"/>
            <w:vAlign w:val="bottom"/>
          </w:tcPr>
          <w:p>
            <w:pPr>
              <w:spacing w:after="0"/>
              <w:rPr>
                <w:sz w:val="17"/>
                <w:szCs w:val="17"/>
                <w:color w:val="auto"/>
              </w:rPr>
            </w:pP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Imaging Group,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D. Martin</w:t>
            </w: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Executive</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K. Templeton</w:t>
            </w: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Executive</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Vice President and President, Semiconductor</w:t>
            </w:r>
          </w:p>
        </w:tc>
      </w:tr>
      <w:tr>
        <w:trPr>
          <w:trHeight w:val="203"/>
        </w:trPr>
        <w:tc>
          <w:tcPr>
            <w:tcW w:w="3440" w:type="dxa"/>
            <w:vAlign w:val="bottom"/>
          </w:tcPr>
          <w:p>
            <w:pPr>
              <w:spacing w:after="0"/>
              <w:rPr>
                <w:sz w:val="17"/>
                <w:szCs w:val="17"/>
                <w:color w:val="auto"/>
              </w:rPr>
            </w:pP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Group, of</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J. Agnich</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Senior Vice President, Secretary and General Counsel</w:t>
            </w:r>
          </w:p>
        </w:tc>
      </w:tr>
      <w:tr>
        <w:trPr>
          <w:trHeight w:val="203"/>
        </w:trPr>
        <w:tc>
          <w:tcPr>
            <w:tcW w:w="3440" w:type="dxa"/>
            <w:vAlign w:val="bottom"/>
          </w:tcPr>
          <w:p>
            <w:pPr>
              <w:spacing w:after="0"/>
              <w:rPr>
                <w:sz w:val="17"/>
                <w:szCs w:val="17"/>
                <w:color w:val="auto"/>
              </w:rPr>
            </w:pP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of Parent</w:t>
            </w:r>
          </w:p>
        </w:tc>
        <w:tc>
          <w:tcPr>
            <w:tcW w:w="46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A. Aylesworth</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Senior Vice President, Treasurer and Chief Financial</w:t>
            </w:r>
          </w:p>
        </w:tc>
      </w:tr>
      <w:tr>
        <w:trPr>
          <w:trHeight w:val="203"/>
        </w:trPr>
        <w:tc>
          <w:tcPr>
            <w:tcW w:w="3440" w:type="dxa"/>
            <w:vAlign w:val="bottom"/>
          </w:tcPr>
          <w:p>
            <w:pPr>
              <w:spacing w:after="0"/>
              <w:rPr>
                <w:sz w:val="17"/>
                <w:szCs w:val="17"/>
                <w:color w:val="auto"/>
              </w:rPr>
            </w:pP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Officer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Chuck F. Nielson</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Vice President of Human Resources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Elwin L. Skiles, Jr.</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Vice President of Corporate Communications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Barber</w:t>
            </w: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President</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Purchaser; Vice President,</w:t>
            </w:r>
          </w:p>
        </w:tc>
      </w:tr>
      <w:tr>
        <w:trPr>
          <w:trHeight w:val="203"/>
        </w:trPr>
        <w:tc>
          <w:tcPr>
            <w:tcW w:w="3440" w:type="dxa"/>
            <w:vAlign w:val="bottom"/>
          </w:tcPr>
          <w:p>
            <w:pPr>
              <w:spacing w:after="0"/>
              <w:rPr>
                <w:sz w:val="17"/>
                <w:szCs w:val="17"/>
                <w:color w:val="auto"/>
              </w:rPr>
            </w:pP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Semiconductor Group, of Parent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Marvin S. Self</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7"/>
              </w:rPr>
              <w:t>Vice President of the Purchaser; Senior Vice President</w:t>
            </w:r>
          </w:p>
        </w:tc>
      </w:tr>
      <w:tr>
        <w:trPr>
          <w:trHeight w:val="203"/>
        </w:trPr>
        <w:tc>
          <w:tcPr>
            <w:tcW w:w="3440" w:type="dxa"/>
            <w:vAlign w:val="bottom"/>
          </w:tcPr>
          <w:p>
            <w:pPr>
              <w:spacing w:after="0"/>
              <w:rPr>
                <w:sz w:val="17"/>
                <w:szCs w:val="17"/>
                <w:color w:val="auto"/>
              </w:rPr>
            </w:pP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and Chief</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Officer, Semiconductor Group, of</w:t>
            </w:r>
          </w:p>
        </w:tc>
      </w:tr>
      <w:tr>
        <w:trPr>
          <w:trHeight w:val="203"/>
        </w:trPr>
        <w:tc>
          <w:tcPr>
            <w:tcW w:w="3440" w:type="dxa"/>
            <w:vAlign w:val="bottom"/>
          </w:tcPr>
          <w:p>
            <w:pPr>
              <w:spacing w:after="0"/>
              <w:rPr>
                <w:sz w:val="17"/>
                <w:szCs w:val="17"/>
                <w:color w:val="auto"/>
              </w:rPr>
            </w:pPr>
          </w:p>
        </w:tc>
        <w:tc>
          <w:tcPr>
            <w:tcW w:w="21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Parent</w:t>
            </w:r>
          </w:p>
        </w:tc>
        <w:tc>
          <w:tcPr>
            <w:tcW w:w="46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Gregory L. Waters</w:t>
            </w: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Vice President of the Purchaser; Director of Network</w:t>
            </w:r>
          </w:p>
        </w:tc>
      </w:tr>
      <w:tr>
        <w:trPr>
          <w:trHeight w:val="203"/>
        </w:trPr>
        <w:tc>
          <w:tcPr>
            <w:tcW w:w="3440" w:type="dxa"/>
            <w:vAlign w:val="bottom"/>
          </w:tcPr>
          <w:p>
            <w:pPr>
              <w:spacing w:after="0"/>
              <w:rPr>
                <w:sz w:val="17"/>
                <w:szCs w:val="17"/>
                <w:color w:val="auto"/>
              </w:rPr>
            </w:pPr>
          </w:p>
        </w:tc>
        <w:tc>
          <w:tcPr>
            <w:tcW w:w="67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Access Products, Semiconductor Group, of Parent</w:t>
            </w:r>
          </w:p>
        </w:tc>
      </w:tr>
    </w:tbl>
    <w:p>
      <w:pPr>
        <w:spacing w:after="0" w:line="200" w:lineRule="exact"/>
        <w:rPr>
          <w:sz w:val="20"/>
          <w:szCs w:val="20"/>
          <w:color w:val="auto"/>
        </w:rPr>
      </w:pPr>
    </w:p>
    <w:p>
      <w:pPr>
        <w:spacing w:after="0" w:line="209" w:lineRule="exact"/>
        <w:rPr>
          <w:sz w:val="20"/>
          <w:szCs w:val="20"/>
          <w:color w:val="auto"/>
        </w:rPr>
      </w:pPr>
    </w:p>
    <w:p>
      <w:pPr>
        <w:ind w:right="2200" w:firstLine="421"/>
        <w:spacing w:after="0" w:line="236" w:lineRule="auto"/>
        <w:rPr>
          <w:sz w:val="20"/>
          <w:szCs w:val="20"/>
          <w:color w:val="auto"/>
        </w:rPr>
      </w:pPr>
      <w:r>
        <w:rPr>
          <w:rFonts w:ascii="Courier New" w:cs="Courier New" w:eastAsia="Courier New" w:hAnsi="Courier New"/>
          <w:sz w:val="18"/>
          <w:szCs w:val="18"/>
          <w:color w:val="auto"/>
        </w:rPr>
        <w:t>Each of the foregoing persons is a citizen of the United States. The business address of each of the foregoing persons is c/o Parent, 13500 North Central Expressway, P.O. Box 655474, Dallas, Texas 75265-5474.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20"/>
          </w:cols>
          <w:pgMar w:left="240" w:top="312" w:right="1439"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During the past five years, neither Parent nor Purchaser and, to the best knowledge of Parent and Purchaser, no other person referenced in this Item 2 has been convicted in a criminal proceeding (excluding traffic violations and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funds used by Purchaser to purchase the shares of Common Stock beneficially owned directly by Purchaser (and indirectly by Parent) were obtained through a capital contribution from Parent. Parent obtained such funds from its cash on hand.</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Parent, Purchaser and the Company are parties to an Agreement and Plan of Merger dated as of November 19, 1997 (the "Merger Agreement"). Pursuant to the Merger Agreement, Purchaser commenced on November 25, 1997 a tender offer (the "Offer") for all outstanding shares of Common Stock of the Company at a price of $20.00 per share, net to the seller in cash, without interest. The Offer expired at 12:00 midnight, New York City time, on December 23, 1997. Following the expiration of the Offer, Purchaser accepted for payment 15,290,381 shares of Common Stock (approximately 77.3% of the issued and outstanding shares of Common Stock) validly tendered and not withdrawn pursuant to the Offer, which number gives effect to the failure of a number of shares of Common Stock to be delivered in accordance with guaranteed delivery procedures. In accordance with the terms of the Merger Agreement, three of the Company's five directors resigned upon the consummation of the Offer and were replaced with three persons designated by Parent.</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Pursuant to the Merger Agreement, a meeting of the Company's stockholders will be held as soon as practicable for the purpose of approving the merger (the "Merger") of Purchaser with and into the Company. In connection with the Merger, the Company will become a wholly owned subsidiary of Parent and each issued and outstanding share of the Company's Common Stock (other than shares owned by Purchaser, held in the treasury of the Company or with respect to which dissenter's rights have been demanded and perfected in accordance with applicable Delaware law) shall be converted into the right to receive $20.00 in cash. Under Delaware law, the affirmative vote of holders of a majority of the outstanding shares of Common Stock entitled to vote, including the shares owned by Purchaser, will be required to approve the Merger. Because Purchaser owns approximately 77.3% of the shares of Common Stock entitled to vote, it will have the power to effect the Merger without the approval of any other stockholder of Company. Upon consummation of the Merger, Parent intends to delist the Company's Common Stock from the NASDAQ Stock Market and to terminate the registration of the same under Section 12 of the Exchange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purpose of the Offer and the Merger is to enable Parent, through Purchaser, to acquire control of the Company's board of directors and the entire equity interest in the Company. The Offer was commenced and consummated to increase the likelihood that the Merger would be completed promptly.</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Except for the Merger and the election of Parent's designees to fill a majority of the seats on the Company's board of directors, Parent and Purchaser have no present plans or proposal that would result in an extraordinary corporate transaction, such as a merger, reorganization, liquidation, or sale or transfer of a material amount of assets, involving the Company or any other material changes in the Company's capitalization, dividend policy, corporate structure, business or composition of its management. However, Parent and Westell Technologies, Inc. ("Westell") have entered into an agreement in principle to outsource to Westell certain of the Company's manufacturing activities so that following the Merger, the Company can focus on the commercial implementation of its technologies and research and development activities related thereto. Notwithstanding the foregoing, Parent intends to evaluate and review from time to time the Company's assets, operations, management and personnel and consider what, if any, changes would be desirable in light of circumstances which then exist. Parent reserves the right to take such actions or effect such changes as it deems advisable.</w:t>
      </w:r>
    </w:p>
    <w:p>
      <w:pPr>
        <w:spacing w:after="0" w:line="200" w:lineRule="exact"/>
        <w:rPr>
          <w:sz w:val="20"/>
          <w:szCs w:val="20"/>
          <w:color w:val="auto"/>
        </w:rPr>
      </w:pP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OF SECURITIES OF ISSUER</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Purchaser is the direct beneficial owner, and Parent is the indirect beneficial owner, of 15,290,381 shares of the Company's Common Stock (approximately 77.3% of the issued and outstanding shares). All of such shares were purchased pursuant to the Offer as described in Item 4.</w:t>
      </w:r>
    </w:p>
    <w:p>
      <w:pPr>
        <w:spacing w:after="0" w:line="207"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Parent and Purchaser may be deemed to share both the power to vote and the power to dispose of all shares of the Company's Common Stock held by Purchaser.</w:t>
      </w:r>
    </w:p>
    <w:p>
      <w:pPr>
        <w:spacing w:after="0" w:line="372" w:lineRule="exact"/>
        <w:rPr>
          <w:sz w:val="20"/>
          <w:szCs w:val="20"/>
          <w:color w:val="auto"/>
        </w:rPr>
      </w:pPr>
    </w:p>
    <w:p>
      <w:pPr>
        <w:ind w:left="1380" w:right="241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8"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Reference is hereby made to the information provided under Item 4 of this statement, which Item contains the information called for in response to this Item 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207" w:lineRule="exact"/>
        <w:rPr>
          <w:sz w:val="20"/>
          <w:szCs w:val="20"/>
          <w:color w:val="auto"/>
        </w:rPr>
      </w:pPr>
    </w:p>
    <w:p>
      <w:pPr>
        <w:ind w:left="2120" w:right="2199" w:hanging="1579"/>
        <w:spacing w:after="0" w:line="237" w:lineRule="auto"/>
        <w:tabs>
          <w:tab w:leader="none" w:pos="2100" w:val="left"/>
        </w:tabs>
        <w:rPr>
          <w:sz w:val="20"/>
          <w:szCs w:val="20"/>
          <w:color w:val="auto"/>
        </w:rPr>
      </w:pPr>
      <w:r>
        <w:rPr>
          <w:rFonts w:ascii="Courier New" w:cs="Courier New" w:eastAsia="Courier New" w:hAnsi="Courier New"/>
          <w:sz w:val="18"/>
          <w:szCs w:val="18"/>
          <w:color w:val="auto"/>
        </w:rPr>
        <w:t>Exhibit 2.1</w:t>
      </w:r>
      <w:r>
        <w:rPr>
          <w:sz w:val="20"/>
          <w:szCs w:val="20"/>
          <w:color w:val="auto"/>
        </w:rPr>
        <w:tab/>
      </w:r>
      <w:r>
        <w:rPr>
          <w:rFonts w:ascii="Courier New" w:cs="Courier New" w:eastAsia="Courier New" w:hAnsi="Courier New"/>
          <w:sz w:val="18"/>
          <w:szCs w:val="18"/>
          <w:color w:val="auto"/>
        </w:rPr>
        <w:t>Agreement and Plan of Merger, dated as of November 19, 1997, by and among the Company, Parent and Purchaser (Incorporated by reference to Exhibit (c)(1) of Parent's Schedule 14D-1 filed on November 25, 1997)</w:t>
      </w:r>
    </w:p>
    <w:p>
      <w:pPr>
        <w:spacing w:after="0" w:line="207" w:lineRule="exact"/>
        <w:rPr>
          <w:sz w:val="20"/>
          <w:szCs w:val="20"/>
          <w:color w:val="auto"/>
        </w:rPr>
      </w:pPr>
    </w:p>
    <w:p>
      <w:pPr>
        <w:ind w:left="2120" w:right="2619" w:hanging="1579"/>
        <w:spacing w:after="0" w:line="235" w:lineRule="auto"/>
        <w:tabs>
          <w:tab w:leader="none" w:pos="210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8"/>
          <w:szCs w:val="18"/>
          <w:color w:val="auto"/>
        </w:rPr>
        <w:t>Joint Filing Agreement, dated as of January 2, 1998, between Parent and Purchaser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622"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Richard K. Templeton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Richard K. Templeton,</w:t>
      </w:r>
    </w:p>
    <w:p>
      <w:pPr>
        <w:ind w:left="4640"/>
        <w:spacing w:after="0" w:line="238" w:lineRule="auto"/>
        <w:rPr>
          <w:sz w:val="20"/>
          <w:szCs w:val="20"/>
          <w:color w:val="auto"/>
        </w:rPr>
      </w:pPr>
      <w:r>
        <w:rPr>
          <w:rFonts w:ascii="Courier New" w:cs="Courier New" w:eastAsia="Courier New" w:hAnsi="Courier New"/>
          <w:sz w:val="18"/>
          <w:szCs w:val="18"/>
          <w:color w:val="auto"/>
        </w:rPr>
        <w:t>Executive Vice President</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DSL ACQUISITION CORPORATION</w:t>
      </w:r>
    </w:p>
    <w:p>
      <w:pPr>
        <w:spacing w:after="0" w:line="622"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George Barber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George Barber, President</w:t>
      </w:r>
    </w:p>
    <w:p>
      <w:pPr>
        <w:sectPr>
          <w:pgSz w:w="11900" w:h="16838" w:orient="portrait"/>
          <w:cols w:equalWidth="0" w:num="1">
            <w:col w:w="10219"/>
          </w:cols>
          <w:pgMar w:left="240" w:top="312"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9" w:lineRule="exact"/>
        <w:rPr>
          <w:sz w:val="20"/>
          <w:szCs w:val="20"/>
          <w:color w:val="auto"/>
        </w:rPr>
      </w:pPr>
    </w:p>
    <w:p>
      <w:pPr>
        <w:ind w:left="1900" w:right="2099" w:hanging="1684"/>
        <w:spacing w:after="0" w:line="237" w:lineRule="auto"/>
        <w:tabs>
          <w:tab w:leader="none" w:pos="1880" w:val="left"/>
        </w:tabs>
        <w:rPr>
          <w:sz w:val="20"/>
          <w:szCs w:val="20"/>
          <w:color w:val="auto"/>
        </w:rPr>
      </w:pPr>
      <w:r>
        <w:rPr>
          <w:rFonts w:ascii="Courier New" w:cs="Courier New" w:eastAsia="Courier New" w:hAnsi="Courier New"/>
          <w:sz w:val="18"/>
          <w:szCs w:val="18"/>
          <w:color w:val="auto"/>
        </w:rPr>
        <w:t>Exhibit 2.1</w:t>
      </w:r>
      <w:r>
        <w:rPr>
          <w:sz w:val="20"/>
          <w:szCs w:val="20"/>
          <w:color w:val="auto"/>
        </w:rPr>
        <w:tab/>
      </w:r>
      <w:r>
        <w:rPr>
          <w:rFonts w:ascii="Courier New" w:cs="Courier New" w:eastAsia="Courier New" w:hAnsi="Courier New"/>
          <w:sz w:val="18"/>
          <w:szCs w:val="18"/>
          <w:color w:val="auto"/>
        </w:rPr>
        <w:t>Agreement and Plan of Merger, dated as of November 19, 1997, by and among the Company, Parent and Purchaser (Incorporated by reference to Exhibit (c)(1) of Parent's Schedule 14D-1 filed on November 25, 1997)</w:t>
      </w:r>
    </w:p>
    <w:p>
      <w:pPr>
        <w:spacing w:after="0" w:line="207" w:lineRule="exact"/>
        <w:rPr>
          <w:sz w:val="20"/>
          <w:szCs w:val="20"/>
          <w:color w:val="auto"/>
        </w:rPr>
      </w:pPr>
    </w:p>
    <w:p>
      <w:pPr>
        <w:ind w:left="1900" w:right="2519" w:hanging="1684"/>
        <w:spacing w:after="0" w:line="235" w:lineRule="auto"/>
        <w:tabs>
          <w:tab w:leader="none" w:pos="188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8"/>
          <w:szCs w:val="18"/>
          <w:color w:val="auto"/>
        </w:rPr>
        <w:t>Joint Filing Agreement, dated as of January 2, 1998, between Parent and Purchaser</w:t>
      </w:r>
    </w:p>
    <w:p>
      <w:pPr>
        <w:sectPr>
          <w:pgSz w:w="11900" w:h="16838" w:orient="portrait"/>
          <w:cols w:equalWidth="0" w:num="1">
            <w:col w:w="9899"/>
          </w:cols>
          <w:pgMar w:left="56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Each of the undersigned parties hereby agrees that the Schedule 13D to which this Joint Filing Agreement is an Exhibit is filed by such parties jointly on behalf of each of them pursuant to Rule 13d-1(f)(1) promulgated by the Securities and Exchange Commission under the Securities Exchange Act of 1934, as amended.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622"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Richard K. Templeton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Richard K. Templeton,</w:t>
      </w:r>
    </w:p>
    <w:p>
      <w:pPr>
        <w:ind w:left="4640"/>
        <w:spacing w:after="0" w:line="238" w:lineRule="auto"/>
        <w:rPr>
          <w:sz w:val="20"/>
          <w:szCs w:val="20"/>
          <w:color w:val="auto"/>
        </w:rPr>
      </w:pPr>
      <w:r>
        <w:rPr>
          <w:rFonts w:ascii="Courier New" w:cs="Courier New" w:eastAsia="Courier New" w:hAnsi="Courier New"/>
          <w:sz w:val="18"/>
          <w:szCs w:val="18"/>
          <w:color w:val="auto"/>
        </w:rPr>
        <w:t>Executive Vice President</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DSL ACQUISITION CORPORATION</w:t>
      </w:r>
    </w:p>
    <w:p>
      <w:pPr>
        <w:spacing w:after="0" w:line="622"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George Barber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George Barber, President</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972"/>
    </w:lvl>
  </w:abstractNum>
  <w:abstractNum w:abstractNumId="3">
    <w:nsid w:val="66EF438D"/>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2019-12-16T12:09:49Z</dcterms:created>
  <dcterms:modified xsi:type="dcterms:W3CDTF">2019-12-16T12:09:49Z</dcterms:modified>
</cp:coreProperties>
</file>