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Prospectus Supplement</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To Prospectus Dated January 4, 2001</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right"/>
        <w:ind w:right="3840"/>
        <w:spacing w:after="0"/>
        <w:rPr>
          <w:sz w:val="20"/>
          <w:szCs w:val="20"/>
          <w:color w:val="auto"/>
        </w:rPr>
      </w:pPr>
      <w:r>
        <w:rPr>
          <w:rFonts w:ascii="Courier New" w:cs="Courier New" w:eastAsia="Courier New" w:hAnsi="Courier New"/>
          <w:sz w:val="15"/>
          <w:szCs w:val="15"/>
          <w:color w:val="auto"/>
        </w:rPr>
        <w:t>Filed Pursuant to Rule 424(b)(4)</w:t>
      </w:r>
    </w:p>
    <w:p>
      <w:pPr>
        <w:spacing w:after="0" w:line="13" w:lineRule="exact"/>
        <w:rPr>
          <w:sz w:val="24"/>
          <w:szCs w:val="24"/>
          <w:color w:val="auto"/>
        </w:rPr>
      </w:pPr>
    </w:p>
    <w:p>
      <w:pPr>
        <w:jc w:val="right"/>
        <w:ind w:right="3840"/>
        <w:spacing w:after="0"/>
        <w:rPr>
          <w:sz w:val="20"/>
          <w:szCs w:val="20"/>
          <w:color w:val="auto"/>
        </w:rPr>
      </w:pPr>
      <w:r>
        <w:rPr>
          <w:rFonts w:ascii="Courier New" w:cs="Courier New" w:eastAsia="Courier New" w:hAnsi="Courier New"/>
          <w:sz w:val="16"/>
          <w:szCs w:val="16"/>
          <w:color w:val="auto"/>
        </w:rPr>
        <w:t>Registration No. 333-44572-01</w:t>
      </w:r>
    </w:p>
    <w:p>
      <w:pPr>
        <w:spacing w:after="0" w:line="4" w:lineRule="exact"/>
        <w:rPr>
          <w:sz w:val="24"/>
          <w:szCs w:val="24"/>
          <w:color w:val="auto"/>
        </w:rPr>
      </w:pPr>
    </w:p>
    <w:p>
      <w:pPr>
        <w:jc w:val="right"/>
        <w:ind w:right="3840"/>
        <w:spacing w:after="0"/>
        <w:rPr>
          <w:sz w:val="20"/>
          <w:szCs w:val="20"/>
          <w:color w:val="auto"/>
        </w:rPr>
      </w:pPr>
      <w:r>
        <w:rPr>
          <w:rFonts w:ascii="Courier New" w:cs="Courier New" w:eastAsia="Courier New" w:hAnsi="Courier New"/>
          <w:sz w:val="16"/>
          <w:szCs w:val="16"/>
          <w:color w:val="auto"/>
        </w:rPr>
        <w:t>333-44572</w:t>
      </w:r>
    </w:p>
    <w:p>
      <w:pPr>
        <w:spacing w:after="0" w:line="200" w:lineRule="exact"/>
        <w:rPr>
          <w:sz w:val="24"/>
          <w:szCs w:val="24"/>
          <w:color w:val="auto"/>
        </w:rPr>
      </w:pPr>
    </w:p>
    <w:p>
      <w:pPr>
        <w:sectPr>
          <w:pgSz w:w="11900" w:h="16838" w:orient="portrait"/>
          <w:cols w:equalWidth="0" w:num="2">
            <w:col w:w="3901" w:space="720"/>
            <w:col w:w="6900"/>
          </w:cols>
          <w:pgMar w:left="239" w:top="238" w:right="139" w:bottom="1440" w:gutter="0" w:footer="0" w:header="0"/>
        </w:sectPr>
      </w:pPr>
    </w:p>
    <w:p>
      <w:pPr>
        <w:spacing w:after="0" w:line="173"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TEXAS INSTRUMENTS INCORPORATED</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2,257,113 SHARES OF COMMON STOCK</w:t>
      </w:r>
    </w:p>
    <w:p>
      <w:pPr>
        <w:spacing w:after="0" w:line="188"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ISSUABLE UPON CONVERSION OF TEXAS INSTRUMENTS TUCSON CORPORATION'S</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4 1/4% CONVERTIBLE SUBORDINATED NOTES DUE 2007</w:t>
      </w:r>
    </w:p>
    <w:p>
      <w:pPr>
        <w:spacing w:after="0" w:line="188" w:lineRule="exact"/>
        <w:rPr>
          <w:sz w:val="24"/>
          <w:szCs w:val="24"/>
          <w:color w:val="auto"/>
        </w:rPr>
      </w:pPr>
    </w:p>
    <w:p>
      <w:pPr>
        <w:ind w:left="336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1" w:right="3940" w:firstLine="1729"/>
        <w:spacing w:after="0" w:line="263" w:lineRule="auto"/>
        <w:rPr>
          <w:sz w:val="20"/>
          <w:szCs w:val="20"/>
          <w:color w:val="auto"/>
        </w:rPr>
      </w:pPr>
      <w:r>
        <w:rPr>
          <w:rFonts w:ascii="Courier New" w:cs="Courier New" w:eastAsia="Courier New" w:hAnsi="Courier New"/>
          <w:sz w:val="15"/>
          <w:szCs w:val="15"/>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7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CHANGE IN SELLING SECURITYHOLDER INFORMATION</w:t>
      </w:r>
    </w:p>
    <w:p>
      <w:pPr>
        <w:spacing w:after="0" w:line="190" w:lineRule="exact"/>
        <w:rPr>
          <w:sz w:val="24"/>
          <w:szCs w:val="24"/>
          <w:color w:val="auto"/>
        </w:rPr>
      </w:pPr>
    </w:p>
    <w:p>
      <w:pPr>
        <w:ind w:left="1" w:right="3940" w:firstLine="1729"/>
        <w:spacing w:after="0" w:line="243" w:lineRule="auto"/>
        <w:rPr>
          <w:sz w:val="20"/>
          <w:szCs w:val="20"/>
          <w:color w:val="auto"/>
        </w:rPr>
      </w:pPr>
      <w:r>
        <w:rPr>
          <w:rFonts w:ascii="Courier New" w:cs="Courier New" w:eastAsia="Courier New" w:hAnsi="Courier New"/>
          <w:sz w:val="16"/>
          <w:szCs w:val="16"/>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57" w:lineRule="exact"/>
        <w:rPr>
          <w:sz w:val="24"/>
          <w:szCs w:val="24"/>
          <w:color w:val="auto"/>
        </w:rPr>
      </w:pPr>
    </w:p>
    <w:tbl>
      <w:tblPr>
        <w:tblLayout w:type="fixed"/>
        <w:tblInd w:w="1"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340" w:type="dxa"/>
            <w:vAlign w:val="bottom"/>
          </w:tcPr>
          <w:p>
            <w:pPr>
              <w:jc w:val="center"/>
              <w:ind w:left="720"/>
              <w:spacing w:after="0"/>
              <w:rPr>
                <w:sz w:val="20"/>
                <w:szCs w:val="20"/>
                <w:color w:val="auto"/>
              </w:rPr>
            </w:pPr>
            <w:r>
              <w:rPr>
                <w:rFonts w:ascii="Courier New" w:cs="Courier New" w:eastAsia="Courier New" w:hAnsi="Courier New"/>
                <w:sz w:val="16"/>
                <w:szCs w:val="16"/>
                <w:color w:val="auto"/>
                <w:w w:val="99"/>
              </w:rPr>
              <w:t>PRINCIPAL</w:t>
            </w:r>
          </w:p>
        </w:tc>
        <w:tc>
          <w:tcPr>
            <w:tcW w:w="1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5"/>
        </w:trPr>
        <w:tc>
          <w:tcPr>
            <w:tcW w:w="4140" w:type="dxa"/>
            <w:vAlign w:val="bottom"/>
          </w:tcPr>
          <w:p>
            <w:pPr>
              <w:spacing w:after="0"/>
              <w:rPr>
                <w:sz w:val="16"/>
                <w:szCs w:val="16"/>
                <w:color w:val="auto"/>
              </w:rPr>
            </w:pPr>
          </w:p>
        </w:tc>
        <w:tc>
          <w:tcPr>
            <w:tcW w:w="2340" w:type="dxa"/>
            <w:vAlign w:val="bottom"/>
          </w:tcPr>
          <w:p>
            <w:pPr>
              <w:jc w:val="center"/>
              <w:ind w:left="720"/>
              <w:spacing w:after="0"/>
              <w:rPr>
                <w:sz w:val="20"/>
                <w:szCs w:val="20"/>
                <w:color w:val="auto"/>
              </w:rPr>
            </w:pPr>
            <w:r>
              <w:rPr>
                <w:rFonts w:ascii="Courier New" w:cs="Courier New" w:eastAsia="Courier New" w:hAnsi="Courier New"/>
                <w:sz w:val="16"/>
                <w:szCs w:val="16"/>
                <w:color w:val="auto"/>
                <w:w w:val="99"/>
              </w:rPr>
              <w:t>AMOUNT AT</w:t>
            </w: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4140" w:type="dxa"/>
            <w:vAlign w:val="bottom"/>
          </w:tcPr>
          <w:p>
            <w:pPr>
              <w:spacing w:after="0"/>
              <w:rPr>
                <w:sz w:val="16"/>
                <w:szCs w:val="16"/>
                <w:color w:val="auto"/>
              </w:rPr>
            </w:pPr>
          </w:p>
        </w:tc>
        <w:tc>
          <w:tcPr>
            <w:tcW w:w="2340" w:type="dxa"/>
            <w:vAlign w:val="bottom"/>
          </w:tcPr>
          <w:p>
            <w:pPr>
              <w:jc w:val="center"/>
              <w:ind w:left="720"/>
              <w:spacing w:after="0"/>
              <w:rPr>
                <w:sz w:val="20"/>
                <w:szCs w:val="20"/>
                <w:color w:val="auto"/>
              </w:rPr>
            </w:pPr>
            <w:r>
              <w:rPr>
                <w:rFonts w:ascii="Courier New" w:cs="Courier New" w:eastAsia="Courier New" w:hAnsi="Courier New"/>
                <w:sz w:val="16"/>
                <w:szCs w:val="16"/>
                <w:color w:val="auto"/>
              </w:rPr>
              <w:t>MATURITY OF</w:t>
            </w:r>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4140" w:type="dxa"/>
            <w:vAlign w:val="bottom"/>
          </w:tcPr>
          <w:p>
            <w:pPr>
              <w:spacing w:after="0"/>
              <w:rPr>
                <w:sz w:val="16"/>
                <w:szCs w:val="16"/>
                <w:color w:val="auto"/>
              </w:rPr>
            </w:pPr>
          </w:p>
        </w:tc>
        <w:tc>
          <w:tcPr>
            <w:tcW w:w="2340" w:type="dxa"/>
            <w:vAlign w:val="bottom"/>
          </w:tcPr>
          <w:p>
            <w:pPr>
              <w:jc w:val="center"/>
              <w:ind w:left="740"/>
              <w:spacing w:after="0"/>
              <w:rPr>
                <w:sz w:val="20"/>
                <w:szCs w:val="20"/>
                <w:color w:val="auto"/>
              </w:rPr>
            </w:pPr>
            <w:r>
              <w:rPr>
                <w:rFonts w:ascii="Courier New" w:cs="Courier New" w:eastAsia="Courier New" w:hAnsi="Courier New"/>
                <w:sz w:val="16"/>
                <w:szCs w:val="16"/>
                <w:color w:val="auto"/>
                <w:w w:val="99"/>
              </w:rPr>
              <w:t>NOTES</w:t>
            </w:r>
          </w:p>
        </w:tc>
        <w:tc>
          <w:tcPr>
            <w:tcW w:w="1640" w:type="dxa"/>
            <w:vAlign w:val="bottom"/>
          </w:tcPr>
          <w:p>
            <w:pPr>
              <w:spacing w:after="0"/>
              <w:rPr>
                <w:sz w:val="16"/>
                <w:szCs w:val="16"/>
                <w:color w:val="auto"/>
              </w:rPr>
            </w:pP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SHARES OF</w:t>
            </w:r>
          </w:p>
        </w:tc>
        <w:tc>
          <w:tcPr>
            <w:tcW w:w="1720" w:type="dxa"/>
            <w:vAlign w:val="bottom"/>
          </w:tcPr>
          <w:p>
            <w:pPr>
              <w:spacing w:after="0"/>
              <w:rPr>
                <w:sz w:val="16"/>
                <w:szCs w:val="16"/>
                <w:color w:val="auto"/>
              </w:rPr>
            </w:pPr>
          </w:p>
        </w:tc>
      </w:tr>
      <w:tr>
        <w:trPr>
          <w:trHeight w:val="185"/>
        </w:trPr>
        <w:tc>
          <w:tcPr>
            <w:tcW w:w="4140" w:type="dxa"/>
            <w:vAlign w:val="bottom"/>
          </w:tcPr>
          <w:p>
            <w:pPr>
              <w:spacing w:after="0"/>
              <w:rPr>
                <w:sz w:val="16"/>
                <w:szCs w:val="16"/>
                <w:color w:val="auto"/>
              </w:rPr>
            </w:pPr>
          </w:p>
        </w:tc>
        <w:tc>
          <w:tcPr>
            <w:tcW w:w="2340" w:type="dxa"/>
            <w:vAlign w:val="bottom"/>
          </w:tcPr>
          <w:p>
            <w:pPr>
              <w:jc w:val="center"/>
              <w:ind w:left="640"/>
              <w:spacing w:after="0"/>
              <w:rPr>
                <w:sz w:val="20"/>
                <w:szCs w:val="20"/>
                <w:color w:val="auto"/>
              </w:rPr>
            </w:pPr>
            <w:r>
              <w:rPr>
                <w:rFonts w:ascii="Courier New" w:cs="Courier New" w:eastAsia="Courier New" w:hAnsi="Courier New"/>
                <w:sz w:val="16"/>
                <w:szCs w:val="16"/>
                <w:color w:val="auto"/>
                <w:w w:val="98"/>
              </w:rPr>
              <w:t>BENEFICIALLY</w:t>
            </w: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PERCENTAGE OF</w:t>
            </w:r>
          </w:p>
        </w:tc>
        <w:tc>
          <w:tcPr>
            <w:tcW w:w="168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COMMON STOCK</w:t>
            </w:r>
          </w:p>
        </w:tc>
        <w:tc>
          <w:tcPr>
            <w:tcW w:w="1720" w:type="dxa"/>
            <w:vAlign w:val="bottom"/>
          </w:tcPr>
          <w:p>
            <w:pPr>
              <w:ind w:left="280"/>
              <w:spacing w:after="0"/>
              <w:rPr>
                <w:sz w:val="20"/>
                <w:szCs w:val="20"/>
                <w:color w:val="auto"/>
              </w:rPr>
            </w:pPr>
            <w:r>
              <w:rPr>
                <w:rFonts w:ascii="Courier New" w:cs="Courier New" w:eastAsia="Courier New" w:hAnsi="Courier New"/>
                <w:sz w:val="16"/>
                <w:szCs w:val="16"/>
                <w:color w:val="auto"/>
              </w:rPr>
              <w:t>PERCENTAGE OF</w:t>
            </w:r>
          </w:p>
        </w:tc>
      </w:tr>
      <w:tr>
        <w:trPr>
          <w:trHeight w:val="185"/>
        </w:trPr>
        <w:tc>
          <w:tcPr>
            <w:tcW w:w="4140" w:type="dxa"/>
            <w:vAlign w:val="bottom"/>
          </w:tcPr>
          <w:p>
            <w:pPr>
              <w:spacing w:after="0"/>
              <w:rPr>
                <w:sz w:val="16"/>
                <w:szCs w:val="16"/>
                <w:color w:val="auto"/>
              </w:rPr>
            </w:pPr>
          </w:p>
        </w:tc>
        <w:tc>
          <w:tcPr>
            <w:tcW w:w="2340" w:type="dxa"/>
            <w:vAlign w:val="bottom"/>
          </w:tcPr>
          <w:p>
            <w:pPr>
              <w:jc w:val="center"/>
              <w:ind w:left="620"/>
              <w:spacing w:after="0"/>
              <w:rPr>
                <w:sz w:val="20"/>
                <w:szCs w:val="20"/>
                <w:color w:val="auto"/>
              </w:rPr>
            </w:pPr>
            <w:r>
              <w:rPr>
                <w:rFonts w:ascii="Courier New" w:cs="Courier New" w:eastAsia="Courier New" w:hAnsi="Courier New"/>
                <w:sz w:val="16"/>
                <w:szCs w:val="16"/>
                <w:color w:val="auto"/>
                <w:w w:val="99"/>
              </w:rPr>
              <w:t>OWNED THAT</w:t>
            </w:r>
          </w:p>
        </w:tc>
        <w:tc>
          <w:tcPr>
            <w:tcW w:w="164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NOTES</w:t>
            </w:r>
          </w:p>
        </w:tc>
        <w:tc>
          <w:tcPr>
            <w:tcW w:w="168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8"/>
              </w:rPr>
              <w:t>THAT MAY</w:t>
            </w:r>
          </w:p>
        </w:tc>
        <w:tc>
          <w:tcPr>
            <w:tcW w:w="172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NAME OF SELLING SECURITYHOLDER</w:t>
            </w:r>
          </w:p>
        </w:tc>
        <w:tc>
          <w:tcPr>
            <w:tcW w:w="2340" w:type="dxa"/>
            <w:vAlign w:val="bottom"/>
          </w:tcPr>
          <w:p>
            <w:pPr>
              <w:jc w:val="center"/>
              <w:ind w:left="720"/>
              <w:spacing w:after="0"/>
              <w:rPr>
                <w:sz w:val="20"/>
                <w:szCs w:val="20"/>
                <w:color w:val="auto"/>
              </w:rPr>
            </w:pPr>
            <w:r>
              <w:rPr>
                <w:rFonts w:ascii="Courier New" w:cs="Courier New" w:eastAsia="Courier New" w:hAnsi="Courier New"/>
                <w:sz w:val="16"/>
                <w:szCs w:val="16"/>
                <w:color w:val="auto"/>
              </w:rPr>
              <w:t>MAY BE SOLD</w:t>
            </w:r>
          </w:p>
        </w:tc>
        <w:tc>
          <w:tcPr>
            <w:tcW w:w="1640" w:type="dxa"/>
            <w:vAlign w:val="bottom"/>
          </w:tcPr>
          <w:p>
            <w:pPr>
              <w:jc w:val="center"/>
              <w:ind w:right="220"/>
              <w:spacing w:after="0"/>
              <w:rPr>
                <w:sz w:val="20"/>
                <w:szCs w:val="20"/>
                <w:color w:val="auto"/>
              </w:rPr>
            </w:pPr>
            <w:r>
              <w:rPr>
                <w:rFonts w:ascii="Courier New" w:cs="Courier New" w:eastAsia="Courier New" w:hAnsi="Courier New"/>
                <w:sz w:val="16"/>
                <w:szCs w:val="16"/>
                <w:color w:val="auto"/>
              </w:rPr>
              <w:t>OUTSTANDING</w:t>
            </w:r>
          </w:p>
        </w:tc>
        <w:tc>
          <w:tcPr>
            <w:tcW w:w="168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BE SOLD(1)</w:t>
            </w:r>
          </w:p>
        </w:tc>
        <w:tc>
          <w:tcPr>
            <w:tcW w:w="1720" w:type="dxa"/>
            <w:vAlign w:val="bottom"/>
          </w:tcPr>
          <w:p>
            <w:pPr>
              <w:ind w:left="200"/>
              <w:spacing w:after="0"/>
              <w:rPr>
                <w:sz w:val="20"/>
                <w:szCs w:val="20"/>
                <w:color w:val="auto"/>
              </w:rPr>
            </w:pPr>
            <w:r>
              <w:rPr>
                <w:rFonts w:ascii="Courier New" w:cs="Courier New" w:eastAsia="Courier New" w:hAnsi="Courier New"/>
                <w:sz w:val="16"/>
                <w:szCs w:val="16"/>
                <w:color w:val="auto"/>
              </w:rPr>
              <w:t>OUTSTANDING(2)</w:t>
            </w:r>
          </w:p>
        </w:tc>
      </w:tr>
      <w:tr>
        <w:trPr>
          <w:trHeight w:val="185"/>
        </w:trPr>
        <w:tc>
          <w:tcPr>
            <w:tcW w:w="4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140" w:type="dxa"/>
            <w:vAlign w:val="bottom"/>
          </w:tcPr>
          <w:p>
            <w:pPr>
              <w:spacing w:after="0"/>
              <w:rPr>
                <w:sz w:val="20"/>
                <w:szCs w:val="20"/>
                <w:color w:val="auto"/>
              </w:rPr>
            </w:pPr>
            <w:r>
              <w:rPr>
                <w:rFonts w:ascii="Courier New" w:cs="Courier New" w:eastAsia="Courier New" w:hAnsi="Courier New"/>
                <w:sz w:val="16"/>
                <w:szCs w:val="16"/>
                <w:color w:val="auto"/>
              </w:rPr>
              <w:t>Value Line Convertible Fund, Inc.</w:t>
            </w:r>
          </w:p>
        </w:tc>
        <w:tc>
          <w:tcPr>
            <w:tcW w:w="2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$250,000</w:t>
            </w:r>
          </w:p>
        </w:tc>
        <w:tc>
          <w:tcPr>
            <w:tcW w:w="1640" w:type="dxa"/>
            <w:vAlign w:val="bottom"/>
          </w:tcPr>
          <w:p>
            <w:pPr>
              <w:jc w:val="center"/>
              <w:ind w:right="22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5,625</w:t>
            </w:r>
          </w:p>
        </w:tc>
        <w:tc>
          <w:tcPr>
            <w:tcW w:w="172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4"/>
          <w:szCs w:val="24"/>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90" w:lineRule="exact"/>
        <w:rPr>
          <w:sz w:val="24"/>
          <w:szCs w:val="24"/>
          <w:color w:val="auto"/>
        </w:rPr>
      </w:pPr>
    </w:p>
    <w:p>
      <w:pPr>
        <w:ind w:left="861" w:right="4020" w:hanging="861"/>
        <w:spacing w:after="0" w:line="244" w:lineRule="auto"/>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87" w:lineRule="exact"/>
        <w:rPr>
          <w:rFonts w:ascii="Courier New" w:cs="Courier New" w:eastAsia="Courier New" w:hAnsi="Courier New"/>
          <w:sz w:val="16"/>
          <w:szCs w:val="16"/>
          <w:color w:val="auto"/>
        </w:rPr>
      </w:pPr>
    </w:p>
    <w:p>
      <w:pPr>
        <w:ind w:left="861" w:right="3840" w:hanging="861"/>
        <w:spacing w:after="0" w:line="244" w:lineRule="auto"/>
        <w:tabs>
          <w:tab w:leader="none" w:pos="86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based on Rule 13d-3(d)(i) of the Securities and Exchange Act using 1,734,973,376 shares of Texas Instruments common stock issued and outstanding as of February 27, 2001. Assumes the number of shares of Texas Instruments common stock issuable upon conversion of all of that particular holder's notes are outstanding. However, this does not include the conversion of any other holder's notes.</w:t>
      </w:r>
    </w:p>
    <w:p>
      <w:pPr>
        <w:spacing w:after="0" w:line="188" w:lineRule="exact"/>
        <w:rPr>
          <w:sz w:val="24"/>
          <w:szCs w:val="24"/>
          <w:color w:val="auto"/>
        </w:rPr>
      </w:pPr>
    </w:p>
    <w:p>
      <w:pPr>
        <w:ind w:left="1" w:right="3940" w:firstLine="865"/>
        <w:spacing w:after="0" w:line="242" w:lineRule="auto"/>
        <w:rPr>
          <w:sz w:val="20"/>
          <w:szCs w:val="20"/>
          <w:color w:val="auto"/>
        </w:rPr>
      </w:pPr>
      <w:r>
        <w:rPr>
          <w:rFonts w:ascii="Courier New" w:cs="Courier New" w:eastAsia="Courier New" w:hAnsi="Courier New"/>
          <w:sz w:val="16"/>
          <w:szCs w:val="16"/>
          <w:color w:val="auto"/>
        </w:rPr>
        <w:t>THE SECURITIES OFFERED HEREBY INVOLVE A HIGH DEGREE OF RISK. SEE "RISK FACTORS" BEGINNING ON PAGE 3 OF THE PROSPECTUS.</w:t>
      </w:r>
    </w:p>
    <w:p>
      <w:pPr>
        <w:spacing w:after="0" w:line="187" w:lineRule="exact"/>
        <w:rPr>
          <w:sz w:val="24"/>
          <w:szCs w:val="24"/>
          <w:color w:val="auto"/>
        </w:rPr>
      </w:pPr>
    </w:p>
    <w:p>
      <w:pPr>
        <w:jc w:val="right"/>
        <w:ind w:right="3840"/>
        <w:spacing w:after="0"/>
        <w:rPr>
          <w:sz w:val="20"/>
          <w:szCs w:val="20"/>
          <w:color w:val="auto"/>
        </w:rPr>
      </w:pPr>
      <w:r>
        <w:rPr>
          <w:rFonts w:ascii="Courier New" w:cs="Courier New" w:eastAsia="Courier New" w:hAnsi="Courier New"/>
          <w:sz w:val="16"/>
          <w:szCs w:val="16"/>
          <w:color w:val="auto"/>
        </w:rPr>
        <w:t>NEITHER THE SECURITIES AND EXCHANGE COMMISSION NOR ANY STATE SECURITIES</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COMMISSION HAS APPROVED OR DISAPPROVED OF THESE SECURITIES OR DETERMINED IF THIS</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PROSPECTUS IS TRUTHFUL OR COMPLETE. ANY REPRESENTATION TO THE CONTRARY IS A</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CRIMINAL OFFENSE.</w:t>
      </w:r>
    </w:p>
    <w:p>
      <w:pPr>
        <w:spacing w:after="0" w:line="188"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The date of this Prospectus Supplement is March 1, 2001.</w:t>
      </w:r>
    </w:p>
    <w:sectPr>
      <w:pgSz w:w="11900" w:h="16838" w:orient="portrait"/>
      <w:cols w:equalWidth="0" w:num="1">
        <w:col w:w="11521"/>
      </w:cols>
      <w:pgMar w:left="239" w:top="23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2019-12-13T07:49:51Z</dcterms:created>
  <dcterms:modified xsi:type="dcterms:W3CDTF">2019-12-13T07:49:51Z</dcterms:modified>
</cp:coreProperties>
</file>