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79375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20" w:right="380" w:hanging="512"/>
        <w:spacing w:after="0" w:line="260"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600" w:type="dxa"/>
            <w:vAlign w:val="bottom"/>
            <w:gridSpan w:val="2"/>
          </w:tcPr>
          <w:p>
            <w:pPr>
              <w:ind w:left="3280"/>
              <w:spacing w:after="0" w:line="199"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0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gridSpan w:val="2"/>
          </w:tcPr>
          <w:p>
            <w:pPr>
              <w:ind w:left="80"/>
              <w:spacing w:after="0" w:line="199" w:lineRule="exact"/>
              <w:rPr>
                <w:sz w:val="20"/>
                <w:szCs w:val="20"/>
                <w:color w:val="auto"/>
              </w:rPr>
            </w:pPr>
            <w:r>
              <w:rPr>
                <w:rFonts w:ascii="Times New Roman" w:cs="Times New Roman" w:eastAsia="Times New Roman" w:hAnsi="Times New Roman"/>
                <w:sz w:val="18"/>
                <w:szCs w:val="18"/>
                <w:b w:val="1"/>
                <w:bCs w:val="1"/>
                <w:color w:val="auto"/>
              </w:rPr>
              <w:t>to</w:t>
            </w:r>
          </w:p>
        </w:tc>
        <w:tc>
          <w:tcPr>
            <w:tcW w:w="11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60" w:type="dxa"/>
            <w:vAlign w:val="bottom"/>
            <w:gridSpan w:val="9"/>
          </w:tcPr>
          <w:p>
            <w:pPr>
              <w:jc w:val="center"/>
              <w:ind w:left="2644"/>
              <w:spacing w:after="0"/>
              <w:rPr>
                <w:sz w:val="20"/>
                <w:szCs w:val="20"/>
                <w:color w:val="auto"/>
              </w:rPr>
            </w:pPr>
            <w:r>
              <w:rPr>
                <w:rFonts w:ascii="Times New Roman" w:cs="Times New Roman" w:eastAsia="Times New Roman" w:hAnsi="Times New Roman"/>
                <w:sz w:val="18"/>
                <w:szCs w:val="18"/>
                <w:b w:val="1"/>
                <w:bCs w:val="1"/>
                <w:color w:val="auto"/>
                <w:w w:val="99"/>
              </w:rPr>
              <w:t>Commission File Number 1-3761</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3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11400" w:type="dxa"/>
            <w:vAlign w:val="bottom"/>
            <w:gridSpan w:val="11"/>
          </w:tcPr>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60" w:type="dxa"/>
            <w:vAlign w:val="bottom"/>
            <w:gridSpan w:val="9"/>
          </w:tcPr>
          <w:p>
            <w:pPr>
              <w:jc w:val="center"/>
              <w:ind w:left="2624"/>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75-0289970</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gridSpan w:val="4"/>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12500 TI Boulevard, Dallas, Texas</w:t>
            </w:r>
          </w:p>
        </w:tc>
        <w:tc>
          <w:tcPr>
            <w:tcW w:w="3560" w:type="dxa"/>
            <w:vAlign w:val="bottom"/>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75243</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60" w:type="dxa"/>
            <w:vAlign w:val="bottom"/>
            <w:gridSpan w:val="9"/>
          </w:tcPr>
          <w:p>
            <w:pPr>
              <w:jc w:val="center"/>
              <w:ind w:left="262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214-479-3773</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60" w:type="dxa"/>
            <w:vAlign w:val="bottom"/>
            <w:gridSpan w:val="9"/>
          </w:tcPr>
          <w:p>
            <w:pPr>
              <w:jc w:val="center"/>
              <w:ind w:left="264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4"/>
          </w:tcPr>
          <w:p>
            <w:pPr>
              <w:jc w:val="right"/>
              <w:ind w:right="13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80" w:type="dxa"/>
            <w:vAlign w:val="bottom"/>
            <w:tcBorders>
              <w:top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gridSpan w:val="9"/>
          </w:tcPr>
          <w:p>
            <w:pPr>
              <w:jc w:val="center"/>
              <w:ind w:left="2624"/>
              <w:spacing w:after="0"/>
              <w:rPr>
                <w:sz w:val="20"/>
                <w:szCs w:val="20"/>
                <w:color w:val="auto"/>
              </w:rPr>
            </w:pPr>
            <w:r>
              <w:rPr>
                <w:rFonts w:ascii="Times New Roman" w:cs="Times New Roman" w:eastAsia="Times New Roman" w:hAnsi="Times New Roman"/>
                <w:sz w:val="18"/>
                <w:szCs w:val="18"/>
                <w:b w:val="1"/>
                <w:bCs w:val="1"/>
                <w:color w:val="auto"/>
                <w:w w:val="99"/>
              </w:rPr>
              <w:t xml:space="preserve">Securities registered pursuant to Section 12(g) of the Act: </w:t>
            </w:r>
            <w:r>
              <w:rPr>
                <w:rFonts w:ascii="Times New Roman" w:cs="Times New Roman" w:eastAsia="Times New Roman" w:hAnsi="Times New Roman"/>
                <w:sz w:val="18"/>
                <w:szCs w:val="18"/>
                <w:color w:val="auto"/>
                <w:w w:val="99"/>
              </w:rPr>
              <w:t>None</w:t>
            </w:r>
          </w:p>
        </w:tc>
        <w:tc>
          <w:tcPr>
            <w:tcW w:w="7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58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40" w:type="dxa"/>
            <w:vAlign w:val="bottom"/>
            <w:vMerge w:val="restart"/>
          </w:tcPr>
          <w:p>
            <w:pPr>
              <w:jc w:val="right"/>
              <w:ind w:right="147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8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2040" w:type="dxa"/>
            <w:vAlign w:val="bottom"/>
          </w:tcPr>
          <w:p>
            <w:pPr>
              <w:jc w:val="right"/>
              <w:ind w:right="131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 w:lineRule="exact"/>
        <w:rPr>
          <w:sz w:val="24"/>
          <w:szCs w:val="24"/>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22" w:right="239" w:bottom="1440" w:gutter="0" w:footer="0" w:header="0"/>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o</w:t>
        <w:tab/>
        <w:t>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o</w:t>
        <w:tab/>
        <w:t>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47" w:lineRule="exact"/>
        <w:rPr>
          <w:sz w:val="24"/>
          <w:szCs w:val="24"/>
          <w:color w:val="auto"/>
        </w:rPr>
      </w:pPr>
    </w:p>
    <w:p>
      <w:pPr>
        <w:sectPr>
          <w:pgSz w:w="11900" w:h="16838" w:orient="portrait"/>
          <w:cols w:equalWidth="0" w:num="6">
            <w:col w:w="1800" w:space="720"/>
            <w:col w:w="160" w:space="200"/>
            <w:col w:w="1900" w:space="720"/>
            <w:col w:w="2140" w:space="720"/>
            <w:col w:w="2320" w:space="520"/>
            <w:col w:w="220"/>
          </w:cols>
          <w:pgMar w:left="240" w:top="322" w:right="239" w:bottom="1440" w:gutter="0" w:footer="0" w:header="0"/>
          <w:type w:val="continuous"/>
        </w:sectPr>
      </w:pP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5">
            <w:col w:w="7500" w:space="160"/>
            <w:col w:w="260" w:space="100"/>
            <w:col w:w="160" w:space="180"/>
            <w:col w:w="220" w:space="80"/>
            <w:col w:w="2760"/>
          </w:cols>
          <w:pgMar w:left="240" w:top="322" w:right="239" w:bottom="1440" w:gutter="0" w:footer="0" w:header="0"/>
          <w:type w:val="continuous"/>
        </w:sectPr>
      </w:pPr>
    </w:p>
    <w:p>
      <w:pPr>
        <w:ind w:left="2580" w:right="1300" w:hanging="2571"/>
        <w:spacing w:after="0" w:line="313"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approximately $53,229,272,810 as of June 30, 2015. 1,005,257,723 (Number of shares of common stock outstanding as of February 22, 2016)</w:t>
      </w:r>
    </w:p>
    <w:p>
      <w:pPr>
        <w:spacing w:after="0"/>
        <w:rPr>
          <w:sz w:val="20"/>
          <w:szCs w:val="20"/>
          <w:color w:val="auto"/>
        </w:rPr>
      </w:pPr>
      <w:r>
        <w:rPr>
          <w:rFonts w:ascii="Times New Roman" w:cs="Times New Roman" w:eastAsia="Times New Roman" w:hAnsi="Times New Roman"/>
          <w:sz w:val="18"/>
          <w:szCs w:val="18"/>
          <w:color w:val="auto"/>
        </w:rPr>
        <w:t>Part III hereof incorporates information by reference to the Registrant’s proxy statement for the 2016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690880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two reportable segments: Analog and Embedded Processing. We report the results of our remaining business activities in Other. In 2015, we generated $13 billion of revenue.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focus our resources on Analog and Embedded Processing because we believe that these segments’ long product life cycles, intrinsic diversity and need for less capital-intensive manufacturing provide a combination of stability, profitability and strong cash generation. This business model is the foundation of our capital management strategy, which is based on our belief that free cash flow growth is important for maximizing shareholder value over the long term. Free cash flow is cash flow from operations less capital expenditures.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information</w:t>
      </w:r>
    </w:p>
    <w:p>
      <w:pPr>
        <w:spacing w:after="0" w:line="13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Semiconductors are electronic components that serve as the building blocks inside modern electronic systems and equipment. Semiconductors, generally known as “chips,” combine multiple transistors on a single piece of material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sell catalog and application-specific standard semiconductor products, both of which we market to multiple customers. Catalog products are designed for use by many customers and/or many applications.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 We also sell custom semiconductor products, which are designed for a specific customer to use in a specific application and are sold only to that customer. The vast majority of our revenue is derived from products that are differentiated from competitors’ products. Our products are sold through distribution channels and directly to customers.</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 Additional information regarding each segment follows.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Analog</w:t>
      </w:r>
    </w:p>
    <w:p>
      <w:pPr>
        <w:spacing w:after="0" w:line="13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Analog generated $8.3 billion of revenue in 2015.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also are used to manage power in every electronic device by converting, distributing, storing, discharging, isolating and measuring electrical energy, whether the device is plugged into a wall or running off a battery. Our Analog products are used in many markets, particularly personal electronics and industrial.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our Analog products generated about 64 percent of our revenue in 2015. According to external sources, the market for analog semiconductors was</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$45 billion in 2015. Our Analog segment’s revenue in 2015 was 18 percent of this fragmented market, the leading position. We believe we are well positioned to increase our market share over time.</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Analog segment includes the following major product lines: High Volume Analog &amp; Logic (HVAL), Power Management (Power), High Performance Analog (HPA) and Silicon Valley Analog (SVA).</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HVAL</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These include high-volume integrated ASSPs and high-volume catalog products. HVAL products support applications like automotive safety devices, touchscreen controllers, low-voltage motor drivers and integrated motor controllers.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Power</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include both catalog products and ASSPs that help customers manage power in electronic systems. Our broad portfolio of Power products is designed to enhance the efficiency of powered devices using battery management solutions, portable power devices, power supply controls and point-of-load products.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HPA</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include catalog products that we market to many different customers who use them in manufacturing a wide range of products. HPA products include high-speed data converters, amplifiers, sensors, high-reliability products, interface products and precision products that are typically used in systems that require high performance. HPA products generally have long life cycles, often more than 10 years.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SVA</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include a broad portfolio of industrial, high-voltage power management, data converter, interface and operational amplifier catalog products used in manufacturing a wide range of electronic systems. SVA products support applications like video and data interface products, high voltage power conversion, and mobile lighting and display systems. SVA products generally have long life cycles, often more than 10 years. SVA consists primarily of products that we acquired through our purchase of National Semiconductor Corporation in 2011.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Embedded Processing</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Embedded Processing generated $2.8 billion of revenue in 2015. 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automotive applications such as infotainment systems and advanced driver assistance systems (ADAS). Our Embedded Processing products are used in many markets, particularly industrial and automotive.</w:t>
      </w:r>
    </w:p>
    <w:p>
      <w:pPr>
        <w:spacing w:after="0" w:line="21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Sales of Embedded Processing products generated about 21 percent of our revenue in 2015. According to external sources, the market for embedded processors was $18 billion in 2015. Our 15 percent share of this fragmented market is among the leaders. We believe we are well positioned to increase our market share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Embedded Processing segment includes the following major product lines: Microcontrollers, Processors and Connectivity.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Microcontrollers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include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Processors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include digital signal processors (DSPs) and applications processors. DSPs perform mathematical computations almost instantaneously to process or improve digital data. Processors are typically tailored for a specific class of applications such as industrial (factory automation or grid infrastructure) and automotive (infotainment and ADAS). They are also sold into broad industrial applications.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Connectivity</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include products that enable electronic devices to seamlessly connect and transfer data, and the requirements for speed, data capability, distance, power and security vary depending on the application. Our Connectivity products support many wireless technologies to meet these requirements, including low-power wireless network standards like Zigbee® and other technologies like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3" w:name="page4"/>
    <w:bookmarkEnd w:id="3"/>
    <w:p>
      <w:pPr>
        <w:ind w:right="320"/>
        <w:spacing w:after="0" w:line="282" w:lineRule="auto"/>
        <w:rPr>
          <w:sz w:val="20"/>
          <w:szCs w:val="20"/>
          <w:color w:val="auto"/>
        </w:rPr>
      </w:pPr>
      <w:r>
        <w:rPr>
          <w:rFonts w:ascii="Times New Roman" w:cs="Times New Roman" w:eastAsia="Times New Roman" w:hAnsi="Times New Roman"/>
          <w:sz w:val="18"/>
          <w:szCs w:val="18"/>
          <w:color w:val="auto"/>
        </w:rPr>
        <w:t>Bluetooth®, WiFi and GPS. Our Connectivity products are usually designed into customer devices alongside our processor and microcontroller products, enabling data to be collected, transmitted and acted upon.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the results of our remaining business activities in Other, which generated $1.9 billion of revenue in 2015 and includes:</w:t>
      </w:r>
    </w:p>
    <w:p>
      <w:pPr>
        <w:spacing w:after="0" w:line="131" w:lineRule="exact"/>
        <w:rPr>
          <w:sz w:val="20"/>
          <w:szCs w:val="20"/>
          <w:color w:val="auto"/>
        </w:rPr>
      </w:pPr>
    </w:p>
    <w:p>
      <w:pPr>
        <w:ind w:left="10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smaller product lines, such as DLP® products (primarily used in projectors to create high-definition images), calculators and certain custom semiconductors known as application-specific integrated circuits (ASICs).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received from agreements involving license rights to our patent portfolio.</w:t>
      </w:r>
    </w:p>
    <w:p>
      <w:pPr>
        <w:spacing w:after="0" w:line="2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also include in Other items that are not used in evaluating the results of or in allocating resources to our segments. Examples of these items include acquisition charges; restructuring charges; revenue from our legacy wireless products; and certain corporate-level items, such as litigation expenses, environmental costs, insurance settlements, and gains and losses from other activities, including asset dispositions.</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Financial information with respect to our segments and our operations outside the United States is contained in Note 1 to the financial statements, which is included in Item 8, “Financial Statements and Supplementary Data.” Risks attendant to our foreign operations are described in Item 1A, “Risk Factors.”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Markets for our products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lists the major markets that used our products in 2015 and the estimated percentage of our 2015 revenue that the market represented. The chart also lists, in decreasing order of our revenue, the sectors within each market.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Borders>
              <w:bottom w:val="single" w:sz="8" w:color="CFF0FC"/>
            </w:tcBorders>
          </w:tcPr>
          <w:p>
            <w:pPr>
              <w:spacing w:after="0"/>
              <w:rPr>
                <w:sz w:val="15"/>
                <w:szCs w:val="15"/>
                <w:color w:val="auto"/>
              </w:rPr>
            </w:pPr>
          </w:p>
        </w:tc>
        <w:tc>
          <w:tcPr>
            <w:tcW w:w="564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Sectors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Industrial</w:t>
            </w:r>
          </w:p>
        </w:tc>
        <w:tc>
          <w:tcPr>
            <w:tcW w:w="160" w:type="dxa"/>
            <w:vAlign w:val="bottom"/>
            <w:shd w:val="clear" w:color="auto" w:fill="CFF0FC"/>
          </w:tcPr>
          <w:p>
            <w:pPr>
              <w:spacing w:after="0"/>
              <w:rPr>
                <w:sz w:val="16"/>
                <w:szCs w:val="16"/>
                <w:color w:val="auto"/>
              </w:rPr>
            </w:pPr>
          </w:p>
        </w:tc>
        <w:tc>
          <w:tcPr>
            <w:tcW w:w="56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Factory automation and 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 of TI revenue)</w:t>
            </w: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Medical/healthcare/fitness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Building automation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Grid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Test and measurement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Motor drives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Electronic point of sale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Space/avionics/defense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Display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Power delivery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Appliances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Lighting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Industrial transportation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Industrial other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Automotive</w:t>
            </w:r>
          </w:p>
        </w:tc>
        <w:tc>
          <w:tcPr>
            <w:tcW w:w="58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Infotainment and cluster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of TI revenue)</w:t>
            </w: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Passive safety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Body electronics and lighting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Hybrid/electric vehicle and powertrain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Personal electronics</w:t>
            </w:r>
          </w:p>
        </w:tc>
        <w:tc>
          <w:tcPr>
            <w:tcW w:w="580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Mobile phones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of TI revenue)</w:t>
            </w: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Personal and notebook computers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TV/set-top box/audio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Printers and other peripherals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Tablets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Wearables (non-medical)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Gaming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Communications equipment</w:t>
            </w:r>
          </w:p>
        </w:tc>
        <w:tc>
          <w:tcPr>
            <w:tcW w:w="58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Wireless infrastructure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of TI revenue)</w:t>
            </w: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Telecom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Enterprise switching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Enterprise systems</w:t>
            </w:r>
          </w:p>
        </w:tc>
        <w:tc>
          <w:tcPr>
            <w:tcW w:w="580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Projectors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 of TI revenue)</w:t>
            </w: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High-performance computing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Multi-function printers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p>
        </w:tc>
        <w:tc>
          <w:tcPr>
            <w:tcW w:w="5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Thin client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(calculators, royalties and other)</w:t>
            </w:r>
          </w:p>
        </w:tc>
        <w:tc>
          <w:tcPr>
            <w:tcW w:w="1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of TI revenue)</w:t>
            </w:r>
          </w:p>
        </w:tc>
        <w:tc>
          <w:tcPr>
            <w:tcW w:w="1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characteristics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Competitive landscape</w:t>
      </w:r>
    </w:p>
    <w:p>
      <w:pPr>
        <w:spacing w:after="0" w:line="11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analog and embedded processing markets are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competitive performance in the semiconductor market generally depends on several factors, including the breadth of a company’s product line, the strength and depth of the sales network, technological innovation, product development execution, technical support, customer service, quality, reliability, price and scale. 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integration and power characteristics.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cycle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semiconductor market is characterized by constant, though generally incremental, advances in product designs and manufacturing processes.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Semiconductor prices and manufacturing costs tend to decline over time as manufacturing processes and product life cycles mature.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cycle</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“semiconductor cycle”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employ several strategies to dampen the effect of the semiconductor cycle on TI. We acquire our facilities and equipment ahead of demand, which usually allows us to acquire this capacity at lower costs. We focus our resources on our Analog and Embedded Processing segments, which serve diverse markets and diverse customers. This diversity reduces our dependence on the performance of a single market or small group of customers. Additionally, we utilize consignment inventory programs with our customers and distributors.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Seasonality</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revenue is subject to some seasonal variation. Historically, our semiconductor revenue growth rate tends to be weaker in the first and fourth quarters when compared to the second and third quarters. Calculator revenue is tied to the U.S. back-to-school season and is therefore at its highest in the second and third quarters.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and requires an average of 12 weeks, with most products completing within 7 to 16 weeks.</w:t>
      </w:r>
    </w:p>
    <w:p>
      <w:pPr>
        <w:spacing w:after="0" w:line="20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We own much of our manufacturing capacity; therefore, a significant portion of our operating cost is fixed and changes in factory loadings can cause short-term variations in profit margins. When factory loadings decrease, our fixed costs are spread over reduced output and, absent other circumstances, our profit margins decrease. Conversely, as factory loadings increase, our fixed costs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are spread over increased output and, absent other circumstances, our profit margins increase. Our operating focus is more on maximizing long-term free cash flow than minimizing short-term variations in profit margins caused by factory loadings.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this end, we seek to maximize long-term free cash flow by keeping capital expenditures low through opportunistic purchases of facilities and equipment ahead of demand. For example, in 2013 we purchased an assembly/test facility in Chengdu, China. In 2015 we began production at an existing facility in Dallas, Texas, that we adapted to manufacture analog products using 300-millimeter wafers, our most cost-effective manufacturing process. These activities may have near-term effects on our profit margins, but we believe they will result in long-term benefits to free cash flow.</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2015, we sourced about 20 percent of our total wafers from external foundries and about 40 percent of our assembly/test services from subcontractors.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estimate that we sell our products to more than 100,000 customers. Our customer base is diverse, with one-third of our revenue deriving from customers outside our largest 100. Our largest single end customer in 2015 was Apple Inc. Apple accounted for approximately 11 percent of revenue, recognized primarily in our Analog segment.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market and sell our semiconductor products through a direct sales force and distributors. We have sales or marketing offices in more than 30 countries. About 60 percent of our revenue comes through distribution channels. Our distributors maintain an inventory of our products and sell directly to a wide range of customers. They also sell products from our competitors.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inventory practices differ by product, but we generally maintain inventory levels that are consistent with our expectations of customer demand. We carry proportionally more inventory of products with long life cycles and a broad customer base. Additionally, we sometimes maintain product inventory in unfinished wafer form, as well as higher finished-goods inventory of low-volume products, allowing greater flexibility in periods of high demand.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generate about 55 percent of our revenue from consignment inventory programs that we have in place for our large customers and distributors. With these programs, we own inventory that is stored at our customers’ and distributors’ locations, and we recognize revenue when the product is pulled from consigned inventory. These consignment programs give us improved insight into demand, allowing us to better manage our factory loadings. About 60 percent of our distributor revenue is generated from sales of consigned inventory.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$0.95 billion at December 31, 2015, and $0.94 billion at December 31, 2014.</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divestitures and investments</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time to time we consider acquisitions and divestitures that may strengthen our business portfolio. We also make investments directly or indirectly in private companies. Investments are focused primarily on next-generation technologies and markets strategic to us.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to our portfolio and anticipate that other license agreements may be negotiated in the future. In general, our license agreements have multi-year terms and may be renewed after renegotiation.</w:t>
      </w:r>
    </w:p>
    <w:p>
      <w:pPr>
        <w:spacing w:after="0" w:line="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own trademarks that are used in the conduct of our business. These trademarks are valuable assets, the most important of which are “Texas Instruments” and our corporate monogram. DLP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another valuable trademark.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R&amp;D expense was $1.28 billion in 2015, compared with $1.36 billion in 2014 and $1.52 billion in 2013. Our primary areas of R&amp;D investment are Analog and Embedded Processing products.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 most of our R&amp;D internally. However, we also closely engage with a wide range of third parties, including software suppliers, universities and select industry consortia, and we collaborate with our foundry suppliers on semiconductor manufacturing technology.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an alphabetical list of the names and ages of the executive officers of the company and the positions or offices with the company held by each person named: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Age</w:t>
            </w:r>
          </w:p>
        </w:tc>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A. Anderson</w:t>
            </w:r>
          </w:p>
        </w:tc>
        <w:tc>
          <w:tcPr>
            <w:tcW w:w="920" w:type="dxa"/>
            <w:vAlign w:val="bottom"/>
            <w:shd w:val="clear" w:color="auto" w:fill="CFF0FC"/>
          </w:tcPr>
          <w:p>
            <w:pPr>
              <w:jc w:val="center"/>
              <w:ind w:left="252"/>
              <w:spacing w:after="0"/>
              <w:rPr>
                <w:sz w:val="20"/>
                <w:szCs w:val="20"/>
                <w:color w:val="auto"/>
              </w:rPr>
            </w:pPr>
            <w:r>
              <w:rPr>
                <w:rFonts w:ascii="Times New Roman" w:cs="Times New Roman" w:eastAsia="Times New Roman" w:hAnsi="Times New Roman"/>
                <w:sz w:val="18"/>
                <w:szCs w:val="18"/>
                <w:color w:val="auto"/>
                <w:w w:val="99"/>
              </w:rPr>
              <w:t>54</w:t>
            </w:r>
          </w:p>
        </w:tc>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Brian T. Crutcher</w:t>
            </w:r>
          </w:p>
        </w:tc>
        <w:tc>
          <w:tcPr>
            <w:tcW w:w="9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43</w:t>
            </w: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Gregory Delagi</w:t>
            </w:r>
          </w:p>
        </w:tc>
        <w:tc>
          <w:tcPr>
            <w:tcW w:w="920" w:type="dxa"/>
            <w:vAlign w:val="bottom"/>
            <w:shd w:val="clear" w:color="auto" w:fill="CFF0FC"/>
          </w:tcPr>
          <w:p>
            <w:pPr>
              <w:jc w:val="center"/>
              <w:ind w:left="252"/>
              <w:spacing w:after="0"/>
              <w:rPr>
                <w:sz w:val="20"/>
                <w:szCs w:val="20"/>
                <w:color w:val="auto"/>
              </w:rPr>
            </w:pPr>
            <w:r>
              <w:rPr>
                <w:rFonts w:ascii="Times New Roman" w:cs="Times New Roman" w:eastAsia="Times New Roman" w:hAnsi="Times New Roman"/>
                <w:sz w:val="18"/>
                <w:szCs w:val="18"/>
                <w:color w:val="auto"/>
                <w:w w:val="99"/>
              </w:rPr>
              <w:t>53</w:t>
            </w:r>
          </w:p>
        </w:tc>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Kevin P. March</w:t>
            </w:r>
          </w:p>
        </w:tc>
        <w:tc>
          <w:tcPr>
            <w:tcW w:w="9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58</w:t>
            </w: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J. Ritchie</w:t>
            </w:r>
          </w:p>
        </w:tc>
        <w:tc>
          <w:tcPr>
            <w:tcW w:w="920" w:type="dxa"/>
            <w:vAlign w:val="bottom"/>
            <w:shd w:val="clear" w:color="auto" w:fill="CFF0FC"/>
          </w:tcPr>
          <w:p>
            <w:pPr>
              <w:jc w:val="center"/>
              <w:ind w:left="252"/>
              <w:spacing w:after="0"/>
              <w:rPr>
                <w:sz w:val="20"/>
                <w:szCs w:val="20"/>
                <w:color w:val="auto"/>
              </w:rPr>
            </w:pPr>
            <w:r>
              <w:rPr>
                <w:rFonts w:ascii="Times New Roman" w:cs="Times New Roman" w:eastAsia="Times New Roman" w:hAnsi="Times New Roman"/>
                <w:sz w:val="18"/>
                <w:szCs w:val="18"/>
                <w:color w:val="auto"/>
                <w:w w:val="99"/>
              </w:rPr>
              <w:t>59</w:t>
            </w:r>
          </w:p>
        </w:tc>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Richard K. Templeton</w:t>
            </w:r>
          </w:p>
        </w:tc>
        <w:tc>
          <w:tcPr>
            <w:tcW w:w="9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57</w:t>
            </w: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Chairman of the Board; President and Chief Executive Officer</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Cynthia Hoff Trochu</w:t>
            </w:r>
          </w:p>
        </w:tc>
        <w:tc>
          <w:tcPr>
            <w:tcW w:w="920" w:type="dxa"/>
            <w:vAlign w:val="bottom"/>
            <w:shd w:val="clear" w:color="auto" w:fill="CFF0FC"/>
          </w:tcPr>
          <w:p>
            <w:pPr>
              <w:jc w:val="center"/>
              <w:ind w:left="252"/>
              <w:spacing w:after="0"/>
              <w:rPr>
                <w:sz w:val="20"/>
                <w:szCs w:val="20"/>
                <w:color w:val="auto"/>
              </w:rPr>
            </w:pPr>
            <w:r>
              <w:rPr>
                <w:rFonts w:ascii="Times New Roman" w:cs="Times New Roman" w:eastAsia="Times New Roman" w:hAnsi="Times New Roman"/>
                <w:sz w:val="18"/>
                <w:szCs w:val="18"/>
                <w:color w:val="auto"/>
                <w:w w:val="99"/>
              </w:rPr>
              <w:t>52</w:t>
            </w:r>
          </w:p>
        </w:tc>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Teresa L. West</w:t>
            </w:r>
          </w:p>
        </w:tc>
        <w:tc>
          <w:tcPr>
            <w:tcW w:w="9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55</w:t>
            </w: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Darla H. Whitaker</w:t>
            </w:r>
          </w:p>
        </w:tc>
        <w:tc>
          <w:tcPr>
            <w:tcW w:w="920" w:type="dxa"/>
            <w:vAlign w:val="bottom"/>
            <w:shd w:val="clear" w:color="auto" w:fill="CFF0FC"/>
          </w:tcPr>
          <w:p>
            <w:pPr>
              <w:jc w:val="center"/>
              <w:ind w:left="252"/>
              <w:spacing w:after="0"/>
              <w:rPr>
                <w:sz w:val="20"/>
                <w:szCs w:val="20"/>
                <w:color w:val="auto"/>
              </w:rPr>
            </w:pPr>
            <w:r>
              <w:rPr>
                <w:rFonts w:ascii="Times New Roman" w:cs="Times New Roman" w:eastAsia="Times New Roman" w:hAnsi="Times New Roman"/>
                <w:sz w:val="18"/>
                <w:szCs w:val="18"/>
                <w:color w:val="auto"/>
                <w:w w:val="99"/>
              </w:rPr>
              <w:t>50</w:t>
            </w:r>
          </w:p>
        </w:tc>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Bing Xie</w:t>
            </w:r>
          </w:p>
        </w:tc>
        <w:tc>
          <w:tcPr>
            <w:tcW w:w="9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48</w:t>
            </w:r>
          </w:p>
        </w:tc>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term of office of these officers is from the date of their election until their successor shall have been elected and qualified. All have been employees of the company for more than five years. Messrs. Anderson, Crutcher, Delagi, March, Ritchie and Templeton and Mses. West and Whitaker have served as executive officers of the company for more than five years. Ms. Trochu and Mr. Xie became executive officers of the company in 2015.</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we had 29,977 employees.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Available on our web site at www.ti.com/corporategovernance are: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 face substantial competition that requires us to respond rapidly to product development and pricing pressures.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For example, the China market is highly competitive, and both international and domestic competitors are aggressively seeking to increase their market share. Additionally, we may face increased competition as a result of China’s adoption of policies designed to promote its domestic semiconductor industry. Certain of our competitors possess sufficient financial, technical and management resources to develop and market products that may compete favorably against our products, and consolidation among our competitors may allow them to compete more effectively. Additionally, traditional intellectual property licensors are increasingly providing functionality, designs and complete hardware or software solutions that compete with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Rapid technological change in markets we serve requires us to develop new technologies and products.</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We require significant investments to develop new technologies and products that meet changing customer demands, and we might not realize a return on our investments because they are generally made before commercial viability can be assured. Further, projects that are commercially viable may not contribute significant revenue until at least a few years after they are completed.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expected demand for our products could have a material adverse effect on our results of operations.</w:t>
      </w:r>
    </w:p>
    <w:p>
      <w:pPr>
        <w:spacing w:after="0" w:line="13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customers include companies in a wide range of end markets and sectors within those markets. If demand in one or more sectors within our end markets declines or grows at a significantly slower pace than management expects, our results of operations may be adversely affected. Additionally, the loss or significant curtailment of purchases by one or more of our large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9" w:name="page10"/>
    <w:bookmarkEnd w:id="9"/>
    <w:p>
      <w:pPr>
        <w:ind w:right="40"/>
        <w:spacing w:after="0" w:line="266" w:lineRule="auto"/>
        <w:rPr>
          <w:sz w:val="20"/>
          <w:szCs w:val="20"/>
          <w:color w:val="auto"/>
        </w:rPr>
      </w:pPr>
      <w:r>
        <w:rPr>
          <w:rFonts w:ascii="Times New Roman" w:cs="Times New Roman" w:eastAsia="Times New Roman" w:hAnsi="Times New Roman"/>
          <w:sz w:val="18"/>
          <w:szCs w:val="18"/>
          <w:color w:val="auto"/>
        </w:rPr>
        <w:t>Our results of operations also might suffer because of a general decline in customer demand resulting from, for example: uncertainty regarding the stability of global credit and financial markets; natural events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margins may vary over time.</w:t>
      </w:r>
    </w:p>
    <w:p>
      <w:pPr>
        <w:spacing w:after="0" w:line="13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profit margins may be adversely affected by a number of factors, including decreases in customer demand and shipment volume; obsolescence of our inventory; and shifts in our product mix.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Cyclicality in the semiconductor market may affect our performance.</w:t>
      </w:r>
    </w:p>
    <w:p>
      <w:pPr>
        <w:spacing w:after="0" w:line="131"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Semiconductor products are the principal source of our revenue. The cyclical nature of the semiconductor market may lead to significant and often rapid increases and decreases in product demand. These changes could have adverse effects on our results of operations, and on the market price of our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global operations subject us to risks associated with domestic or international political, social, economic or other conditions.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facilities in more than 30 countries. About 85 percent of our revenue comes from shipments to locations outside the United States; in particular, shipments of products into China typically represent a large portion of our revenue. We are exposed to political, social and economic conditions, security risks, terrorism or other hostile acts, health conditions, labor conditions, and possible disruptions in transportation, communications and information technology networks of the various countries in which we operate. Any of these could result in an adverse effect on our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could be affected by natural events in the locations in which we operate.</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manufacturing, data and design facilities and other operations in locations subject to natural occurrences such as severe weather, geological events or health epidemics that could disrupt operations. A natural disaster that results in a prolonged disruption to our operations may adversely affect our results and financial condition.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 face supply chain and manufacturing risks.</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third parties to supply us with goods and services in a cost-effective and timely manner. Our access to needed goods and services may be adversely affected if our suppliers’ operations were disrupted as a result of, for example: quality excursions; uncertainty regarding the stability of global credit and financial markets; domestic or international political, social, economic and other conditions; natural events in the locations in which our suppliers operate; or limited or delayed access to key raw materials, natural resources, and utilities. Additionally, a breach of our suppliers’ information technology systems could result in a release of our confidential or proprietary information. If our suppliers are unable to access credit markets and other sources of needed liquidity, we may be unable to obtain needed supplies, collect accounts receivable or access needed technology.</w:t>
      </w:r>
    </w:p>
    <w:p>
      <w:pPr>
        <w:spacing w:after="0" w:line="2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demands that we change the sourcing of materials we cannot identify as conflict-free.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ind w:right="260"/>
        <w:spacing w:after="0" w:line="256" w:lineRule="auto"/>
        <w:rPr>
          <w:sz w:val="20"/>
          <w:szCs w:val="20"/>
          <w:color w:val="auto"/>
        </w:rPr>
      </w:pPr>
      <w:r>
        <w:rPr>
          <w:rFonts w:ascii="Times New Roman" w:cs="Times New Roman" w:eastAsia="Times New Roman" w:hAnsi="Times New Roman"/>
          <w:sz w:val="18"/>
          <w:szCs w:val="18"/>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and the possibility of suppliers’ imposition of increased costs on us.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operating results and our reputation could be adversely affected by breaches of our information technology systems.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Breaches of our information technology systems could be caused by computer viruses, unauthorized access, sabotage, vandalism or terrorism. These breaches could compromise our information technology networks and could result in unauthorized release of our, our customers’ or our suppliers’ confidential or proprietary information, cause a disruption to our manufacturing and other operations, result in release of employee personal data, or cause us to incur increased information technology protection costs, any of which could adversely affect our operating results and our reputation.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performance depends in part on our ability to enforce our intellectual property rights and to develop and license new intellectual property.</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21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actively enforce and protect our own intellectual property rights. However, there can be no assurance that our efforts will be adequate to prevent misappropriation or improper use of our protected technology. Moreover, the laws of countries where we operate may not protect our intellectual property rights to the same extent as U.S. laws.</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operations could be affected by the complex laws, rules and regulations to which our business is subject.</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complex laws, rules and regulations affecting our domestic and international operations relating to, for example, the environment, safety and health; exports and imports; bribery and corruption; tax; data privacy and protection; labor and employment; competition; and intellectual property ownership and infringement. Compliance with these laws, rules and regulations may be onerous and expensive, and if we fail to comply or if we become subject to enforcement activity, our ability to manufacture our products and operate our business could be restricted and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21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and our reputation could be affected by warranty claims, product recalls, product liability claims, or legal proceedings.</w:t>
      </w:r>
    </w:p>
    <w:p>
      <w:pPr>
        <w:spacing w:after="0" w:line="1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could be subject to claims based on warranty, product liability, epidemic or delivery failures, or other grounds relating to our products, manufacturing, services, designs or communications that could lead to significant expenses as we defend such claims or pay damage awards or settlements. In the event of a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product recalls or other legal proceedings may adversely affect our results of operations and financial condition and our reputation.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could be affected by changes in tax-related matters.</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changes in applicable tax rates; or adverse resolution of audits by taxing authorities.</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21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not made a provision for U.S. income tax on the portion of our undistributed earnings of our non-U.S. subsidiaries that is considered permanently reinvested outside the United States. If in the future we repatriate any of these foreign earnings, we might incur incremental U.S. income tax, which could affect our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could be adversely affected by our distributors’ promotion of competing product lines or our distributors’ financial performance.</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2015, about 60 percent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and financial condition could be adversely affected if a customer or a distributor suffers a loss with respect to our inventory.</w:t>
      </w:r>
    </w:p>
    <w:p>
      <w:pPr>
        <w:spacing w:after="0" w:line="13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debt could affect our operations and financial condition.</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Our results of operations and liquidity could be affected by changes in the financial markets.</w:t>
      </w:r>
    </w:p>
    <w:p>
      <w:pPr>
        <w:spacing w:after="0" w:line="13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Increases in health care and pension benefit costs could affect our results of operations and financial condition.</w:t>
      </w:r>
    </w:p>
    <w:p>
      <w:pPr>
        <w:spacing w:after="0" w:line="1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continued success depends in part on our ability to retain and recruit a sufficient number of qualified employees in a competitive environment.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success depends in part on the retention and recruitment of skilled personnel, including technical, marketing, management and staff personnel.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we will be able to successfully retain and recruit the key personnel that we require.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ability to successfully implement business and organizational changes could affect our business plans and results of operations.</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impairments of our goodwill or intangible assets could adversely affect our results of operations.</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6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Analog</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60" w:type="dxa"/>
            <w:vAlign w:val="bottom"/>
            <w:gridSpan w:val="3"/>
            <w:vMerge w:val="continue"/>
          </w:tcPr>
          <w:p>
            <w:pPr>
              <w:spacing w:after="0"/>
              <w:rPr>
                <w:sz w:val="15"/>
                <w:szCs w:val="15"/>
                <w:color w:val="auto"/>
              </w:rPr>
            </w:pP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1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Dallas, Texas</w:t>
            </w:r>
            <w:r>
              <w:rPr>
                <w:rFonts w:ascii="Times New Roman" w:cs="Times New Roman" w:eastAsia="Times New Roman" w:hAnsi="Times New Roman"/>
                <w:sz w:val="15"/>
                <w:szCs w:val="15"/>
                <w:color w:val="auto"/>
              </w:rPr>
              <w:t>†</w:t>
            </w:r>
          </w:p>
        </w:tc>
        <w:tc>
          <w:tcPr>
            <w:tcW w:w="18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Sherman, Texas</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Tucson, Arizona</w:t>
            </w:r>
            <w:r>
              <w:rPr>
                <w:rFonts w:ascii="Times New Roman" w:cs="Times New Roman" w:eastAsia="Times New Roman" w:hAnsi="Times New Roman"/>
                <w:sz w:val="15"/>
                <w:szCs w:val="15"/>
                <w:color w:val="auto"/>
              </w:rPr>
              <w:t>*</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Santa Clara, California</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Portland, Maine</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Aguascalientes, Mexico</w:t>
            </w:r>
            <w:r>
              <w:rPr>
                <w:rFonts w:ascii="Times New Roman" w:cs="Times New Roman" w:eastAsia="Times New Roman" w:hAnsi="Times New Roman"/>
                <w:sz w:val="15"/>
                <w:szCs w:val="15"/>
                <w:color w:val="auto"/>
              </w:rPr>
              <w:t>*</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Aizu, Japan</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Miho, Japan</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China</w:t>
            </w:r>
            <w:r>
              <w:rPr>
                <w:rFonts w:ascii="Times New Roman" w:cs="Times New Roman" w:eastAsia="Times New Roman" w:hAnsi="Times New Roman"/>
                <w:sz w:val="15"/>
                <w:szCs w:val="15"/>
                <w:color w:val="auto"/>
              </w:rPr>
              <w:t>†</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Shanghai, China</w:t>
            </w:r>
            <w:r>
              <w:rPr>
                <w:rFonts w:ascii="Times New Roman" w:cs="Times New Roman" w:eastAsia="Times New Roman" w:hAnsi="Times New Roman"/>
                <w:sz w:val="15"/>
                <w:szCs w:val="15"/>
                <w:color w:val="auto"/>
              </w:rPr>
              <w:t>*</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India</w:t>
            </w:r>
            <w:r>
              <w:rPr>
                <w:rFonts w:ascii="Times New Roman" w:cs="Times New Roman" w:eastAsia="Times New Roman" w:hAnsi="Times New Roman"/>
                <w:sz w:val="15"/>
                <w:szCs w:val="15"/>
                <w:color w:val="auto"/>
              </w:rPr>
              <w:t>†</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Kuala Lumpur, Malaysia</w:t>
            </w:r>
            <w:r>
              <w:rPr>
                <w:rFonts w:ascii="Times New Roman" w:cs="Times New Roman" w:eastAsia="Times New Roman" w:hAnsi="Times New Roman"/>
                <w:sz w:val="15"/>
                <w:szCs w:val="15"/>
                <w:color w:val="auto"/>
              </w:rPr>
              <w:t>†</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Melaka, Malaysia</w:t>
            </w:r>
            <w:r>
              <w:rPr>
                <w:rFonts w:ascii="Times New Roman" w:cs="Times New Roman" w:eastAsia="Times New Roman" w:hAnsi="Times New Roman"/>
                <w:sz w:val="15"/>
                <w:szCs w:val="15"/>
                <w:color w:val="auto"/>
              </w:rPr>
              <w:t>†</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Baguio, Philippines</w:t>
            </w:r>
            <w:r>
              <w:rPr>
                <w:rFonts w:ascii="Times New Roman" w:cs="Times New Roman" w:eastAsia="Times New Roman" w:hAnsi="Times New Roman"/>
                <w:sz w:val="15"/>
                <w:szCs w:val="15"/>
                <w:color w:val="auto"/>
              </w:rPr>
              <w:t>†</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Pampanga (Clark), Philippines</w:t>
            </w:r>
            <w:r>
              <w:rPr>
                <w:rFonts w:ascii="Times New Roman" w:cs="Times New Roman" w:eastAsia="Times New Roman" w:hAnsi="Times New Roman"/>
                <w:sz w:val="15"/>
                <w:szCs w:val="15"/>
                <w:color w:val="auto"/>
              </w:rPr>
              <w:t>†</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Taipei, Taiwan</w:t>
            </w:r>
            <w:r>
              <w:rPr>
                <w:rFonts w:ascii="Times New Roman" w:cs="Times New Roman" w:eastAsia="Times New Roman" w:hAnsi="Times New Roman"/>
                <w:sz w:val="15"/>
                <w:szCs w:val="15"/>
                <w:color w:val="auto"/>
              </w:rPr>
              <w:t>†</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Freising, Germany</w:t>
            </w:r>
          </w:p>
        </w:tc>
        <w:tc>
          <w:tcPr>
            <w:tcW w:w="24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Greenock, Scotland</w:t>
            </w:r>
          </w:p>
        </w:tc>
        <w:tc>
          <w:tcPr>
            <w:tcW w:w="2460" w:type="dxa"/>
            <w:vAlign w:val="bottom"/>
            <w:gridSpan w:val="3"/>
            <w:shd w:val="clear" w:color="auto" w:fill="CFF0FC"/>
          </w:tcPr>
          <w:p>
            <w:pPr>
              <w:jc w:val="center"/>
              <w:ind w:right="58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spacing w:after="0"/>
              <w:rPr>
                <w:sz w:val="12"/>
                <w:szCs w:val="12"/>
                <w:color w:val="auto"/>
              </w:rPr>
            </w:pPr>
          </w:p>
        </w:tc>
        <w:tc>
          <w:tcPr>
            <w:tcW w:w="398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398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Portions of the facilities are leased and owned. This may include land leases, particularly for our non-U.S. sites.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facilities in the United States contained approximately 13.7 million square feet at December 31, 2015, of which approximately 1.2 million square feet were leased. Our facilities outside the United States contained approximately 10.2 million square feet at December 31, 2015, of which approximately 1.6 million square feet were leased.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2015, we occupied substantially all of the space in our facilities.</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Leases covering our currently occupied leased facilities expire at varying dates generally within the next five years. We believe our current properties are suitable and adequate for both their intended purpose and our current and foreseeable future needs.</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57" w:right="3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3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The information concerning the number of stockholders of record at December 31, 2015, is contained in Item 6, “Selected Financial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prices and dividends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TI common stock is listed on The NASDAQ Global Select Market. The table below shows the high and low closing prices of TI common stock as reported by Bloomberg L.P. and the dividends paid per common share in each quarter during the past two years.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40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1st</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4th</w:t>
            </w:r>
          </w:p>
        </w:tc>
        <w:tc>
          <w:tcPr>
            <w:tcW w:w="120" w:type="dxa"/>
            <w:vAlign w:val="bottom"/>
            <w:tcBorders>
              <w:bottom w:val="single" w:sz="8" w:color="CFF0FC"/>
            </w:tcBorders>
          </w:tcPr>
          <w:p>
            <w:pPr>
              <w:spacing w:after="0"/>
              <w:rPr>
                <w:sz w:val="13"/>
                <w:szCs w:val="13"/>
                <w:color w:val="auto"/>
              </w:rPr>
            </w:pPr>
          </w:p>
        </w:tc>
      </w:tr>
      <w:tr>
        <w:trPr>
          <w:trHeight w:val="223"/>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10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58.98</w:t>
            </w:r>
          </w:p>
        </w:tc>
        <w:tc>
          <w:tcPr>
            <w:tcW w:w="120" w:type="dxa"/>
            <w:vAlign w:val="bottom"/>
          </w:tcPr>
          <w:p>
            <w:pPr>
              <w:spacing w:after="0"/>
              <w:rPr>
                <w:sz w:val="19"/>
                <w:szCs w:val="19"/>
                <w:color w:val="auto"/>
              </w:rPr>
            </w:pPr>
          </w:p>
        </w:tc>
      </w:tr>
      <w:tr>
        <w:trPr>
          <w:trHeight w:val="230"/>
        </w:trPr>
        <w:tc>
          <w:tcPr>
            <w:tcW w:w="1400" w:type="dxa"/>
            <w:vAlign w:val="bottom"/>
            <w:shd w:val="clear" w:color="auto" w:fill="CFF0FC"/>
          </w:tcPr>
          <w:p>
            <w:pPr>
              <w:spacing w:after="0"/>
              <w:rPr>
                <w:sz w:val="19"/>
                <w:szCs w:val="19"/>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Low</w:t>
            </w:r>
          </w:p>
        </w:tc>
        <w:tc>
          <w:tcPr>
            <w:tcW w:w="1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48.44</w:t>
            </w:r>
          </w:p>
        </w:tc>
        <w:tc>
          <w:tcPr>
            <w:tcW w:w="120" w:type="dxa"/>
            <w:vAlign w:val="bottom"/>
            <w:shd w:val="clear" w:color="auto" w:fill="CFF0FC"/>
          </w:tcPr>
          <w:p>
            <w:pPr>
              <w:spacing w:after="0"/>
              <w:rPr>
                <w:sz w:val="19"/>
                <w:szCs w:val="19"/>
                <w:color w:val="auto"/>
              </w:rPr>
            </w:pPr>
          </w:p>
        </w:tc>
      </w:t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High</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tcPr>
          <w:p>
            <w:pPr>
              <w:spacing w:after="0"/>
              <w:rPr>
                <w:sz w:val="19"/>
                <w:szCs w:val="19"/>
                <w:color w:val="auto"/>
              </w:rPr>
            </w:pPr>
          </w:p>
        </w:tc>
      </w:tr>
      <w:tr>
        <w:trPr>
          <w:trHeight w:val="230"/>
        </w:trPr>
        <w:tc>
          <w:tcPr>
            <w:tcW w:w="1400" w:type="dxa"/>
            <w:vAlign w:val="bottom"/>
            <w:shd w:val="clear" w:color="auto" w:fill="CFF0FC"/>
          </w:tcPr>
          <w:p>
            <w:pPr>
              <w:spacing w:after="0"/>
              <w:rPr>
                <w:sz w:val="19"/>
                <w:szCs w:val="19"/>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Low</w:t>
            </w:r>
          </w:p>
        </w:tc>
        <w:tc>
          <w:tcPr>
            <w:tcW w:w="1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shd w:val="clear" w:color="auto" w:fill="CFF0FC"/>
          </w:tcPr>
          <w:p>
            <w:pPr>
              <w:spacing w:after="0"/>
              <w:rPr>
                <w:sz w:val="19"/>
                <w:szCs w:val="19"/>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20" w:type="dxa"/>
            <w:vAlign w:val="bottom"/>
            <w:shd w:val="clear" w:color="auto" w:fill="CFF0FC"/>
          </w:tcPr>
          <w:p>
            <w:pPr>
              <w:spacing w:after="0"/>
              <w:rPr>
                <w:sz w:val="20"/>
                <w:szCs w:val="20"/>
                <w:color w:val="auto"/>
              </w:rPr>
            </w:pPr>
          </w:p>
        </w:tc>
        <w:tc>
          <w:tcPr>
            <w:tcW w:w="21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20" w:type="dxa"/>
            <w:vAlign w:val="bottom"/>
            <w:shd w:val="clear" w:color="auto" w:fill="CFF0FC"/>
          </w:tcPr>
          <w:p>
            <w:pPr>
              <w:spacing w:after="0"/>
              <w:rPr>
                <w:sz w:val="20"/>
                <w:szCs w:val="20"/>
                <w:color w:val="auto"/>
              </w:rPr>
            </w:pPr>
          </w:p>
        </w:tc>
      </w:tr>
      <w:tr>
        <w:trPr>
          <w:trHeight w:val="23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our purchases of our common stock during the fourth quarter of 2015.</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Dollar Value</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Shares that</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Part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 or</w:t>
            </w:r>
          </w:p>
        </w:tc>
      </w:tr>
      <w:tr>
        <w:trPr>
          <w:trHeight w:val="173"/>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20" w:type="dxa"/>
            <w:vAlign w:val="bottom"/>
            <w:gridSpan w:val="2"/>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(1)</w:t>
            </w:r>
          </w:p>
        </w:tc>
      </w:tr>
      <w:tr>
        <w:trPr>
          <w:trHeight w:val="223"/>
        </w:trPr>
        <w:tc>
          <w:tcPr>
            <w:tcW w:w="4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2015 through October 31, 2015</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8,220,390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8,220,390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8.13 billion</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2015 through November 30, 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7.96 billion</w:t>
            </w:r>
          </w:p>
        </w:tc>
      </w:tr>
      <w:tr>
        <w:trPr>
          <w:trHeight w:val="230"/>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2015 through December 31, 2015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458,008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458,008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7.93 billion</w:t>
            </w: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11,706,743</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91"/>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11,706,743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6"/>
                <w:szCs w:val="16"/>
                <w:color w:val="auto"/>
              </w:rPr>
              <w:t>7.93 billion</w:t>
            </w:r>
            <w:r>
              <w:rPr>
                <w:rFonts w:ascii="Times New Roman" w:cs="Times New Roman" w:eastAsia="Times New Roman" w:hAnsi="Times New Roman"/>
                <w:sz w:val="25"/>
                <w:szCs w:val="25"/>
                <w:color w:val="auto"/>
                <w:vertAlign w:val="superscript"/>
              </w:rPr>
              <w:t>(3)</w:t>
            </w: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hanging="512"/>
        <w:spacing w:after="0" w:line="257"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purchases during the quarter were made under the authorization from our board of directors to purchase up to $5.0 billion of additional shares of TI common stock announced on February 21, 2013. On September 17, 2015, our board of directors authorized the purchase of an additional $7.5 billion of our common stock. No expiration date has been specified for these authorizations.</w:t>
      </w:r>
    </w:p>
    <w:p>
      <w:pPr>
        <w:spacing w:after="0" w:line="1"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purchases during the quarter were open-market purchases.</w:t>
      </w:r>
    </w:p>
    <w:p>
      <w:pPr>
        <w:spacing w:after="0" w:line="9" w:lineRule="exact"/>
        <w:rPr>
          <w:rFonts w:ascii="Times New Roman" w:cs="Times New Roman" w:eastAsia="Times New Roman" w:hAnsi="Times New Roman"/>
          <w:sz w:val="15"/>
          <w:szCs w:val="15"/>
          <w:color w:val="auto"/>
        </w:rPr>
      </w:pPr>
    </w:p>
    <w:p>
      <w:pPr>
        <w:ind w:left="520" w:right="700" w:hanging="512"/>
        <w:spacing w:after="0" w:line="261"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December 31, 2015, this amount consisted of the remaining portion of the $5.0 billion authorized in February 2013 and the $7.5 billion authorized in September 2015.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share and per-share amounts)</w:t>
            </w: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Years Ended December 31,</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2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4,268</w:t>
            </w:r>
          </w:p>
        </w:tc>
        <w:tc>
          <w:tcPr>
            <w:tcW w:w="2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 (a)</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00" w:type="dxa"/>
            <w:vAlign w:val="bottom"/>
            <w:gridSpan w:val="2"/>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Analog</w:t>
            </w:r>
          </w:p>
        </w:tc>
        <w:tc>
          <w:tcPr>
            <w:tcW w:w="3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Embedded Processing</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(R&amp;D and SG&amp;A)</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charges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charges/other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a result of accounting rule ASC 260, which requires a portion of Net income to be allocated to unvested restricted stock units (RSUs) on which we pay dividend equivalents, diluted earnings per share (EPS) is calculated using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RSUs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w:t>
            </w: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allocated to common shares for diluted EPS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diluted shares outstanding, in millions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4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Free cash flow is a non-GAAP measure derived by subtracting Capital expenditures from Cash flows from operating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Other data items)</w:t>
            </w: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3,218</w:t>
            </w:r>
          </w:p>
        </w:tc>
        <w:tc>
          <w:tcPr>
            <w:tcW w:w="2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(b)</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and commercial paper</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(b)</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data – Number of:</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Stockholders of record</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Prior periods reclassified to conform to the 2015 presentation, having adopted certain accounting standards. See Note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financial statements and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make and sell semiconductors to electronics designers and manufacturers all over the world. Our business model is carefully constructed around the following attributes:</w:t>
      </w:r>
    </w:p>
    <w:p>
      <w:pPr>
        <w:spacing w:after="0" w:line="52" w:lineRule="exact"/>
        <w:rPr>
          <w:sz w:val="20"/>
          <w:szCs w:val="20"/>
          <w:color w:val="auto"/>
        </w:rPr>
      </w:pPr>
    </w:p>
    <w:p>
      <w:pPr>
        <w:ind w:left="1040" w:right="4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Industry’s broadest portfolio of differentiated analog and embedded processing semiconductors. </w:t>
      </w:r>
      <w:r>
        <w:rPr>
          <w:rFonts w:ascii="Times New Roman" w:cs="Times New Roman" w:eastAsia="Times New Roman" w:hAnsi="Times New Roman"/>
          <w:sz w:val="18"/>
          <w:szCs w:val="18"/>
          <w:color w:val="auto"/>
        </w:rPr>
        <w:t>Our customers’ design engineers need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1" w:lineRule="exact"/>
        <w:rPr>
          <w:rFonts w:ascii="Times New Roman" w:cs="Times New Roman" w:eastAsia="Times New Roman" w:hAnsi="Times New Roman"/>
          <w:sz w:val="18"/>
          <w:szCs w:val="18"/>
          <w:color w:val="auto"/>
        </w:rPr>
      </w:pPr>
    </w:p>
    <w:p>
      <w:pPr>
        <w:ind w:left="1040" w:right="100" w:hanging="519"/>
        <w:spacing w:after="0" w:line="254"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strong foundation of manufacturing technology and low-cost production. </w:t>
      </w:r>
      <w:r>
        <w:rPr>
          <w:rFonts w:ascii="Times New Roman" w:cs="Times New Roman" w:eastAsia="Times New Roman" w:hAnsi="Times New Roman"/>
          <w:sz w:val="18"/>
          <w:szCs w:val="18"/>
          <w:color w:val="auto"/>
        </w:rPr>
        <w:t>We invest in manufacturing technologies that differentiate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2015,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1" w:lineRule="exact"/>
        <w:rPr>
          <w:rFonts w:ascii="Times New Roman" w:cs="Times New Roman" w:eastAsia="Times New Roman" w:hAnsi="Times New Roman"/>
          <w:sz w:val="18"/>
          <w:szCs w:val="18"/>
          <w:color w:val="auto"/>
        </w:rPr>
      </w:pPr>
    </w:p>
    <w:p>
      <w:pPr>
        <w:ind w:left="1040" w:hanging="519"/>
        <w:spacing w:after="0" w:line="26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Industry’s largest market channels. </w:t>
      </w:r>
      <w:r>
        <w:rPr>
          <w:rFonts w:ascii="Times New Roman" w:cs="Times New Roman" w:eastAsia="Times New Roman" w:hAnsi="Times New Roman"/>
          <w:sz w:val="18"/>
          <w:szCs w:val="18"/>
          <w:color w:val="auto"/>
        </w:rPr>
        <w:t>Our global sales force is larger than those of our competitors, and the breadth of our portfolio attracts tens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65" w:lineRule="exact"/>
        <w:rPr>
          <w:rFonts w:ascii="Times New Roman" w:cs="Times New Roman" w:eastAsia="Times New Roman" w:hAnsi="Times New Roman"/>
          <w:sz w:val="18"/>
          <w:szCs w:val="18"/>
          <w:color w:val="auto"/>
        </w:rPr>
      </w:pPr>
    </w:p>
    <w:p>
      <w:pPr>
        <w:jc w:val="both"/>
        <w:ind w:left="1040" w:right="6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and longevity in our products and in the markets we serve. </w:t>
      </w:r>
      <w:r>
        <w:rPr>
          <w:rFonts w:ascii="Times New Roman" w:cs="Times New Roman" w:eastAsia="Times New Roman" w:hAnsi="Times New Roman"/>
          <w:sz w:val="18"/>
          <w:szCs w:val="18"/>
          <w:color w:val="auto"/>
        </w:rPr>
        <w:t>The attributes above result in diverse and long-lived positions that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effect of these attributes is that we have consistently grown free cash flow and gained market share in Analog and Embedded Processing.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attributes put us in a unique class of companies with the ability to grow, generate cash, and return that cash to shareholders.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54"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in the tables are stated in millions of U.S. dollars.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discuss our results:</w:t>
      </w:r>
    </w:p>
    <w:p>
      <w:pPr>
        <w:spacing w:after="0" w:line="102" w:lineRule="exact"/>
        <w:rPr>
          <w:rFonts w:ascii="Times New Roman" w:cs="Times New Roman" w:eastAsia="Times New Roman" w:hAnsi="Times New Roman"/>
          <w:sz w:val="18"/>
          <w:szCs w:val="18"/>
          <w:color w:val="auto"/>
        </w:rPr>
      </w:pPr>
    </w:p>
    <w:p>
      <w:pPr>
        <w:ind w:left="1540" w:right="12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Unless otherwise noted, changes in our revenue are attributable to changes in customer demand, which are evidenced by fluctuations in shipment volumes.</w:t>
      </w:r>
    </w:p>
    <w:p>
      <w:pPr>
        <w:spacing w:after="0" w:line="5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7"/>
          <w:szCs w:val="17"/>
          <w:color w:val="auto"/>
        </w:rPr>
        <w:t>New products tend not to have a significant impact on our revenue in any given period because we sell such a large number of products.</w:t>
      </w:r>
    </w:p>
    <w:p>
      <w:pPr>
        <w:spacing w:after="0" w:line="120" w:lineRule="exact"/>
        <w:rPr>
          <w:rFonts w:ascii="Times New Roman" w:cs="Times New Roman" w:eastAsia="Times New Roman" w:hAnsi="Times New Roman"/>
          <w:sz w:val="18"/>
          <w:szCs w:val="18"/>
          <w:color w:val="auto"/>
        </w:rPr>
      </w:pPr>
    </w:p>
    <w:p>
      <w:pPr>
        <w:ind w:left="1540" w:right="4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From time to time, our revenue and gross profit are affected by changes in demand for higher-priced or lower-priced products, which we refer to as changes in the “mix” of products shipped.</w:t>
      </w:r>
    </w:p>
    <w:p>
      <w:pPr>
        <w:spacing w:after="0" w:line="53" w:lineRule="exact"/>
        <w:rPr>
          <w:rFonts w:ascii="Times New Roman" w:cs="Times New Roman" w:eastAsia="Times New Roman" w:hAnsi="Times New Roman"/>
          <w:sz w:val="18"/>
          <w:szCs w:val="18"/>
          <w:color w:val="auto"/>
        </w:rPr>
      </w:pPr>
    </w:p>
    <w:p>
      <w:pPr>
        <w:ind w:left="1540" w:right="140" w:hanging="513"/>
        <w:spacing w:after="0" w:line="26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71" w:lineRule="exact"/>
        <w:rPr>
          <w:rFonts w:ascii="Times New Roman" w:cs="Times New Roman" w:eastAsia="Times New Roman" w:hAnsi="Times New Roman"/>
          <w:sz w:val="18"/>
          <w:szCs w:val="18"/>
          <w:color w:val="auto"/>
        </w:rPr>
      </w:pPr>
    </w:p>
    <w:p>
      <w:pPr>
        <w:ind w:left="1540" w:right="140" w:hanging="513"/>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The term “legacy wireless products” refers to our baseband products, OMAP</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applications processors and connectivity products sold into smartphones and consumer tablets. Our exit from legacy wireless products was complete in 2013.</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ind w:left="1040" w:right="120" w:hanging="519"/>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continued to perform well in 2015, reflecting our focus on Analog and Embedded Processing semiconductors. These products serve highly diverse markets with thousands of applications, and we believe have dependable long-term growth opportunities. In 2015, Analog and Embedded Processing represented 86 percent of revenue, up from 83 percent in 2014. Gross margin of 58.2 percent for the year, a new record, reflects the quality of our product portfolio, as well as the efficiency of our manufacturing strategy.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focus on Analog and Embedded Processing allows us to generate strong cash flow from operations. In 2015, free cash flow, also a record, was 28.6 percent of revenue, up from 26.9 percent a year ago and consistent with our targeted range of 20-30 percent of revenue. During the year, we returned $4.2 billion of cash to investors through a combination of stock repurchases and dividends. Free cash flow is a non-GAAP financial measure. For a reconciliation to GAAP and an explanation of the reason for providing this non-GAAP measure, see the Non-GAAP financial information section after the Liquidity and capital resources section.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 of financial results – 2015 compared with 2014</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of $13.00 billion was about even with 2014, as higher revenue from Analog and Embedded Processing was offset by lower revenue from Other. Our 2015 revenue was negatively affected by about $150 million from changes in foreign currency exchange rates.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profit was $7.56 billion, an increase of $133 million, or 2 percent, due to lower manufacturing costs. Gross profit margin was 58.2 percent of revenue compared with 56.9 percent.</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expenses were $1.28 billion for R&amp;D and $1.75 billion for SG&amp;A. R&amp;D expense decreased $78 million, or 6 percent, and SG&amp;A decreased $95 million, or 5 percent. Both comparisons reflect savings from ongoing efforts across the company to align costs with growth opportunities, including the completed restructuring actions in Embedded Processing and Japan. These decreases were partially offset by higher compensation-related costs.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Acquisition charges were related to our 2011 acquisition of National Semiconductor and were $329 million, about even with 2014. These non-cash charges were primarily from the amortization of intangible assets. See Note 13 to the financial statements.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Restructuring charges/other was a net credit of $71 million, which included gains on sales of assets of $83 million that were partially offset by $12 million related to restructuring charges and other credits. This compared with a net credit of $51 million in 2014, reflecting gains on sales of assets of $75 million that were partially offset by restructuring charges and other expenses of $24 million. These amounts are included in Other for segment reporting purposes. See Note 3 to the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was $4.27 billion, or 32.9 percent of revenue, compared with $3.95 billion, or 30.3 percent of revenue.</w:t>
      </w:r>
    </w:p>
    <w:p>
      <w:pPr>
        <w:spacing w:after="0" w:line="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income tax provision was $1.23 billion compared with $1.05 billion. The increase in the total tax provision was due to higher income before income taxes and, to a lesser extent, a lower benefit from non-U.S. effective tax rates. Our annual effective tax rate was 29 percent in 2015 and 27 percent in 2014. See Note 6 to the financial statements for a reconciliation of the income tax provision to the statutory federal tax.</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income was $2.99 billion, an increase of $165 million, or 6 percent. EPS was $2.82 compared with $2.57. EPS benefited $0.07 due to a lower number of average shares outstanding as a result of our stock repurchase program.</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near term, for the first quarter of 2016, we expect about a $150 million decline in revenue from the first quarter of 2015 within a sector of the personal electronics market.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Segment results – 2015 compared with 2014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(includes High Volume Analog &amp; Logic (HVAL), Power Management (Power), High Performance Analog (HPA) and Silicon Valley Analog (SVA)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lines)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8,339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36.6%</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revenue increased primarily due to HVAL. Power and SVA also grew, but to a lesser extent. HPA declined due to the mix of products shipped.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increased due to higher revenue and associated gross profit and, to a lesser extent, lower manufacturing costs.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Processing (includes Microcontrollers, Processors and Connectivity product lines)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21.4%</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Embedded Processing revenue increased due about equally to Connectivity and Microcontrollers, which together offset a decline in Processors. Operating profit increased primarily due to lower operating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(includes DLP products, calculators, custom ASICs and royalties)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5"/>
                <w:szCs w:val="15"/>
                <w:color w:val="auto"/>
              </w:rPr>
            </w:pPr>
          </w:p>
        </w:tc>
        <w:tc>
          <w:tcPr>
            <w:tcW w:w="12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33.6%</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Acquisition charges and Restructuring charges/other</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revenue declined primarily due to custom ASICs. Revenue from DLP products also declined, but to a lesser extent. Operating profit declined primarily due to lower revenue and associated gross profit.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results of operations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2014, Analog revenue grew 13 percent and Embedded Processing revenue grew 12 percent. Gross margin of 56.9 percent for 2014 reflected the diversity and longevity of our product portfolio, as well as the efficiency of our manufacturing strategy. In 2014, free cash flow was 26.9 percent of revenue, up from 24.4 percent in 2013. During 2014, we returned $4.2 billion of cash to investors through a combination of stock repurchases and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 of financial results – 2014 compared with 2013</w:t>
      </w:r>
    </w:p>
    <w:p>
      <w:pPr>
        <w:spacing w:after="0" w:line="117"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Revenue was $13.05 billion, up $840 million, or 7 percent, from 2013 due to higher revenue from Analog and Embedded Processing. These increases more than offset lower revenue from legacy wireless products.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Gross profit was $7.43 billion, an increase of $1.06 billion, or 17 percent, from 2013 primarily due to higher revenue and, to a lesser extent, the mix of products shipped. Gross profit margin was 56.9 percent of revenue compared with 52.1 percent in 2013.</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expenses were $1.36 billion for R&amp;D and $1.84 billion for SG&amp;A. R&amp;D expense decreased $164 million, or 11 percent, from 2013 primarily due to savings from ongoing efforts across the company to align costs with growth opportunities, including the wind-down of our legacy wireless products and restructuring actions in Embedded Processing and Japan. SG&amp;A expense was about even, as higher variable compensation costs were offset by savings from our cost alignment efforts.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charges were related to our 2011 acquisition of National Semiconductor and were $330 million compared with $341 million in 2013. The charges were primarily from the amortization of intangible assets.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9" w:name="page20"/>
    <w:bookmarkEnd w:id="19"/>
    <w:p>
      <w:pPr>
        <w:ind w:right="160"/>
        <w:spacing w:after="0" w:line="266" w:lineRule="auto"/>
        <w:rPr>
          <w:sz w:val="20"/>
          <w:szCs w:val="20"/>
          <w:color w:val="auto"/>
        </w:rPr>
      </w:pPr>
      <w:r>
        <w:rPr>
          <w:rFonts w:ascii="Times New Roman" w:cs="Times New Roman" w:eastAsia="Times New Roman" w:hAnsi="Times New Roman"/>
          <w:sz w:val="18"/>
          <w:szCs w:val="18"/>
          <w:color w:val="auto"/>
        </w:rPr>
        <w:t>Restructuring charges/other was a net credit of $51 million, which included gains on sales of assets of $75 million that were partially offset by restructuring charges and other expenses of $24 million. This compared with a net credit of $189 million in 2013, reflecting a $315 million gain from our transfer of wireless connectivity technology to a customer that was partially offset by restructuring charges of $126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was $3.95 billion, or 30.3 percent of revenue, compared with $2.83 billion, or 23.2 percent, in 2013.</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income tax provision was $1.05 billion compared with $592 million in 2013. The increase in the total tax provision was due to higher income before income taxes and, to a lesser extent, the effect of the retroactive reinstatement of the federal research tax credit for 2012 in 2013. Our annual effective tax rate was 27 percent in 2014 and 24 percent in 2013.</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was $2.82 billion, an increase of $659 million, or 30 percent, from 2013. EPS was $2.57 compared with $1.91 in 2013. EPS benefited $0.07 from 2013 due to a lower number of average shares outstanding as a result of our stock repurchase program.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results – 2014 compared with 2013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revenue increased in all products lines. Revenue from Power grew the most, followed by revenue from, in decreasing order, HPA, HVAL and SVA.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increased primarily due to higher revenue and associated gross profit.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Processing</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Embedded Processing revenue increased primarily due to Microcontrollers and Processors, which contributed about equally to the increase. Connectivity increased to a lesser extent. Revenue from Processors increased as a result of the mix of products shipped. Operating profit increased primarily due to higher revenue and associated gross profit.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5"/>
                <w:szCs w:val="15"/>
                <w:color w:val="auto"/>
              </w:rPr>
            </w:pPr>
          </w:p>
        </w:tc>
        <w:tc>
          <w:tcPr>
            <w:tcW w:w="12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Acquisition charges and Restructuring charges/other</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revenue decreased due to legacy wireless products. Operating profit was about even as reductions in operating expenses were offset by changes in Restructuring charges/other.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2015, total cash (Cash and cash equivalents plus Short-term investments) was $3.22 billion, a decrease of $323 million from the end of 2014.</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Accounts receivable were $1.17 billion at the end of 2015. This was a decrease of $81 million compared with the end of 2014. Days sales outstanding were 33 at the end of 2015 compared with 34 at the end of 2014.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0" w:name="page21"/>
    <w:bookmarkEnd w:id="20"/>
    <w:p>
      <w:pPr>
        <w:ind w:right="500"/>
        <w:spacing w:after="0" w:line="282" w:lineRule="auto"/>
        <w:rPr>
          <w:sz w:val="20"/>
          <w:szCs w:val="20"/>
          <w:color w:val="auto"/>
        </w:rPr>
      </w:pPr>
      <w:r>
        <w:rPr>
          <w:rFonts w:ascii="Times New Roman" w:cs="Times New Roman" w:eastAsia="Times New Roman" w:hAnsi="Times New Roman"/>
          <w:sz w:val="18"/>
          <w:szCs w:val="18"/>
          <w:color w:val="auto"/>
        </w:rPr>
        <w:t>Inventory was $1.69 billion at the end of 2015. This was a decrease of $93 million from the end of 2014. Days of inventory at the end of 2015 were 115 compared with 117 at the end of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2015 was $4.27 billion, an increase of $376 million from 2014 primarily due to an increase in cash provided by working capital.</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revolving credit facility is with a consortium of investment-grade banks and allows us to borrow up to $2 billion until March 2020. This credit facility also serves as support for the issuance of commercial paper. As of December 31, 2015, our credit facility was undrawn, and we had no commercial paper outstanding.</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2015, investing activities used $302 million compared with $377 million in 2014. For 2015, Capital expenditures were $551 million compared with $385 million in 2014. Capital expenditures in both periods were primarily for semiconductor manufacturing equipment. In 2015, we had sales of short-term investments, net of purchases, that provided cash of $125 million. In comparison, in 2014 we had purchases of short-term investments, net of sales, that used cash of $141 million. In addition, we had proceeds from sales of assets of $110 million in 2015 compared with $142 million in 2014.</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2015, financing activities used $4.17 billion compared with $3.94 billion in 2014. In both 2015 and 2014, we received proceeds of $498 million from the issuance of fixed-rate long-term debt (net of original issuance discount) and repaid $1.00 billion of maturing debt. Dividends paid in 2015 were $1.44 billion compared with $1.32 billion in 2014, reflecting increases in the dividend rate. During 2015, the quarterly dividend increased from $0.34 to $0.38 per share, resulting in an annualized dividend payment of $1.52 per share. During 2014, we increased our quarterly dividend from $0.30 to $0.34 per share. In 2015, we used $2.74 billion to repurchase 51.4 million shares of our common stock. This compared with $2.83 billion used in 2014 to repurchase 61.7 million shares. Employee exercises of stock options are also reflected in Cash flows from financing activities. In 2015, these exercises provided cash proceeds of $442 million compared with $616 million in 2014.</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had $1.00 billion of Cash and cash equivalents and $2.22 billion of Short-term investments as of December 31, 2015, with our U.S. entities owning about 80 percent of these amounts combined at the end of 2015. We believe we have the necessary financial resources and operating plans to fund our working capital needs, capital expenditures, dividend and debt-related payments, and other business requirements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 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 Reconciliation to the most directly comparable GAAP-based measures is provided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Years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(GAAP)</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3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as a percent of revenue (GAAP)</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as a percent of revenue (non-GAAP)</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9"/>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Long-term contractual obligations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2017/2018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2019/2020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obligations (a)</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obligations (c)</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 (d)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plan (e)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8"/>
        <w:spacing w:after="0" w:line="261"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related interest payments and amounts classified as the current portion of long-term debt, specifically obligations that will mature within 12 months.</w:t>
      </w: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minimum payments for leased facilities and equipment and purchases of industrial gases under contracts accounted for as operating leases.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under license agreements for electronic design automation software.</w:t>
      </w:r>
    </w:p>
    <w:p>
      <w:pPr>
        <w:spacing w:after="0" w:line="9" w:lineRule="exact"/>
        <w:rPr>
          <w:rFonts w:ascii="Times New Roman" w:cs="Times New Roman" w:eastAsia="Times New Roman" w:hAnsi="Times New Roman"/>
          <w:sz w:val="18"/>
          <w:szCs w:val="18"/>
          <w:color w:val="auto"/>
        </w:rPr>
      </w:pPr>
    </w:p>
    <w:p>
      <w:pPr>
        <w:ind w:right="160"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$4 million of cancellation penalties may be required to be paid, which are not reflected in the table.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estimate of payments under this plan for the liability that existed at December 31, 2015.</w:t>
      </w:r>
    </w:p>
    <w:p>
      <w:pPr>
        <w:spacing w:after="0" w:line="9" w:lineRule="exact"/>
        <w:rPr>
          <w:rFonts w:ascii="Times New Roman" w:cs="Times New Roman" w:eastAsia="Times New Roman" w:hAnsi="Times New Roman"/>
          <w:sz w:val="18"/>
          <w:szCs w:val="18"/>
          <w:color w:val="auto"/>
        </w:rPr>
      </w:pPr>
    </w:p>
    <w:p>
      <w:pPr>
        <w:ind w:right="120" w:firstLine="8"/>
        <w:spacing w:after="0" w:line="253"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table are $84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$100 million in 2016, but funding projections beyond 2016 are not practical to estimate due to the rules affecting tax-deductible contributions and the impact from the plans’ asset performance, interest rates and potential U.S. and non-U.S. legislation.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recognize revenue from sales of our products, including direct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recognize revenue net of allowances, which are management’s estimates of future credits to be granted to customers or distributors under programs common in the semiconductor industry. These allowances are based on analysis of historical data, current economic conditions and contractual terms, and are recorded when revenue is recognized. Allowances may include volume-based incentives, product returns due to quality issues, incentives designed to maximize growth opportunities and special pricing arrangements. For instance, we sell to distributors at standard published prices, but we may grant them price adjustment credits in response to individual competitive opportunities. To estimate allowances, we use statistical percentages of revenue, which are determined quarterly based upon recent historical adjustment trends.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also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2" w:name="page23"/>
    <w:bookmarkEnd w:id="22"/>
    <w:p>
      <w:pPr>
        <w:ind w:right="520"/>
        <w:spacing w:after="0" w:line="282" w:lineRule="auto"/>
        <w:rPr>
          <w:sz w:val="20"/>
          <w:szCs w:val="20"/>
          <w:color w:val="auto"/>
        </w:rPr>
      </w:pPr>
      <w:r>
        <w:rPr>
          <w:rFonts w:ascii="Times New Roman" w:cs="Times New Roman" w:eastAsia="Times New Roman" w:hAnsi="Times New Roman"/>
          <w:sz w:val="18"/>
          <w:szCs w:val="18"/>
          <w:color w:val="auto"/>
        </w:rPr>
        <w:t>difference between those prices. The allowance for this type of credit is based on the identified product price difference applied to our estimate of each distributor’s on-hand inventory of that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can reasonably and reliably estimate allowances for credits to distributors in a timely manner.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from sales of our products that are subject to inventory consignment agreements, including consignment arrangements with distributors, is recognized in accordance with the principles discussed above, but delivery occurs when the customer or distributor pulls product from consignment inventory that we store at designated locations.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determine the amount and timing of royalty revenue related to licenses of our patent portfolio based on our contractual agreements with licensees. We recognize royalty revenue when earned under the terms of the agreements and when we consider realization of payment to be probable.</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 We include amounts received from customers for reimbursement of shipping fees in revenue. We include the costs of shipping and handling in COR.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of our non-U.S. operations could change. Such changes could have a material effect on tax expense in future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factors described above, the effective tax rate reflected in forward-looking statements is based on then-current tax law. Significant changes in tax law enacted during the year could affect these estimates. Retroactive changes in tax law enacted subsequent to the end of a reporting period are reflected in the period of enactment as a discrete tax item.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 allowances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judged unlikely to be sold. A specific allowance for each material type will be carried if there is a significant event not captured by the statistical allowance. Examples are an end-of-life part or demand with imminent risk of cancellation. Allowances are also calculated quarterly for instances where inventoried costs for individual products are in excess of market prices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Changes in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information on new accounting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we had no significant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 financial statements for a discussion of our commitments and contingencies.</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 risk</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U.S. dollar is the functional currency for financial reporting. Our non-U.S. entities own assets or liabilities denominated in U.S. dollars or other currencies. Exchange rate fluctuations can have a significant impact on taxable income in those jurisdictions, and consequently on our effective tax rate.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balance sheet also reflects amounts remeasured from non-U.S. dollar currencies. Because most of the aggregate non-U.S. dollar balance sheet exposure is hedged by forward currency exchange contracts, based on year-end 2015 balances and currency exchange rates, a hypothetical 10 percent plus or minus fluctuation in non-U.S. currency exchange rates relative to the U.S. dollar would result in a pre-tax currency exchange gain or loss of less than $1 million.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use these forward currency exchange contracts to reduce the earnings impact exchange rate fluctuations may have on our non-U.S. dollar net balance sheet exposures. For example, at year-end 2015, we had forward currency exchange contracts outstanding with a notional value of $464 million to hedge net balance sheet exposures (including $175 million to sell Japanese yen and $139 million to sell euros). Similar hedging activities existed at year-end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17"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7"/>
          <w:szCs w:val="17"/>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2015, a hypothetical 100 basis point increase in interest rates would decrease the fair value of our investments in cash equivalents and short-term investments by $6 million and decrease the fair value of our long-term debt by $111 million. Because interest rates on our long-term debt are fixed, changes in interest rates would not affect the cash flows associated with long-term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 at year-end 2015 include the following:</w:t>
      </w:r>
    </w:p>
    <w:p>
      <w:pPr>
        <w:spacing w:after="0" w:line="117" w:lineRule="exact"/>
        <w:rPr>
          <w:sz w:val="20"/>
          <w:szCs w:val="20"/>
          <w:color w:val="auto"/>
        </w:rPr>
      </w:pPr>
    </w:p>
    <w:p>
      <w:pPr>
        <w:ind w:left="1040" w:right="28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venture capital funds – includes investments in limited partnerships (accounted for under either the equity or cost method).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 includes non-marketable (non-publicly traded) equity securities.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8 to the financial statements for details of equity and other long-term investments.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4" w:name="page25"/>
    <w:bookmarkEnd w:id="2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List of Financial Statements (Item 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952500</wp:posOffset>
            </wp:positionV>
            <wp:extent cx="6020435"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204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for each of the three years in the period ended December 31, 2015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income for each of the three years in the period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51435</wp:posOffset>
            </wp:positionV>
            <wp:extent cx="602043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20435" cy="20574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sheets at December 31, 2015 and 2014</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for each of the three years in the period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51435</wp:posOffset>
            </wp:positionV>
            <wp:extent cx="602043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20435" cy="21463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Stockholders’ equity for each of the three years in the period ended December 31, 2015</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3" w:right="5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5"/>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tc>
        <w:tc>
          <w:tcPr>
            <w:tcW w:w="360" w:type="dxa"/>
            <w:vAlign w:val="bottom"/>
          </w:tcPr>
          <w:p>
            <w:pPr>
              <w:spacing w:after="0"/>
              <w:rPr>
                <w:sz w:val="18"/>
                <w:szCs w:val="18"/>
                <w:color w:val="auto"/>
              </w:rPr>
            </w:pPr>
          </w:p>
        </w:tc>
        <w:tc>
          <w:tcPr>
            <w:tcW w:w="3200" w:type="dxa"/>
            <w:vAlign w:val="bottom"/>
            <w:gridSpan w:val="6"/>
          </w:tcPr>
          <w:p>
            <w:pPr>
              <w:ind w:left="1020"/>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revenue (COR)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5,440</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7,560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(R&amp;D)</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(SG&amp;A)</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charges</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(71)</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6"/>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4,274</w:t>
            </w: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 (OI&amp;E)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Interest and debt expense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 (EPS):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shares outstanding (millions):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1,030</w:t>
            </w:r>
          </w:p>
        </w:tc>
        <w:tc>
          <w:tcPr>
            <w:tcW w:w="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3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1,043</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800"/>
        <w:spacing w:after="0" w:line="298" w:lineRule="auto"/>
        <w:rPr>
          <w:sz w:val="20"/>
          <w:szCs w:val="20"/>
          <w:color w:val="auto"/>
        </w:rPr>
      </w:pPr>
      <w:r>
        <w:rPr>
          <w:rFonts w:ascii="Times New Roman" w:cs="Times New Roman" w:eastAsia="Times New Roman" w:hAnsi="Times New Roman"/>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Income allocated to RSUs</w:t>
            </w:r>
          </w:p>
        </w:tc>
        <w:tc>
          <w:tcPr>
            <w:tcW w:w="6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(42)</w:t>
            </w:r>
          </w:p>
        </w:tc>
        <w:tc>
          <w:tcPr>
            <w:tcW w:w="6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w:t>
            </w:r>
          </w:p>
        </w:tc>
        <w:tc>
          <w:tcPr>
            <w:tcW w:w="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allocated to common stock for diluted EPS</w:t>
            </w:r>
          </w:p>
        </w:tc>
        <w:tc>
          <w:tcPr>
            <w:tcW w:w="60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tc>
        <w:tc>
          <w:tcPr>
            <w:tcW w:w="340" w:type="dxa"/>
            <w:vAlign w:val="bottom"/>
          </w:tcPr>
          <w:p>
            <w:pPr>
              <w:spacing w:after="0"/>
              <w:rPr>
                <w:sz w:val="18"/>
                <w:szCs w:val="18"/>
                <w:color w:val="auto"/>
              </w:rPr>
            </w:pPr>
          </w:p>
        </w:tc>
        <w:tc>
          <w:tcPr>
            <w:tcW w:w="3200" w:type="dxa"/>
            <w:vAlign w:val="bottom"/>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For Years Ended December 31,</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1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Borders>
              <w:bottom w:val="single" w:sz="8" w:color="CCEEFF"/>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actuarial gains (losses) of defined benefit plans: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Adjustment, net of tax benefit (expense) of $36, $25 and ($60)</w:t>
            </w:r>
          </w:p>
        </w:tc>
        <w:tc>
          <w:tcPr>
            <w:tcW w:w="3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(74)</w:t>
            </w:r>
          </w:p>
        </w:tc>
        <w:tc>
          <w:tcPr>
            <w:tcW w:w="3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 benefit (expense) of ($25), ($21) and ($37)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 service (cost) credit of defined benefit plans: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 net of tax benefit (expense) of ($11), $0 and $1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 benefit (expense) of $0, $0 and $2</w:t>
            </w:r>
          </w:p>
        </w:tc>
        <w:tc>
          <w:tcPr>
            <w:tcW w:w="3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 benefit (expense) of ($1), ($1) and ($1)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r>
      <w:tr>
        <w:trPr>
          <w:trHeight w:val="208"/>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3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3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5"/>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400" w:type="dxa"/>
            <w:vAlign w:val="bottom"/>
          </w:tcPr>
          <w:p>
            <w:pPr>
              <w:spacing w:after="0"/>
              <w:rPr>
                <w:sz w:val="18"/>
                <w:szCs w:val="18"/>
                <w:color w:val="auto"/>
              </w:rPr>
            </w:pPr>
          </w:p>
        </w:tc>
        <w:tc>
          <w:tcPr>
            <w:tcW w:w="1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(Millions of dollars, except share amounts)</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of ($7) and ($12)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1,165</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Raw materials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Work in process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Finished goods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736</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1,691</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7,074</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5,465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(2,869)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2,596</w:t>
            </w:r>
          </w:p>
        </w:tc>
        <w:tc>
          <w:tcPr>
            <w:tcW w:w="3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 net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4,362</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Acquisition-related intangibles, net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1,583</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software licenses, net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3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16,230</w:t>
            </w:r>
          </w:p>
        </w:tc>
        <w:tc>
          <w:tcPr>
            <w:tcW w:w="360" w:type="dxa"/>
            <w:vAlign w:val="bottom"/>
          </w:tcPr>
          <w:p>
            <w:pPr>
              <w:spacing w:after="0"/>
              <w:rPr>
                <w:sz w:val="18"/>
                <w:szCs w:val="18"/>
                <w:color w:val="auto"/>
              </w:rPr>
            </w:pPr>
          </w:p>
        </w:tc>
        <w:tc>
          <w:tcPr>
            <w:tcW w:w="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2,555</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Deferred credits and other liabilities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6,284</w:t>
            </w: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$25 par value. Authorized – 10,000,000 shares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Participating cumulative preferred. None issued.</w:t>
            </w:r>
          </w:p>
        </w:tc>
        <w:tc>
          <w:tcPr>
            <w:tcW w:w="4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 2,400,000,000 shares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Shares issued – 1,740,815,939</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Paid-in capital</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common stock at cost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Shares: 2015 – 729,547,527; 2014 – 694,189,127</w:t>
            </w:r>
          </w:p>
        </w:tc>
        <w:tc>
          <w:tcPr>
            <w:tcW w:w="4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(24,068)</w:t>
            </w:r>
          </w:p>
        </w:tc>
        <w:tc>
          <w:tcPr>
            <w:tcW w:w="4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 net of taxes (AOCI)</w:t>
            </w: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(532)</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9,946</w:t>
            </w:r>
          </w:p>
        </w:tc>
        <w:tc>
          <w:tcPr>
            <w:tcW w:w="3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16,230</w:t>
            </w:r>
          </w:p>
        </w:tc>
        <w:tc>
          <w:tcPr>
            <w:tcW w:w="3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300" w:type="dxa"/>
            <w:vAlign w:val="bottom"/>
          </w:tcPr>
          <w:p>
            <w:pPr>
              <w:spacing w:after="0"/>
              <w:rPr>
                <w:sz w:val="18"/>
                <w:szCs w:val="18"/>
                <w:color w:val="auto"/>
              </w:rPr>
            </w:pPr>
          </w:p>
        </w:tc>
        <w:tc>
          <w:tcPr>
            <w:tcW w:w="3520" w:type="dxa"/>
            <w:vAlign w:val="bottom"/>
            <w:gridSpan w:val="7"/>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200" w:type="dxa"/>
            <w:vAlign w:val="bottom"/>
          </w:tcPr>
          <w:p>
            <w:pPr>
              <w:spacing w:after="0"/>
              <w:rPr>
                <w:sz w:val="18"/>
                <w:szCs w:val="18"/>
                <w:color w:val="auto"/>
              </w:rPr>
            </w:pP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36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acquisition-related intangibles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Amortization of capitalized software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Gains on sales of assets</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(73)</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Increase (decrease) from changes in: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(194)</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funded status of retirement plans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(385)</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asset sales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(3,107)</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(1,323)</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(2,831)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common stock transactions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Excess tax benefit from share-based payments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(428)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8"/>
                <w:szCs w:val="18"/>
                <w:color w:val="auto"/>
              </w:rPr>
            </w:pPr>
          </w:p>
        </w:tc>
        <w:tc>
          <w:tcPr>
            <w:tcW w:w="10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(Millions of dollars, except per-share amounts)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0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declared and paid ($1.07 per share)</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(1,175)</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impact from exercise of options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equivalents paid on restricted stock units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2013</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declared and paid ($1.24 per share)</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(1,323)</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impact from exercise of options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equivalents paid on restricted stock units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Dividends declared and paid ($1.40 per share)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stock issued for stock-based awards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Stock repurchases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Stock-based compensation</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Tax impact from exercise of options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Dividend equivalents paid on restricted stock units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(24,068)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See accompanying notes.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including segment and geographic area information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52" w:lineRule="exact"/>
        <w:rPr>
          <w:sz w:val="20"/>
          <w:szCs w:val="20"/>
          <w:color w:val="auto"/>
        </w:rPr>
      </w:pPr>
    </w:p>
    <w:p>
      <w:pPr>
        <w:ind w:left="1040" w:hanging="519"/>
        <w:spacing w:after="0" w:line="267"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Analog </w:t>
      </w:r>
      <w:r>
        <w:rPr>
          <w:rFonts w:ascii="Times New Roman" w:cs="Times New Roman" w:eastAsia="Times New Roman" w:hAnsi="Times New Roman"/>
          <w:sz w:val="18"/>
          <w:szCs w:val="18"/>
          <w:color w:val="auto"/>
        </w:rPr>
        <w:t>– consists of the following product lines: High Volume Analog &amp; Logic; Power Management; High Performance Analog; and Silicon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Valley Analog, which consists primarily of products that we acquired through our purchase of National Semiconductor Corporation (National) in 2011.</w:t>
      </w:r>
    </w:p>
    <w:p>
      <w:pPr>
        <w:spacing w:after="0" w:line="6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Processing </w:t>
      </w:r>
      <w:r>
        <w:rPr>
          <w:rFonts w:ascii="Times New Roman" w:cs="Times New Roman" w:eastAsia="Times New Roman" w:hAnsi="Times New Roman"/>
          <w:sz w:val="18"/>
          <w:szCs w:val="18"/>
          <w:color w:val="auto"/>
        </w:rPr>
        <w:t>– consists of the following product lines: Microcontrollers, Processors and Connectivity.</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custom ASICs and royalties received from agreements involving license rights to our patent portfolio.</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include in Other items that are not used in evaluating the results of or in allocating resources to our segments. Examples of these items include Acquisition charges (see Note 13); restructuring charges (see Note 3); revenue from our legacy wireless products;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 The assets and liabilities associated with these organizations are included in Other.</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the same as those described below in the summary of significant accounting policies and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Analog</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8,339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w:t>
            </w:r>
          </w:p>
        </w:tc>
        <w:tc>
          <w:tcPr>
            <w:tcW w:w="20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Embedded Processing</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8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Analog</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Embedded Processing</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profit</w:t>
            </w:r>
          </w:p>
        </w:tc>
        <w:tc>
          <w:tcPr>
            <w:tcW w:w="2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Geographic area information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geographic area information includes revenue, based on product shipment destination and royalty payor location, and property, plant and equipment, based on physical location.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r>
      <w:tr>
        <w:trPr>
          <w:trHeight w:val="211"/>
        </w:trPr>
        <w:tc>
          <w:tcPr>
            <w:tcW w:w="42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8"/>
                <w:szCs w:val="18"/>
                <w:color w:val="auto"/>
              </w:rPr>
            </w:pPr>
          </w:p>
        </w:tc>
      </w:tr>
      <w:tr>
        <w:trPr>
          <w:trHeight w:val="21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 (a)</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100" w:type="dxa"/>
            <w:vAlign w:val="bottom"/>
            <w:shd w:val="clear" w:color="auto" w:fill="CCEEFF"/>
          </w:tcPr>
          <w:p>
            <w:pPr>
              <w:spacing w:after="0"/>
              <w:rPr>
                <w:sz w:val="18"/>
                <w:szCs w:val="18"/>
                <w:color w:val="auto"/>
              </w:rPr>
            </w:pPr>
          </w:p>
        </w:tc>
      </w:tr>
      <w:tr>
        <w:trPr>
          <w:trHeight w:val="21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r>
      <w:tr>
        <w:trPr>
          <w:trHeight w:val="21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Japan</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shd w:val="clear" w:color="auto" w:fill="CCEEFF"/>
          </w:tcPr>
          <w:p>
            <w:pPr>
              <w:spacing w:after="0"/>
              <w:rPr>
                <w:sz w:val="18"/>
                <w:szCs w:val="18"/>
                <w:color w:val="auto"/>
              </w:rPr>
            </w:pPr>
          </w:p>
        </w:tc>
      </w:tr>
      <w:tr>
        <w:trPr>
          <w:trHeight w:val="214"/>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2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5"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Revenue from products shipped into China, including Hong Kong, was $5.8 billion in 2015, $5.7 billion in 2014 and $5.2 billion in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Pr>
          <w:p>
            <w:pPr>
              <w:spacing w:after="0"/>
              <w:rPr>
                <w:sz w:val="18"/>
                <w:szCs w:val="18"/>
                <w:color w:val="auto"/>
              </w:rPr>
            </w:pPr>
          </w:p>
        </w:tc>
      </w:tr>
      <w:tr>
        <w:trPr>
          <w:trHeight w:val="21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 (a)</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8"/>
                <w:szCs w:val="18"/>
                <w:color w:val="auto"/>
              </w:rPr>
            </w:pPr>
          </w:p>
        </w:tc>
      </w:tr>
      <w:tr>
        <w:trPr>
          <w:trHeight w:val="214"/>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r>
      <w:tr>
        <w:trPr>
          <w:trHeight w:val="218"/>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Japan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r>
      <w:tr>
        <w:trPr>
          <w:trHeight w:val="214"/>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5"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Property, plant and equipment at our two sites in the Philippines was $471 million in 2015, $546 million in 2014 and $678 million in 2013.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Major customer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largest single end customer in 2015 was Apple Inc., accounting for approximately 11 percent of revenue, recognized primarily in our Analog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 accounted for 10 percent or more of revenue in 2014 or 2013.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 and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The basis of these financial statements is comparable for all periods presented herein.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2015 presentation, including to apply retrospectively the following:</w:t>
      </w:r>
    </w:p>
    <w:p>
      <w:pPr>
        <w:spacing w:after="0" w:line="72"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standard on classifying deferred income taxes (see Changes in accounting standards below and Note 6),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standard on classifying debt issuance costs (see Changes in accounting standards below and Note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preparation of financial statements requires the use of estimates from which final results may vary.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8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Significant accounting policies and practices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recognize revenue from sales of our products, including direct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recognize revenue net of allowances, which are management’s estimates of future credits to be granted to customers or distributors under programs common in the semiconductor industry. These allowances are based on analysis of historical data, current economic conditions, and contractual terms and are recorded when revenue is recognized. Allowances may include volume-based incentives, product returns due to quality issues, incentives designed to maximize growth opportunities and special pricing arrangements. For instance, we sell to distributors at standard published prices, but we may grant them price adjustment credits in response to individual competitive opportunities. To estimate allowances, we use statistical percentages of revenue, which are determined quarterly based upon recent historical adjustment trends.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also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can reasonably and reliably estimate allowances for credits to distributors in a timely manner.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from sales of our products that are subject to inventory consignment agreements, including consignment arrangements with distributors, is recognized in accordance with the principles discussed above, but delivery occurs when the customer or distributor pulls product from consignment inventory that we store at designated locations.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determine the amount and timing of royalty revenue related to licenses of our patent portfolio based on our contractual agreements with licensees. We recognize royalty revenue when earned under the terms of the agreements and when we consider realization of payment to be probable.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shipping fees received from customers in revenue, and we include the shipping and handling costs in COR.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advertising and other promotional costs as incurred. This expense was $46 million in 2015, $45 million in 2014 and $46 million in 2013.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Restructuring charges may consist of voluntary or involuntary severance-related charges, asset-related charges and other costs due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Restructuring activities associated with assets are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for sale, we write down the carrying value to its net realizable value and cease depreciation. Restructuring actions may be viewed as an impairment indicator requiring testing of the recoverability of intangible assets, including goodwill.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assessed taxes</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and reconciliation of earnings per common share are as follows (shares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For Years Ended December 31,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EPS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(43)</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Income allocated to common stock for basic</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gridSpan w:val="2"/>
            <w:vMerge w:val="continue"/>
          </w:tcPr>
          <w:p>
            <w:pPr>
              <w:spacing w:after="0"/>
              <w:rPr>
                <w:sz w:val="17"/>
                <w:szCs w:val="17"/>
                <w:color w:val="auto"/>
              </w:rPr>
            </w:pP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2,943</w:t>
            </w:r>
          </w:p>
        </w:tc>
        <w:tc>
          <w:tcPr>
            <w:tcW w:w="2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1,030</w:t>
            </w:r>
          </w:p>
        </w:tc>
        <w:tc>
          <w:tcPr>
            <w:tcW w:w="4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EPS calculation</w:t>
            </w:r>
          </w:p>
        </w:tc>
        <w:tc>
          <w:tcPr>
            <w:tcW w:w="8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80" w:type="dxa"/>
            <w:vAlign w:val="bottom"/>
            <w:gridSpan w:val="2"/>
            <w:vMerge w:val="continue"/>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 dilutive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Income allocated to common stock for diluted</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gridSpan w:val="2"/>
            <w:vMerge w:val="continue"/>
          </w:tcPr>
          <w:p>
            <w:pPr>
              <w:spacing w:after="0"/>
              <w:rPr>
                <w:sz w:val="17"/>
                <w:szCs w:val="17"/>
                <w:color w:val="auto"/>
              </w:rPr>
            </w:pPr>
          </w:p>
        </w:tc>
        <w:tc>
          <w:tcPr>
            <w:tcW w:w="8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2,944</w:t>
            </w:r>
          </w:p>
        </w:tc>
        <w:tc>
          <w:tcPr>
            <w:tcW w:w="2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1,043</w:t>
            </w:r>
          </w:p>
        </w:tc>
        <w:tc>
          <w:tcPr>
            <w:tcW w:w="240" w:type="dxa"/>
            <w:vAlign w:val="bottom"/>
            <w:vMerge w:val="restart"/>
          </w:tcPr>
          <w:p>
            <w:pPr>
              <w:spacing w:after="0"/>
              <w:rPr>
                <w:sz w:val="17"/>
                <w:szCs w:val="17"/>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EPS calculation</w:t>
            </w:r>
          </w:p>
        </w:tc>
        <w:tc>
          <w:tcPr>
            <w:tcW w:w="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8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12 million and 11 million shares of common stock that were outstanding during 2015 and 2014, respectively, were excluded from the computation of diluted earnings per common share for these periods because their effect would have been anti-dilutive. There were no potentially dilutive securities to exclude from the computation of diluted earnings per common share during 2013.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present investments on our Consolidated Balance Sheets as cash equivalents, short-term investments or long-term investments. Specific details are as follows:</w:t>
      </w:r>
    </w:p>
    <w:p>
      <w:pPr>
        <w:spacing w:after="0" w:line="52" w:lineRule="exact"/>
        <w:rPr>
          <w:sz w:val="20"/>
          <w:szCs w:val="20"/>
          <w:color w:val="auto"/>
        </w:rPr>
      </w:pPr>
    </w:p>
    <w:p>
      <w:pPr>
        <w:ind w:left="1040" w:right="60" w:hanging="519"/>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and short-term investments: </w:t>
      </w:r>
      <w:r>
        <w:rPr>
          <w:rFonts w:ascii="Times New Roman" w:cs="Times New Roman" w:eastAsia="Times New Roman" w:hAnsi="Times New Roman"/>
          <w:sz w:val="18"/>
          <w:szCs w:val="18"/>
          <w:color w:val="auto"/>
        </w:rPr>
        <w:t>We consider investments in debt securities with maturities of 90 days or less from the date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to be cash equivalents. We consider investments in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Long-term investments consist of mutual funds, venture capital funds and non-marketable equity securities.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4" w:name="page35"/>
    <w:bookmarkEnd w:id="34"/>
    <w:p>
      <w:pPr>
        <w:ind w:left="1040" w:right="60" w:hanging="519"/>
        <w:spacing w:after="0" w:line="26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Classification of investments: </w:t>
      </w:r>
      <w:r>
        <w:rPr>
          <w:rFonts w:ascii="Times New Roman" w:cs="Times New Roman" w:eastAsia="Times New Roman" w:hAnsi="Times New Roman"/>
          <w:sz w:val="18"/>
          <w:szCs w:val="18"/>
          <w:color w:val="auto"/>
        </w:rPr>
        <w:t>Depending on our reasons for holding the investment and our ownership percentage, we classify our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either available for sale, trading, equity method or cost method, which are more fully described in Note 8. We determine cost or amortized cost, as appropriate, on a specific identification basis.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$275 million and $258 million as of December 31, 2015 and 2014, respectively.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acquisition-related intangibles and other capitalized costs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long-lived assets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9 for additional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 See Note 13 for additional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35" w:name="page36"/>
    <w:bookmarkEnd w:id="35"/>
    <w:p>
      <w:pPr>
        <w:ind w:right="62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accounting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for current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April and August 2015, respectively, the Financial Accounting Standards Board (FASB) issued Accounting Standards Update (ASU) No. 2015-03, </w:t>
      </w:r>
      <w:r>
        <w:rPr>
          <w:rFonts w:ascii="Times New Roman" w:cs="Times New Roman" w:eastAsia="Times New Roman" w:hAnsi="Times New Roman"/>
          <w:sz w:val="18"/>
          <w:szCs w:val="18"/>
          <w:i w:val="1"/>
          <w:iCs w:val="1"/>
          <w:color w:val="auto"/>
        </w:rPr>
        <w:t>Interest</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Imputation of Interest (Subtopic 835-30): Simplifying the Presentation of Debt Issuance Costs</w:t>
      </w:r>
      <w:r>
        <w:rPr>
          <w:rFonts w:ascii="Times New Roman" w:cs="Times New Roman" w:eastAsia="Times New Roman" w:hAnsi="Times New Roman"/>
          <w:sz w:val="18"/>
          <w:szCs w:val="18"/>
          <w:color w:val="auto"/>
        </w:rPr>
        <w:t>, and ASU 2015-15,</w:t>
      </w:r>
      <w:r>
        <w:rPr>
          <w:rFonts w:ascii="Times New Roman" w:cs="Times New Roman" w:eastAsia="Times New Roman" w:hAnsi="Times New Roman"/>
          <w:sz w:val="18"/>
          <w:szCs w:val="18"/>
          <w:i w:val="1"/>
          <w:iCs w:val="1"/>
          <w:color w:val="auto"/>
        </w:rPr>
        <w:t xml:space="preserve"> Presentation and Subsequent Measurement of Debt Issuance Costs Associated with Line-of-Credit Arrangements – Amendments to SEC Paragraphs Pursuant to Staff Announcement at June 18, 2015 EITF Meeting</w:t>
      </w:r>
      <w:r>
        <w:rPr>
          <w:rFonts w:ascii="Times New Roman" w:cs="Times New Roman" w:eastAsia="Times New Roman" w:hAnsi="Times New Roman"/>
          <w:sz w:val="18"/>
          <w:szCs w:val="18"/>
          <w:color w:val="auto"/>
        </w:rPr>
        <w:t>. These standards require that costs associated with the issuance of debt, except for costs associated with line-of-credit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be reported as a direct reduction of the related debt balance. Previously, such costs were recorded as deferred assets. Costs associated with line-of-credit arrangements may continue to be recorded as deferred assets. We adopted these standards as of December 31, 2015, and retrospectively applied the standards to prior periods presented herein. The effect of the reclassification on our Consolidated Balance Sheets is quantified in Note 11. The reclassification we made to address these standards had no impact on our Consolidated Statements of Income.</w:t>
      </w:r>
    </w:p>
    <w:p>
      <w:pPr>
        <w:spacing w:after="0" w:line="18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This standard requires that companies classify all deferred tax assets and liabilities within a taxing jurisdiction as noncurrent on their consolidated balance sheets. The effect of this new requirement is that deferred income taxes previously reported in either current assets or current liabilities shall be reclassified to noncurrent assets or liabilities. This standard can be applied either prospectively or retrospectively, and is effective for annual and interim periods beginning after December 15, 2016. Early adoption is allowed. We adopted this standard as of December 31, 2015, and retrospectively applied it to prior periods presented herein. The effect of the reclassifications on our Consolidated Balance Sheets is quantified in Note 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This standard provides a single set of guidelines for revenue recognition to be used across all industries and requires additional disclosures. In July 2015, the FASB deferred the effective date by one year to December 15, 2017, for annual and interim reporting periods beginning after that date. This standard permits early adoption, but not before the original effective date of December 15, 2016,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including sales to distributors, upon satisfaction of our performance obligations when the goods are shipped. For consignment sales, we recognize revenue when the goods are pulled from consignment inventory.</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t>
      </w:r>
      <w:r>
        <w:rPr>
          <w:rFonts w:ascii="Times New Roman" w:cs="Times New Roman" w:eastAsia="Times New Roman" w:hAnsi="Times New Roman"/>
          <w:sz w:val="18"/>
          <w:szCs w:val="18"/>
          <w:i w:val="1"/>
          <w:iCs w:val="1"/>
          <w:color w:val="auto"/>
        </w:rPr>
        <w:t>Consolidation (Topic 810) – Amendments to the Consolidation Analysis</w:t>
      </w:r>
      <w:r>
        <w:rPr>
          <w:rFonts w:ascii="Times New Roman" w:cs="Times New Roman" w:eastAsia="Times New Roman" w:hAnsi="Times New Roman"/>
          <w:sz w:val="18"/>
          <w:szCs w:val="18"/>
          <w:color w:val="auto"/>
        </w:rPr>
        <w:t>, which changes the way reporting entities evaluate certain investment holdings for possible consolidation and also includes possible changes in disclosures resulting from that evaluation. This standard is effective for annual and interim reporting periods beginning January 1, 2016, and will have no material impact on our financial position and results of operations.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 Paid in a Cloud Computing Arrangement</w:t>
      </w:r>
      <w:r>
        <w:rPr>
          <w:rFonts w:ascii="Times New Roman" w:cs="Times New Roman" w:eastAsia="Times New Roman" w:hAnsi="Times New Roman"/>
          <w:sz w:val="18"/>
          <w:szCs w:val="18"/>
          <w:color w:val="auto"/>
        </w:rPr>
        <w:t>, which provides guidance on whether a cloud-computing arrangement contains a software license, and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license should be accounted for separately as an asset or solely as a service contract. This standard also aligns the accounting for licenses of internal-use software with the accounting for licenses of other acquired intangible assets. This standard is effective beginning January 1, 2016, and we will adopt it prospectively to all arrangements entered into or materially modified after the effective date. We do not expect this standard to have a material impact on our financial position and results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 charges/other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charges/other is comprised of the following components: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36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80" w:type="dxa"/>
            <w:vAlign w:val="bottom"/>
            <w:tcBorders>
              <w:bottom w:val="single" w:sz="8" w:color="CCEEFF"/>
            </w:tcBorders>
          </w:tcPr>
          <w:p>
            <w:pPr>
              <w:spacing w:after="0"/>
              <w:rPr>
                <w:sz w:val="18"/>
                <w:szCs w:val="18"/>
                <w:color w:val="auto"/>
              </w:rPr>
            </w:pP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 (a)</w:t>
            </w:r>
          </w:p>
        </w:tc>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8"/>
                <w:szCs w:val="18"/>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Gains on sales of assets</w:t>
            </w: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(83)</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technology transfer</w:t>
            </w:r>
          </w:p>
        </w:tc>
        <w:tc>
          <w:tcPr>
            <w:tcW w:w="1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w:t>
            </w: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060" w:firstLine="8"/>
        <w:spacing w:after="0" w:line="298" w:lineRule="auto"/>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severance and benefits, along with changes in estimates; 2014 and 2013 also include other exit costs and accelerated depreciation.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charges/other are recognized in Other for segment reporting purposes.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charges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of management’s decision in the fourth quarter of 2015, we announced in January 2016 our intentions to phase out a small, older manufacturing facility in Greenock, Scotland, over the next three years. Plans are to move production from this facility to more cost-effective 200-millimeter TI manufacturing facilities in Germany, Japan and Maine, resulting in annualized savings of about $35 million per year. Total restructuring charges, primarily severance and related benefit costs associated with the expected reduction of about 350 jobs, are estimated to be about $40 million. We recognized charges of $17 million in the fourth quarter of 2015. The remaining charges are expected to be recognized over the next three years. As of December 31, 2015, no payments have been made.</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2014 and 2013 restructuring charges related to prior actions in Embedded Processing, Japan, our former Wireless business and factory closures in Houston, Texas, and Hiji, Japan. These actions have been completed.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accrued restructuring balances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8"/>
                <w:szCs w:val="18"/>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r>
      <w:tr>
        <w:trPr>
          <w:trHeight w:val="22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items (a)</w:t>
            </w: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9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(39)</w:t>
            </w:r>
          </w:p>
        </w:tc>
        <w:tc>
          <w:tcPr>
            <w:tcW w:w="8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w:t>
            </w: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Reflects charges for impacts of accelerated depreciation and postretirement benefit plans.</w:t>
      </w:r>
    </w:p>
    <w:p>
      <w:pPr>
        <w:spacing w:after="0" w:line="23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restructuring accrual balances are primarily reported as a component of either Accrued expenses and other liabilities or Deferred credits and other liabilities on our Consolidated Balance Sheets, depending on the expected timing of payment. The $32 million as of December 31, 2015 is composed of $17 million related to the 2015 action and $15 million related to prior 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sales of assets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recognized $83 million of gains on sales of assets in 2015. This included $48 million associated with the sale of a site in Plano, Texas, and $34 million associated with the sale of a manufacturing facility in Houston, Texas.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recognized $75 million of gains on sales of assets in 2014. This consisted of $30 million associated with the sale of a site in Nice, France; $28 million associated with the sales of real estate in Santa Clara, California; and $17 million of asset sales associated primarily with the factory closures in Houston, Texas, and Hiji, Japan.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technology transfer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2013, we recognized a gain of $315 million on the transfer of wireless connectivity technology to a customer. This technology was associated with the former Wireless business.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stock options outstanding to participants under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10-year term and vest ratably over four years. Our options generally continue to vest after the option recipient retires.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RSUs outstanding under long-term incentive plans. Each RSU represents the right to receive one share of TI common stock on the vesting date, which is generally four years after the date of grant. Upon vesting, the shares are issued without payment by the grantee. Beginning with 2013 grants, RSUs generally continue to vest after the recipient retires. Holders of most RSUs receive an annual cash payment equivalent to the dividends paid on our common stock.</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320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2013</w:t>
            </w:r>
          </w:p>
        </w:tc>
        <w:tc>
          <w:tcPr>
            <w:tcW w:w="80" w:type="dxa"/>
            <w:vAlign w:val="bottom"/>
            <w:tcBorders>
              <w:bottom w:val="single" w:sz="8" w:color="CCEEFF"/>
            </w:tcBorders>
          </w:tcPr>
          <w:p>
            <w:pPr>
              <w:spacing w:after="0"/>
              <w:rPr>
                <w:sz w:val="18"/>
                <w:szCs w:val="18"/>
                <w:color w:val="auto"/>
              </w:rPr>
            </w:pPr>
          </w:p>
        </w:tc>
      </w:tr>
      <w:tr>
        <w:trPr>
          <w:trHeight w:val="21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w:t>
            </w:r>
          </w:p>
        </w:tc>
        <w:tc>
          <w:tcPr>
            <w:tcW w:w="18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r>
      <w:tr>
        <w:trPr>
          <w:trHeight w:val="212"/>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R&amp;D</w:t>
            </w: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r>
      <w:tr>
        <w:trPr>
          <w:trHeight w:val="22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w:t>
            </w:r>
          </w:p>
        </w:tc>
        <w:tc>
          <w:tcPr>
            <w:tcW w:w="1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r>
      <w:tr>
        <w:trPr>
          <w:trHeight w:val="214"/>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Acquisition charges</w:t>
            </w:r>
          </w:p>
        </w:tc>
        <w:tc>
          <w:tcPr>
            <w:tcW w:w="18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amounts include expenses related to non-qualified stock options, RSUs and stock options offered under our employee stock purchase plan and are net of expected forfeitures.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issue awards of non-qualified stock options with graded vesting provisions (e.g., 25 percent per year for four years). Generally, we recognize the related compensation expense on a straight-line basis over the minimum service period required for vesting of the award, adjusting for expected forfeiture activity. Awards issued to employees who are retirement eligible or nearing retirement eligibility are expensed on an accelerated basis.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RSUs generally vest four years after the date of grant. We recognize the related compensation expense on a straight-line basis over the vesting period, adjusting for expected forfeiture activity. Beginning with 2013 grants, RSUs issued to employees who are retirement eligible or nearing retirement eligibility are expensed on an accelerated basis.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Fair-value methods and assumptions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account for all awards granted under our various stock-based compensation plans at fair value. We estimate the fair values for non-qualified stock options using the Black-Scholes-Merton option-pricing model with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Years Ended December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3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160" w:type="dxa"/>
            <w:vAlign w:val="bottom"/>
            <w:tcBorders>
              <w:bottom w:val="single" w:sz="8" w:color="CCEEFF"/>
            </w:tcBorders>
          </w:tcPr>
          <w:p>
            <w:pPr>
              <w:spacing w:after="0"/>
              <w:rPr>
                <w:sz w:val="18"/>
                <w:szCs w:val="18"/>
                <w:color w:val="auto"/>
              </w:rPr>
            </w:pPr>
          </w:p>
        </w:tc>
      </w:tr>
      <w:tr>
        <w:trPr>
          <w:trHeight w:val="21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grant date fair value, per share</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60" w:type="dxa"/>
            <w:vAlign w:val="bottom"/>
            <w:shd w:val="clear" w:color="auto" w:fill="CCEEFF"/>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assumptions used:</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lives (in years)</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8"/>
                <w:szCs w:val="18"/>
                <w:color w:val="auto"/>
              </w:rPr>
            </w:pPr>
          </w:p>
        </w:tc>
      </w:tr>
      <w:tr>
        <w:trPr>
          <w:trHeight w:val="21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Risk-free interest rates</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dividend yields</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2.56%</w:t>
            </w:r>
          </w:p>
        </w:tc>
      </w:tr>
    </w:tbl>
    <w:p>
      <w:pPr>
        <w:spacing w:after="0" w:line="24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Risk-free interest rates are determined using the implied yield currently available for zero-coupon U.S. government issues with a remaining term equal to the expected life of the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yields are based on the annualized approved quarterly dividend rate and the current market price of our common stock at the time of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assumption for a future dividend rate change is included unless there is an approved plan to change the dividend in the near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employee stock purchase plan is a discount-purchase plan and consequently the Black-Scholes-Merton option-pricing model is not used to determine the fair value per share of these awards. The fair value per share under this plan equals the amount of the discount.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and director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RSU transactions under our long-term incentive and director compensation plans during 2015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24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209"/>
        </w:trPr>
        <w:tc>
          <w:tcPr>
            <w:tcW w:w="3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8"/>
                <w:szCs w:val="18"/>
                <w:color w:val="auto"/>
              </w:rPr>
            </w:pPr>
          </w:p>
        </w:tc>
      </w:tr>
      <w:tr>
        <w:trPr>
          <w:trHeight w:val="214"/>
        </w:trPr>
        <w:tc>
          <w:tcPr>
            <w:tcW w:w="3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9"/>
        </w:trPr>
        <w:tc>
          <w:tcPr>
            <w:tcW w:w="386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r>
      <w:tr>
        <w:trPr>
          <w:trHeight w:val="213"/>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grants, December 31, 2014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57,647,446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17,303,815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11,913,832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2,679,437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53.22</w:t>
            </w:r>
          </w:p>
        </w:tc>
        <w:tc>
          <w:tcPr>
            <w:tcW w:w="100" w:type="dxa"/>
            <w:vAlign w:val="bottom"/>
          </w:tcPr>
          <w:p>
            <w:pPr>
              <w:spacing w:after="0"/>
              <w:rPr>
                <w:sz w:val="18"/>
                <w:szCs w:val="18"/>
                <w:color w:val="auto"/>
              </w:rPr>
            </w:pPr>
          </w:p>
        </w:tc>
      </w:tr>
      <w:tr>
        <w:trPr>
          <w:trHeight w:val="22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Vested RSUs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(3,386,415)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33.72</w:t>
            </w:r>
          </w:p>
        </w:tc>
        <w:tc>
          <w:tcPr>
            <w:tcW w:w="100" w:type="dxa"/>
            <w:vAlign w:val="bottom"/>
            <w:shd w:val="clear" w:color="auto" w:fill="CCEEFF"/>
          </w:tcPr>
          <w:p>
            <w:pPr>
              <w:spacing w:after="0"/>
              <w:rPr>
                <w:sz w:val="19"/>
                <w:szCs w:val="19"/>
                <w:color w:val="auto"/>
              </w:rPr>
            </w:pP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Forfeited and expired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(833,840)</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42.71</w:t>
            </w: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(541,295)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36.94</w:t>
            </w:r>
          </w:p>
        </w:tc>
        <w:tc>
          <w:tcPr>
            <w:tcW w:w="100" w:type="dxa"/>
            <w:vAlign w:val="bottom"/>
          </w:tcPr>
          <w:p>
            <w:pPr>
              <w:spacing w:after="0"/>
              <w:rPr>
                <w:sz w:val="18"/>
                <w:szCs w:val="18"/>
                <w:color w:val="auto"/>
              </w:rPr>
            </w:pPr>
          </w:p>
        </w:tc>
      </w:tr>
      <w:tr>
        <w:trPr>
          <w:trHeight w:val="22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(11,953,455)</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31.33</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grants, December 31, 2015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56,773,983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37.45</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16,055,542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38.51</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during the years 2015, 2014 and 2013 was $53.22, $44.71 and $33.70 per share, respectively. For the years ended December 31, 2015, 2014 and 2013, the total grant date fair value of shares vested from RSU grants was $114 million, $133 million and $98 million,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Summarized information about stock options outstanding at December 31, 2015,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Stock Options Outstanding</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209"/>
        </w:trPr>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8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8"/>
                <w:szCs w:val="18"/>
                <w:color w:val="auto"/>
              </w:rPr>
            </w:pPr>
          </w:p>
        </w:tc>
        <w:tc>
          <w:tcPr>
            <w:tcW w:w="22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22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19"/>
        </w:trPr>
        <w:tc>
          <w:tcPr>
            <w:tcW w:w="240" w:type="dxa"/>
            <w:vAlign w:val="bottom"/>
          </w:tcPr>
          <w:p>
            <w:pPr>
              <w:spacing w:after="0"/>
              <w:rPr>
                <w:sz w:val="19"/>
                <w:szCs w:val="19"/>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200" w:type="dxa"/>
            <w:vAlign w:val="bottom"/>
          </w:tcPr>
          <w:p>
            <w:pPr>
              <w:spacing w:after="0"/>
              <w:rPr>
                <w:sz w:val="19"/>
                <w:szCs w:val="19"/>
                <w:color w:val="auto"/>
              </w:rPr>
            </w:pPr>
          </w:p>
        </w:tc>
        <w:tc>
          <w:tcPr>
            <w:tcW w:w="22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22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3"/>
        </w:trPr>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14.47 to 20.00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3,499,029</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14.96</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3,499,029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20.01 to 30.00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8,385,885</w:t>
            </w:r>
          </w:p>
        </w:tc>
        <w:tc>
          <w:tcPr>
            <w:tcW w:w="2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25.56</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8,377,295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25.56</w:t>
            </w:r>
          </w:p>
        </w:tc>
        <w:tc>
          <w:tcPr>
            <w:tcW w:w="100" w:type="dxa"/>
            <w:vAlign w:val="bottom"/>
          </w:tcPr>
          <w:p>
            <w:pPr>
              <w:spacing w:after="0"/>
              <w:rPr>
                <w:sz w:val="18"/>
                <w:szCs w:val="18"/>
                <w:color w:val="auto"/>
              </w:rPr>
            </w:pPr>
          </w:p>
        </w:tc>
      </w:tr>
      <w:tr>
        <w:trPr>
          <w:trHeight w:val="218"/>
        </w:trPr>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30.01 to 40.00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21,215,903</w:t>
            </w:r>
          </w:p>
        </w:tc>
        <w:tc>
          <w:tcPr>
            <w:tcW w:w="2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12,732,409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33.21</w:t>
            </w:r>
          </w:p>
        </w:tc>
        <w:tc>
          <w:tcPr>
            <w:tcW w:w="100" w:type="dxa"/>
            <w:vAlign w:val="bottom"/>
            <w:shd w:val="clear" w:color="auto" w:fill="CCEEFF"/>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40.01 to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12,012,519</w:t>
            </w:r>
          </w:p>
        </w:tc>
        <w:tc>
          <w:tcPr>
            <w:tcW w:w="2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8.1</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44.11</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2,229,828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44.10</w:t>
            </w:r>
          </w:p>
        </w:tc>
        <w:tc>
          <w:tcPr>
            <w:tcW w:w="100" w:type="dxa"/>
            <w:vAlign w:val="bottom"/>
          </w:tcPr>
          <w:p>
            <w:pPr>
              <w:spacing w:after="0"/>
              <w:rPr>
                <w:sz w:val="18"/>
                <w:szCs w:val="18"/>
                <w:color w:val="auto"/>
              </w:rPr>
            </w:pPr>
          </w:p>
        </w:tc>
      </w:tr>
      <w:tr>
        <w:trPr>
          <w:trHeight w:val="218"/>
        </w:trPr>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50.01 to 58.98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11,660,647</w:t>
            </w:r>
          </w:p>
        </w:tc>
        <w:tc>
          <w:tcPr>
            <w:tcW w:w="24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9.1</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53.96</w:t>
            </w:r>
          </w:p>
        </w:tc>
        <w:tc>
          <w:tcPr>
            <w:tcW w:w="1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55.41</w:t>
            </w:r>
          </w:p>
        </w:tc>
        <w:tc>
          <w:tcPr>
            <w:tcW w:w="100" w:type="dxa"/>
            <w:vAlign w:val="bottom"/>
            <w:shd w:val="clear" w:color="auto" w:fill="CCEEFF"/>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14.47 to 58.98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56,773,983</w:t>
            </w:r>
          </w:p>
        </w:tc>
        <w:tc>
          <w:tcPr>
            <w:tcW w:w="2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6.5</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37.45</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26,840,082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29.35</w:t>
            </w:r>
          </w:p>
        </w:tc>
        <w:tc>
          <w:tcPr>
            <w:tcW w:w="10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2015, 2014 and 2013, the aggregate intrinsic value (i.e., the difference in the closing market price on the date of exercise and the exercise price paid by the optionee) of options exercised was $290 million, $367 million and $427 million, respectively.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Summarized information as of December 31, 2015, about outstanding stock options that are vested and expected to vest, as well as stock options that are currently exercisable,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Outstanding Stock Options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(Fully Vested and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219"/>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Expected to Vest) (a)</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Exercisable</w:t>
            </w:r>
          </w:p>
        </w:tc>
      </w:tr>
      <w:tr>
        <w:trPr>
          <w:trHeight w:val="213"/>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outstanding (shares)</w:t>
            </w:r>
          </w:p>
        </w:tc>
        <w:tc>
          <w:tcPr>
            <w:tcW w:w="12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55,421,103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26,840,082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2"/>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contractual life (in years)</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60" w:type="dxa"/>
            <w:vAlign w:val="bottom"/>
          </w:tcPr>
          <w:p>
            <w:pPr>
              <w:spacing w:after="0"/>
              <w:rPr>
                <w:sz w:val="18"/>
                <w:szCs w:val="18"/>
                <w:color w:val="auto"/>
              </w:rPr>
            </w:pPr>
          </w:p>
        </w:tc>
      </w:tr>
      <w:tr>
        <w:trPr>
          <w:trHeight w:val="22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exercise price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37.17</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29.35</w:t>
            </w:r>
          </w:p>
        </w:tc>
        <w:tc>
          <w:tcPr>
            <w:tcW w:w="60" w:type="dxa"/>
            <w:vAlign w:val="bottom"/>
            <w:shd w:val="clear" w:color="auto" w:fill="CCEEFF"/>
          </w:tcPr>
          <w:p>
            <w:pPr>
              <w:spacing w:after="0"/>
              <w:rPr>
                <w:sz w:val="19"/>
                <w:szCs w:val="19"/>
                <w:color w:val="auto"/>
              </w:rPr>
            </w:pPr>
          </w:p>
        </w:tc>
      </w:tr>
      <w:tr>
        <w:trPr>
          <w:trHeight w:val="212"/>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Intrinsic value (millions of dollars)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978</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683</w:t>
            </w:r>
          </w:p>
        </w:tc>
        <w:tc>
          <w:tcPr>
            <w:tcW w:w="60" w:type="dxa"/>
            <w:vAlign w:val="bottom"/>
          </w:tcPr>
          <w:p>
            <w:pPr>
              <w:spacing w:after="0"/>
              <w:rPr>
                <w:sz w:val="18"/>
                <w:szCs w:val="18"/>
                <w:color w:val="auto"/>
              </w:rPr>
            </w:pPr>
          </w:p>
        </w:tc>
      </w:tr>
    </w:tbl>
    <w:p>
      <w:pPr>
        <w:spacing w:after="0" w:line="219" w:lineRule="exact"/>
        <w:rPr>
          <w:sz w:val="20"/>
          <w:szCs w:val="20"/>
          <w:color w:val="auto"/>
        </w:rPr>
      </w:pPr>
    </w:p>
    <w:p>
      <w:pPr>
        <w:ind w:right="3200" w:firstLine="8"/>
        <w:spacing w:after="0" w:line="298" w:lineRule="auto"/>
        <w:tabs>
          <w:tab w:leader="none" w:pos="2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effects of expected forfeitures of approximately 1 million shares. Excluding the effects of expected forfeitures, the aggregate intrinsic value of stock options outstanding was $986 million.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2015, the total future compensation cost related to equity awards not yet recognized in the Consolidated Statements of Income was $273 million, consisting of $112 million related to unvested stock options and $161 million related to unvested RSUs. The $273 million is expected to be recognized as follows: $140 million in 2016, $86 million in 2017, $42 million in 2018 and $5 million in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deferred compensation</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Directors who retire or resign from the board may receive stock distributions for compensation they elected to defer. For these stock distributions, we issue treasury shares. Director deferred stock activity during 2015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Director Deferred Stock</w:t>
            </w:r>
          </w:p>
        </w:tc>
      </w:tr>
      <w:tr>
        <w:trPr>
          <w:trHeight w:val="212"/>
        </w:trPr>
        <w:tc>
          <w:tcPr>
            <w:tcW w:w="4740" w:type="dxa"/>
            <w:vAlign w:val="bottom"/>
          </w:tcPr>
          <w:p>
            <w:pPr>
              <w:spacing w:after="0"/>
              <w:rPr>
                <w:sz w:val="18"/>
                <w:szCs w:val="18"/>
                <w:color w:val="auto"/>
              </w:rPr>
            </w:pPr>
          </w:p>
        </w:tc>
        <w:tc>
          <w:tcPr>
            <w:tcW w:w="21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2"/>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December 31, 2014</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135,722</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New shares deferred</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14,722</w:t>
            </w:r>
          </w:p>
        </w:tc>
        <w:tc>
          <w:tcPr>
            <w:tcW w:w="80" w:type="dxa"/>
            <w:vAlign w:val="bottom"/>
          </w:tcPr>
          <w:p>
            <w:pPr>
              <w:spacing w:after="0"/>
              <w:rPr>
                <w:sz w:val="18"/>
                <w:szCs w:val="18"/>
                <w:color w:val="auto"/>
              </w:rPr>
            </w:pPr>
          </w:p>
        </w:tc>
      </w:tr>
      <w:tr>
        <w:trPr>
          <w:trHeight w:val="22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2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(7,531)</w:t>
            </w: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December 31, 2015</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142,913</w:t>
            </w: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11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Options outstanding under the employee stock purchase plan at December 31, 2015, had an exercise price equal to 85 percent of the fair market value of TI common stock on the date of automatic exercise. The automatic exercise occurred on January 4, 2016, resulting in an exercise price of $46.19 per share. Of the total outstanding options, none were exercisable at year-end 2015.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Employee stock purchase plan transactions during 2015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54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 Plan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544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13"/>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grants, December 31, 2014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374,703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2"/>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1,530,127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44.75</w:t>
            </w:r>
          </w:p>
        </w:tc>
        <w:tc>
          <w:tcPr>
            <w:tcW w:w="80" w:type="dxa"/>
            <w:vAlign w:val="bottom"/>
          </w:tcPr>
          <w:p>
            <w:pPr>
              <w:spacing w:after="0"/>
              <w:rPr>
                <w:sz w:val="18"/>
                <w:szCs w:val="18"/>
                <w:color w:val="auto"/>
              </w:rPr>
            </w:pPr>
          </w:p>
        </w:tc>
      </w:tr>
      <w:tr>
        <w:trPr>
          <w:trHeight w:val="22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(1,532,264)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44.57</w:t>
            </w:r>
          </w:p>
        </w:tc>
        <w:tc>
          <w:tcPr>
            <w:tcW w:w="80" w:type="dxa"/>
            <w:vAlign w:val="bottom"/>
            <w:shd w:val="clear" w:color="auto" w:fill="CCEEFF"/>
          </w:tcPr>
          <w:p>
            <w:pPr>
              <w:spacing w:after="0"/>
              <w:rPr>
                <w:sz w:val="19"/>
                <w:szCs w:val="19"/>
                <w:color w:val="auto"/>
              </w:rPr>
            </w:pP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grants, December 31, 2015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372,566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46.19</w:t>
            </w: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under the employee stock purchase plans during the years 2015, 2014 and 2013 was $7.89,</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$7.34 and $5.71 per share, respectively. During the years ended December 31, 2015, 2014 and 2013, the total intrinsic value of options exercised under these plans was $12 million, $12 million and $13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on shares outstanding and treasury shares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Treasury shares were acquired in connection with the board-authorized stock repurchase program. As of December 31, 2015, $7.93 billion of stock repurchase authorizations remain, and no expiration date has been specified.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current practice is to issue shares of common stock from treasury shares upon exercise of stock options, distribution of director deferred compensation and vesting of RSUs. The table below reflects the changes in our treasury shares: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1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RSUs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2012</w:t>
            </w: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632,636,970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Repurchases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77,564,013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for:</w:t>
            </w: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options/RSUs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(45,507,711)</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(5,741,981)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applied to taxes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1,461,422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ESPP</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(2,386,834)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 deferred stock</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(12,909)</w:t>
            </w:r>
          </w:p>
        </w:tc>
        <w:tc>
          <w:tcPr>
            <w:tcW w:w="0" w:type="dxa"/>
            <w:vAlign w:val="bottom"/>
          </w:tcPr>
          <w:p>
            <w:pPr>
              <w:spacing w:after="0"/>
              <w:rPr>
                <w:sz w:val="1"/>
                <w:szCs w:val="1"/>
                <w:color w:val="auto"/>
              </w:rPr>
            </w:pPr>
          </w:p>
        </w:tc>
      </w:tr>
      <w:tr>
        <w:trPr>
          <w:trHeight w:val="25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issued</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(47,894,545)</w:t>
            </w:r>
          </w:p>
        </w:tc>
        <w:tc>
          <w:tcPr>
            <w:tcW w:w="2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(4,280,559</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(52,175,104)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2013</w:t>
            </w: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658,012,970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61,665,209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Shares used for:</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options/RSUs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(19,503,382)</w:t>
            </w: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(5,609,627)</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applied to exercises or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1,408,701</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ESPP</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(1,784,184)</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deferred stock</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(7,178)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issued</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(21,280,948)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(4,200,926</w:t>
            </w:r>
          </w:p>
        </w:tc>
        <w:tc>
          <w:tcPr>
            <w:tcW w:w="20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(25,481,874)</w:t>
            </w:r>
          </w:p>
        </w:tc>
        <w:tc>
          <w:tcPr>
            <w:tcW w:w="0" w:type="dxa"/>
            <w:vAlign w:val="bottom"/>
          </w:tcPr>
          <w:p>
            <w:pPr>
              <w:spacing w:after="0"/>
              <w:rPr>
                <w:sz w:val="1"/>
                <w:szCs w:val="1"/>
                <w:color w:val="auto"/>
              </w:rPr>
            </w:pPr>
          </w:p>
        </w:tc>
      </w:tr>
      <w:tr>
        <w:trPr>
          <w:trHeight w:val="194"/>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694,189,127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Repurchases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51,384,339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Shares used for:</w:t>
            </w: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options/RSUs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(11,953,455)</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(3,386,415)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Stock applied to exercises or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845,164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ESPP</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(1,532,264)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Director deferred stock</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(7,531)</w:t>
            </w:r>
          </w:p>
        </w:tc>
        <w:tc>
          <w:tcPr>
            <w:tcW w:w="0" w:type="dxa"/>
            <w:vAlign w:val="bottom"/>
          </w:tcPr>
          <w:p>
            <w:pPr>
              <w:spacing w:after="0"/>
              <w:rPr>
                <w:sz w:val="1"/>
                <w:szCs w:val="1"/>
                <w:color w:val="auto"/>
              </w:rPr>
            </w:pPr>
          </w:p>
        </w:tc>
      </w:tr>
      <w:tr>
        <w:trPr>
          <w:trHeight w:val="25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issued</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(13,477,157)</w:t>
            </w:r>
          </w:p>
        </w:tc>
        <w:tc>
          <w:tcPr>
            <w:tcW w:w="2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(2,541,251</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(16,018,408)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2015</w:t>
            </w: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729,547,527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Shares available for future grants and reserved for issuance are summarized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Long-Term Incentive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and Director</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Compensation Plans</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Purchase Plan</w:t>
            </w: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Reserved for issuance (a)</w:t>
            </w:r>
          </w:p>
        </w:tc>
        <w:tc>
          <w:tcPr>
            <w:tcW w:w="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105,793,583</w:t>
            </w: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38,032,774</w:t>
            </w: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143,826,357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to be issued upon exercise of outstanding</w:t>
            </w:r>
          </w:p>
        </w:tc>
        <w:tc>
          <w:tcPr>
            <w:tcW w:w="1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(72,972,438)</w:t>
            </w:r>
          </w:p>
        </w:tc>
        <w:tc>
          <w:tcPr>
            <w:tcW w:w="1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(372,566)</w:t>
            </w:r>
          </w:p>
        </w:tc>
        <w:tc>
          <w:tcPr>
            <w:tcW w:w="1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(73,345,004)</w:t>
            </w:r>
          </w:p>
        </w:tc>
        <w:tc>
          <w:tcPr>
            <w:tcW w:w="0" w:type="dxa"/>
            <w:vAlign w:val="bottom"/>
          </w:tcPr>
          <w:p>
            <w:pPr>
              <w:spacing w:after="0"/>
              <w:rPr>
                <w:sz w:val="1"/>
                <w:szCs w:val="1"/>
                <w:color w:val="auto"/>
              </w:rPr>
            </w:pPr>
          </w:p>
        </w:tc>
      </w:tr>
      <w:tr>
        <w:trPr>
          <w:trHeight w:val="213"/>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 and RSUs (a)</w:t>
            </w:r>
          </w:p>
        </w:tc>
        <w:tc>
          <w:tcPr>
            <w:tcW w:w="190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 for future grants</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32,821,145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37,660,208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70,481,353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620" w:firstLine="8"/>
        <w:spacing w:after="0" w:line="298" w:lineRule="auto"/>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142,913 shares credited to directors’ deferred stock accounts that settle in shares of TI common stock. These shares are not included as grants outstanding at December 31,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on cash flows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common stock transactions</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Tax benefit realized from stock options exercised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Profit sharing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recognized $309 million, $269 million and $161 million of profit sharing expense under the TI Employee Profit Sharing Plan in 2015, 2014 and 2013, respectively.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Non-U.S.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3580" w:type="dxa"/>
            <w:vAlign w:val="bottom"/>
            <w:tcBorders>
              <w:top w:val="single" w:sz="8" w:color="CCEEFF"/>
            </w:tcBorders>
            <w:shd w:val="clear" w:color="auto" w:fill="CCEEFF"/>
          </w:tcPr>
          <w:p>
            <w:pPr>
              <w:jc w:val="right"/>
              <w:ind w:right="3159"/>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1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3,218</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580" w:type="dxa"/>
            <w:vAlign w:val="bottom"/>
          </w:tcPr>
          <w:p>
            <w:pPr>
              <w:jc w:val="right"/>
              <w:ind w:right="3159"/>
              <w:spacing w:after="0"/>
              <w:rPr>
                <w:sz w:val="20"/>
                <w:szCs w:val="20"/>
                <w:color w:val="auto"/>
              </w:rPr>
            </w:pPr>
            <w:r>
              <w:rPr>
                <w:rFonts w:ascii="Times New Roman" w:cs="Times New Roman" w:eastAsia="Times New Roman" w:hAnsi="Times New Roman"/>
                <w:sz w:val="16"/>
                <w:szCs w:val="16"/>
                <w:color w:val="auto"/>
                <w:w w:val="99"/>
              </w:rPr>
              <w:t>2014</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80" w:type="dxa"/>
            <w:vAlign w:val="bottom"/>
          </w:tcPr>
          <w:p>
            <w:pPr>
              <w:spacing w:after="0"/>
              <w:rPr>
                <w:sz w:val="18"/>
                <w:szCs w:val="18"/>
                <w:color w:val="auto"/>
              </w:rPr>
            </w:pPr>
          </w:p>
        </w:tc>
      </w:tr>
      <w:tr>
        <w:trPr>
          <w:trHeight w:val="222"/>
        </w:trPr>
        <w:tc>
          <w:tcPr>
            <w:tcW w:w="3580" w:type="dxa"/>
            <w:vAlign w:val="bottom"/>
            <w:shd w:val="clear" w:color="auto" w:fill="CCEEFF"/>
          </w:tcPr>
          <w:p>
            <w:pPr>
              <w:jc w:val="right"/>
              <w:ind w:right="3159"/>
              <w:spacing w:after="0"/>
              <w:rPr>
                <w:sz w:val="20"/>
                <w:szCs w:val="20"/>
                <w:color w:val="auto"/>
              </w:rPr>
            </w:pPr>
            <w:r>
              <w:rPr>
                <w:rFonts w:ascii="Times New Roman" w:cs="Times New Roman" w:eastAsia="Times New Roman" w:hAnsi="Times New Roman"/>
                <w:sz w:val="16"/>
                <w:szCs w:val="16"/>
                <w:color w:val="auto"/>
                <w:w w:val="99"/>
              </w:rPr>
              <w:t>2013</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 Federal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Non-U.S.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U.S. State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4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1,110</w:t>
            </w:r>
          </w:p>
        </w:tc>
        <w:tc>
          <w:tcPr>
            <w:tcW w:w="160" w:type="dxa"/>
            <w:vAlign w:val="bottom"/>
          </w:tcPr>
          <w:p>
            <w:pPr>
              <w:spacing w:after="0"/>
              <w:rPr>
                <w:sz w:val="18"/>
                <w:szCs w:val="18"/>
                <w:color w:val="auto"/>
              </w:rPr>
            </w:pPr>
          </w:p>
        </w:tc>
        <w:tc>
          <w:tcPr>
            <w:tcW w:w="1260" w:type="dxa"/>
            <w:vAlign w:val="bottom"/>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60" w:type="dxa"/>
            <w:vAlign w:val="bottom"/>
          </w:tcPr>
          <w:p>
            <w:pPr>
              <w:spacing w:after="0"/>
              <w:rPr>
                <w:sz w:val="18"/>
                <w:szCs w:val="18"/>
                <w:color w:val="auto"/>
              </w:rPr>
            </w:pPr>
          </w:p>
        </w:tc>
        <w:tc>
          <w:tcPr>
            <w:tcW w:w="1300" w:type="dxa"/>
            <w:vAlign w:val="bottom"/>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(72)</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(55)</w:t>
            </w:r>
          </w:p>
        </w:tc>
        <w:tc>
          <w:tcPr>
            <w:tcW w:w="0" w:type="dxa"/>
            <w:vAlign w:val="bottom"/>
          </w:tcPr>
          <w:p>
            <w:pPr>
              <w:spacing w:after="0"/>
              <w:rPr>
                <w:sz w:val="1"/>
                <w:szCs w:val="1"/>
                <w:color w:val="auto"/>
              </w:rPr>
            </w:pPr>
          </w:p>
        </w:tc>
      </w:tr>
      <w:tr>
        <w:trPr>
          <w:trHeight w:val="248"/>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1,038</w:t>
            </w:r>
          </w:p>
        </w:tc>
        <w:tc>
          <w:tcPr>
            <w:tcW w:w="16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6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6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w:t>
            </w:r>
          </w:p>
        </w:tc>
        <w:tc>
          <w:tcPr>
            <w:tcW w:w="2440" w:type="dxa"/>
            <w:vAlign w:val="bottom"/>
            <w:gridSpan w:val="2"/>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1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2013</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w:t>
            </w:r>
          </w:p>
        </w:tc>
        <w:tc>
          <w:tcPr>
            <w:tcW w:w="244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tcPr>
          <w:p>
            <w:pPr>
              <w:spacing w:after="0"/>
              <w:rPr>
                <w:sz w:val="18"/>
                <w:szCs w:val="18"/>
                <w:color w:val="auto"/>
              </w:rPr>
            </w:pPr>
          </w:p>
        </w:tc>
        <w:tc>
          <w:tcPr>
            <w:tcW w:w="126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tcPr>
          <w:p>
            <w:pPr>
              <w:spacing w:after="0"/>
              <w:rPr>
                <w:sz w:val="18"/>
                <w:szCs w:val="18"/>
                <w:color w:val="auto"/>
              </w:rPr>
            </w:pPr>
          </w:p>
        </w:tc>
        <w:tc>
          <w:tcPr>
            <w:tcW w:w="130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reconciling items from income tax computed at the statutory federal rate follow: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Computed tax at statutory rate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18"/>
                <w:szCs w:val="18"/>
                <w:color w:val="auto"/>
              </w:rPr>
            </w:pPr>
          </w:p>
        </w:tc>
      </w:t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Non-U.S. effective tax rates</w:t>
            </w:r>
          </w:p>
        </w:tc>
        <w:tc>
          <w:tcPr>
            <w:tcW w:w="8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r>
      <w:tr>
        <w:trPr>
          <w:trHeight w:val="22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tax benefit for manufacturing</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U.S. R&amp;D tax credit</w:t>
            </w:r>
          </w:p>
        </w:tc>
        <w:tc>
          <w:tcPr>
            <w:tcW w:w="8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r>
      <w:tr>
        <w:trPr>
          <w:trHeight w:val="22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Impact of changes to uncertain tax positions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2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total provision for 2013 in the reconciliation above includes $79 million of discrete tax benefits primarily for the reinstatement of the U.S. R&amp;D tax credit retroactive to 2012.</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annual effective tax rate benefits from lower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 Also included in the non-U.S. effective tax rates reconciling item above are benefits from tax holidays of $60 million, $44 million and $40 million in 2015, 2014 and 2013, respectively. The tax benefits relate to our operations in Malaysia and the Philippines, and expire in 2018 and 2017, respectively. The terms of the Malaysia tax holiday are currently under governmental review as required for the end of the first five years of the holiday period. We do not expect any potential change in the holiday to have a material impact on the financial statements.</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8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primary components of deferred income tax assets and liabilities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Borders>
              <w:bottom w:val="single" w:sz="8" w:color="CCEEFF"/>
            </w:tcBorders>
          </w:tcPr>
          <w:p>
            <w:pPr>
              <w:spacing w:after="0"/>
              <w:rPr>
                <w:sz w:val="18"/>
                <w:szCs w:val="18"/>
                <w:color w:val="auto"/>
              </w:rPr>
            </w:pPr>
          </w:p>
        </w:tc>
      </w:tr>
      <w:tr>
        <w:trPr>
          <w:trHeight w:val="211"/>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244</w:t>
            </w:r>
          </w:p>
        </w:tc>
        <w:tc>
          <w:tcPr>
            <w:tcW w:w="220" w:type="dxa"/>
            <w:vAlign w:val="bottom"/>
          </w:tcPr>
          <w:p>
            <w:pPr>
              <w:spacing w:after="0"/>
              <w:rPr>
                <w:sz w:val="18"/>
                <w:szCs w:val="18"/>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r>
      <w:tr>
        <w:trPr>
          <w:trHeight w:val="21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loss and tax credit carryforwards</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r>
      <w:tr>
        <w:trPr>
          <w:trHeight w:val="214"/>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r>
      <w:tr>
        <w:trPr>
          <w:trHeight w:val="21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and related reserves</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r>
      <w:tr>
        <w:trPr>
          <w:trHeight w:val="214"/>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costs for defined benefit and retiree health care</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r>
      <w:tr>
        <w:trPr>
          <w:trHeight w:val="21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income tax assets, before valuation allowance</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r>
      <w:tr>
        <w:trPr>
          <w:trHeight w:val="21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(186)</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(195)</w:t>
            </w:r>
          </w:p>
        </w:tc>
      </w:tr>
      <w:tr>
        <w:trPr>
          <w:trHeight w:val="20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income tax assets, after valuation allowance</w:t>
            </w:r>
          </w:p>
        </w:tc>
        <w:tc>
          <w:tcPr>
            <w:tcW w:w="1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834</w:t>
            </w: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7"/>
                <w:szCs w:val="17"/>
                <w:color w:val="auto"/>
              </w:rPr>
            </w:pPr>
          </w:p>
        </w:tc>
      </w:tr>
      <w:tr>
        <w:trPr>
          <w:trHeight w:val="22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4"/>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Acquisition-related intangibles and fair-value adjustments</w:t>
            </w:r>
          </w:p>
        </w:tc>
        <w:tc>
          <w:tcPr>
            <w:tcW w:w="1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(565)</w:t>
            </w:r>
          </w:p>
        </w:tc>
        <w:tc>
          <w:tcPr>
            <w:tcW w:w="5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(672)</w:t>
            </w:r>
          </w:p>
        </w:tc>
      </w:tr>
      <w:tr>
        <w:trPr>
          <w:trHeight w:val="218"/>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earnings</w:t>
            </w: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(105)</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08"/>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tcPr>
          <w:p>
            <w:pPr>
              <w:spacing w:after="0"/>
              <w:rPr>
                <w:sz w:val="18"/>
                <w:szCs w:val="18"/>
                <w:color w:val="auto"/>
              </w:rPr>
            </w:pPr>
          </w:p>
        </w:tc>
      </w:tr>
      <w:tr>
        <w:trPr>
          <w:trHeight w:val="210"/>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income tax asset</w:t>
            </w:r>
          </w:p>
        </w:tc>
        <w:tc>
          <w:tcPr>
            <w:tcW w:w="11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income tax assets and liabilities based on tax jurisdictions are presented on the Consolidated Balance Sheets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4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60" w:type="dxa"/>
            <w:vAlign w:val="bottom"/>
            <w:tcBorders>
              <w:bottom w:val="single" w:sz="8" w:color="CCEEFF"/>
            </w:tcBorders>
          </w:tcPr>
          <w:p>
            <w:pPr>
              <w:spacing w:after="0"/>
              <w:rPr>
                <w:sz w:val="18"/>
                <w:szCs w:val="18"/>
                <w:color w:val="auto"/>
              </w:rPr>
            </w:pPr>
          </w:p>
        </w:tc>
      </w:tr>
      <w:tr>
        <w:trPr>
          <w:trHeight w:val="21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deferred income tax assets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shd w:val="clear" w:color="auto" w:fill="CCEEFF"/>
          </w:tcPr>
          <w:p>
            <w:pPr>
              <w:spacing w:after="0"/>
              <w:rPr>
                <w:sz w:val="18"/>
                <w:szCs w:val="18"/>
                <w:color w:val="auto"/>
              </w:rPr>
            </w:pPr>
          </w:p>
        </w:tc>
      </w:tr>
      <w:tr>
        <w:trPr>
          <w:trHeight w:val="214"/>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deferred income tax liabilities</w:t>
            </w: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deferred income tax asset</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As a result of our early adoption of ASU 2015-17</w:t>
      </w:r>
      <w:r>
        <w:rPr>
          <w:rFonts w:ascii="Times New Roman" w:cs="Times New Roman" w:eastAsia="Times New Roman" w:hAnsi="Times New Roman"/>
          <w:sz w:val="18"/>
          <w:szCs w:val="18"/>
          <w:i w:val="1"/>
          <w:iCs w:val="1"/>
          <w:color w:val="auto"/>
        </w:rPr>
        <w:t>, Balance Sheet Classification of Deferred Taxes</w:t>
      </w:r>
      <w:r>
        <w:rPr>
          <w:rFonts w:ascii="Times New Roman" w:cs="Times New Roman" w:eastAsia="Times New Roman" w:hAnsi="Times New Roman"/>
          <w:sz w:val="18"/>
          <w:szCs w:val="18"/>
          <w:color w:val="auto"/>
        </w:rPr>
        <w:t>, we have adjusted the presentation of deferred taxes on the Consolidated Balance Sheets. We have retrospectively adjusted the 2014 Consolidated Balance Sheets to conform to the 2015 presentation by reclassifying current deferred income tax assets and liabilities to noncurrent deferred income tax assets and liabilities. The effect of applying the new standard, as shown in the following table, is the result of netting Current deferred income tax assets with Noncurrent deferred income tax liabilities, by tax jurisdiction. See Note 2 for additional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17"/>
                <w:szCs w:val="17"/>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Applying</w:t>
            </w:r>
          </w:p>
        </w:tc>
        <w:tc>
          <w:tcPr>
            <w:tcW w:w="200" w:type="dxa"/>
            <w:vAlign w:val="bottom"/>
          </w:tcPr>
          <w:p>
            <w:pPr>
              <w:spacing w:after="0"/>
              <w:rPr>
                <w:sz w:val="17"/>
                <w:szCs w:val="17"/>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7"/>
                <w:szCs w:val="17"/>
                <w:color w:val="auto"/>
              </w:rPr>
            </w:pPr>
          </w:p>
        </w:tc>
      </w:tr>
      <w:tr>
        <w:trPr>
          <w:trHeight w:val="215"/>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New Standard</w:t>
            </w: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13"/>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deferred income tax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deferred income tax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r>
      <w:tr>
        <w:trPr>
          <w:trHeight w:val="22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deferred income tax liabilities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deferred income tax liabilities</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(399)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income tax asset</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Changes in valuation allowance balances in the years 2015, 2014 and 2013 of $9 million, $24 million and $2 million, respectively, had no impact on Net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U.S. and non-U.S. tax loss carryforwards of approximately $35 million, none of which will expire before the year 2025.</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provision has been made for deferred taxes on undistributed earnings of non-U.S. subsidiaries to the extent that dividend payments from these subsidiaries are expected to result in additional tax liability. The remaining undistributed earnings of approximately $8.35 billion at December 31, 2015, have been indefinitely reinvested outside of the United States; therefore, no U.S. tax provision has been made for taxes due upon remittance of these earnings. The indefinitely reinvested earnings of our non-U.S. subsidiaries are primarily invested in working capital and property, plant and equipment. Determination of the amount of unrecognized deferred income tax liability is not practical because of the complexities associated with its hypothetical calculation.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40"/>
        <w:spacing w:after="0" w:line="282" w:lineRule="auto"/>
        <w:rPr>
          <w:sz w:val="20"/>
          <w:szCs w:val="20"/>
          <w:color w:val="auto"/>
        </w:rPr>
      </w:pPr>
      <w:r>
        <w:rPr>
          <w:rFonts w:ascii="Times New Roman" w:cs="Times New Roman" w:eastAsia="Times New Roman" w:hAnsi="Times New Roman"/>
          <w:sz w:val="18"/>
          <w:szCs w:val="18"/>
          <w:color w:val="auto"/>
        </w:rPr>
        <w:t>Cash payments made for income taxes, net of refunds, were $1.167 billion, $1.104 billion and $569 million for the years ended December 31, 2015, 2014 and 2013,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total amounts of uncertain tax positions are summarized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8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Settlements with tax authorities</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Expiration of the statute of limitations for assessing taxes</w:t>
            </w:r>
          </w:p>
        </w:tc>
        <w:tc>
          <w:tcPr>
            <w:tcW w:w="8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w:t>
            </w:r>
          </w:p>
        </w:tc>
        <w:tc>
          <w:tcPr>
            <w:tcW w:w="82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 recognized in the year ended December 31</w:t>
            </w: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 (payable) as of December 31</w:t>
            </w: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liability for uncertain tax positions is a component of Deferred credits and other liabilities on our Consolidated Balance Sheets.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the $84 million liability for uncertain tax positions as of December 31, 2015, is comprised of positions that, if recognized, would impact the tax rate. If these tax liabilities are ultimately realized, $12 million of existing deferred tax assets would also be realized, related to refunds from counterparty jurisdictions resulting from procedures for relief from double taxation. It is reasonably possible that the liability could increase in 2016 by up to $150 million for a tax depreciation-related position. The increase would offset the tax benefit realized with no net profit impact.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of the $108 million liability for uncertain tax positions as of December 31, 2014, is comprised of positions that, if recognized, would impact the tax rate. If these tax liabilities are ultimately realized, $56 million of existing deferred tax assets would also be realized, primarily related to refunds from counterparty jurisdictions resulting from procedures for relief from double taxation.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2015, the statute of limitations remains open for U.S. federal tax returns for 2010 and following years. Audit activities related to our U.S. federal tax returns through 2009 have been completed except for certain pending tax treaty procedures for relief from double taxation and the review of refunds claimed on amended returns for years prior to 2010. The procedures for relief from double taxation pertain to U.S. federal tax returns for the years 2006 through 2009.</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Financial instruments and risk concentration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11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hold derivative financial instruments such as forward foreign currency exchange contracts, the fair value of which was not material as of December 31, 2015. Our forward foreign currency exchange contracts outstanding as of December 31, 2015, had a notional value of $464 million to hedge our non-U.S. dollar net balance sheet exposures, including $175 million to sell Japanese yen and $139 million to sell euros.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ind w:right="100"/>
        <w:spacing w:after="0" w:line="261" w:lineRule="auto"/>
        <w:rPr>
          <w:sz w:val="20"/>
          <w:szCs w:val="20"/>
          <w:color w:val="auto"/>
        </w:rPr>
      </w:pPr>
      <w:r>
        <w:rPr>
          <w:rFonts w:ascii="Times New Roman" w:cs="Times New Roman" w:eastAsia="Times New Roman" w:hAnsi="Times New Roman"/>
          <w:sz w:val="18"/>
          <w:szCs w:val="18"/>
          <w:color w:val="auto"/>
        </w:rPr>
        <w:t>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8 for a description of fair value and the definition of Level 2 inputs.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concentration</w:t>
      </w:r>
    </w:p>
    <w:p>
      <w:pPr>
        <w:spacing w:after="0" w:line="11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these accounts receivable allowances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80" w:type="dxa"/>
            <w:vAlign w:val="bottom"/>
          </w:tcPr>
          <w:p>
            <w:pPr>
              <w:spacing w:after="0"/>
              <w:rPr>
                <w:sz w:val="18"/>
                <w:szCs w:val="18"/>
                <w:color w:val="auto"/>
              </w:rPr>
            </w:pPr>
          </w:p>
        </w:tc>
      </w:tr>
      <w:tr>
        <w:trPr>
          <w:trHeight w:val="21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Additions charged (credited) to operating results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w:t>
            </w:r>
          </w:p>
        </w:tc>
        <w:tc>
          <w:tcPr>
            <w:tcW w:w="8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Recoveries and write-offs, net</w:t>
            </w: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w:t>
            </w:r>
          </w:p>
        </w:tc>
        <w:tc>
          <w:tcPr>
            <w:tcW w:w="100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Valuation of debt and equity investments and certain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and equity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investments as either available for sale, trading, equity method or cost method. Most of our investments are classified as available for sale.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Details of our investments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1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Measured at fair value:</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obligations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agency and Treasury</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Trading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772</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measurement basis: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Equity-method investments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Cost-method investments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on hand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At December 31, 2015 and 2014, unrealized gains and losses associated with our available-for-sale investments were not material. We did not recognize any credit losses related to available-for-sale investments for the years ended December 31, 2015, 2014 and 2013.</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2015, 2014 and 2013, the proceeds from sales, redemptions and maturities of short-term available-for-sale investments were $2.89 billion, $2.97 billion and $4.25 billion, respectively. Gross realized gains and losses from these sales were not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maturities of investments in debt securities classified as available for sale at December 31,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Due</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One year or less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80" w:type="dxa"/>
            <w:vAlign w:val="bottom"/>
            <w:tcBorders>
              <w:top w:val="single" w:sz="8" w:color="CCEEFF"/>
            </w:tcBorders>
            <w:shd w:val="clear" w:color="auto" w:fill="CCEEFF"/>
          </w:tcPr>
          <w:p>
            <w:pPr>
              <w:spacing w:after="0"/>
              <w:rPr>
                <w:sz w:val="18"/>
                <w:szCs w:val="18"/>
                <w:color w:val="auto"/>
              </w:rPr>
            </w:pPr>
          </w:p>
        </w:tc>
      </w:tr>
      <w:tr>
        <w:trPr>
          <w:trHeight w:val="22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One to two years</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r>
    </w:tbl>
    <w:p>
      <w:pPr>
        <w:spacing w:after="0" w:line="23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Gross realized gains and losses from sales of long-term investments were not material for 2015, 2014 and 2013. Other-than-temporary declines and impairments in the values of these investments recognized in OI&amp;E were not material in 2015, 2014 and 2013.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Fair-value considerations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as of the reporting date.</w:t>
      </w:r>
    </w:p>
    <w:p>
      <w:pPr>
        <w:spacing w:after="0" w:line="117" w:lineRule="exact"/>
        <w:rPr>
          <w:rFonts w:ascii="Times New Roman" w:cs="Times New Roman" w:eastAsia="Times New Roman" w:hAnsi="Times New Roman"/>
          <w:sz w:val="18"/>
          <w:szCs w:val="18"/>
          <w:color w:val="auto"/>
        </w:rPr>
      </w:pPr>
    </w:p>
    <w:p>
      <w:pPr>
        <w:ind w:left="1040" w:right="20" w:hanging="519"/>
        <w:spacing w:after="0" w:line="25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left="1040" w:right="200" w:hanging="519"/>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 As of December 31, 2015 and 2014, we had no Level 3 assets or liabilities, other than certain assets held by our postretirement plans.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are our assets and liabilities that were accounted for at fair value on a recurring basis as of December 31, 2015 and 2014. These tables do not include cash on hand, assets held by our postretirement plans, or assets and liabilities that are measured at historical cost or any basis other than fair value.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20" w:type="dxa"/>
            <w:vAlign w:val="bottom"/>
          </w:tcPr>
          <w:p>
            <w:pPr>
              <w:spacing w:after="0"/>
              <w:rPr>
                <w:sz w:val="18"/>
                <w:szCs w:val="18"/>
                <w:color w:val="auto"/>
              </w:rPr>
            </w:pPr>
          </w:p>
        </w:tc>
        <w:tc>
          <w:tcPr>
            <w:tcW w:w="4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obligations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agency and Treasury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compensation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4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522</w:t>
            </w:r>
          </w:p>
        </w:tc>
        <w:tc>
          <w:tcPr>
            <w:tcW w:w="440" w:type="dxa"/>
            <w:vAlign w:val="bottom"/>
            <w:gridSpan w:val="4"/>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obligations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agency and Treasury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24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2,469</w:t>
            </w:r>
          </w:p>
        </w:tc>
        <w:tc>
          <w:tcPr>
            <w:tcW w:w="260" w:type="dxa"/>
            <w:vAlign w:val="bottom"/>
            <w:gridSpan w:val="3"/>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compensation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c>
          <w:tcPr>
            <w:tcW w:w="440" w:type="dxa"/>
            <w:vAlign w:val="bottom"/>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gridSpan w:val="3"/>
          </w:tcPr>
          <w:p>
            <w:pPr>
              <w:spacing w:after="0"/>
              <w:rPr>
                <w:sz w:val="17"/>
                <w:szCs w:val="17"/>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acquisition-related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goodwill, net, by segment for the years ended December 31, 2015 and 2014.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Goodwill</w:t>
            </w:r>
          </w:p>
        </w:tc>
      </w:tr>
      <w:tr>
        <w:trPr>
          <w:trHeight w:val="213"/>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Analog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Embedded Processing</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r>
      <w:tr>
        <w:trPr>
          <w:trHeight w:val="22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8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For the years ended December 31, 2015, 2014 and 2013, we determined no impairment was indicated. See Note 8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components of Acquisition-related intangibles, net, as of December 31, 2015 and 2014,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5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Acquisition-Related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54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0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3"/>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7 - 10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r>
      <w:tr>
        <w:trPr>
          <w:trHeight w:val="22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r>
      <w:tr>
        <w:trPr>
          <w:trHeight w:val="208"/>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Amortization of acquisition-related intangibles was $319 million, $321 million and $336 million for 2015, 2014 and 2013, respectively, primarily related to developed technology. Fully amortized assets are written off against accumulated amortization. Future estimated amortization of acquisition-related intangibles for the years ended December 31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Amortization of</w:t>
            </w:r>
          </w:p>
        </w:tc>
      </w:tr>
      <w:tr>
        <w:trPr>
          <w:trHeight w:val="203"/>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Acquisition-Related</w:t>
            </w:r>
          </w:p>
        </w:tc>
      </w:tr>
      <w:tr>
        <w:trPr>
          <w:trHeight w:val="215"/>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Intangibles</w:t>
            </w:r>
          </w:p>
        </w:tc>
      </w:tr>
      <w:tr>
        <w:trPr>
          <w:trHeight w:val="213"/>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tcPr>
          <w:p>
            <w:pPr>
              <w:spacing w:after="0"/>
              <w:rPr>
                <w:sz w:val="18"/>
                <w:szCs w:val="18"/>
                <w:color w:val="auto"/>
              </w:rPr>
            </w:pPr>
          </w:p>
        </w:tc>
      </w:tr>
      <w:tr>
        <w:trPr>
          <w:trHeight w:val="22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shd w:val="clear" w:color="auto" w:fill="CCEEFF"/>
          </w:tcPr>
          <w:p>
            <w:pPr>
              <w:spacing w:after="0"/>
              <w:rPr>
                <w:sz w:val="19"/>
                <w:szCs w:val="19"/>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0" w:type="dxa"/>
            <w:vAlign w:val="bottom"/>
          </w:tcPr>
          <w:p>
            <w:pPr>
              <w:spacing w:after="0"/>
              <w:rPr>
                <w:sz w:val="18"/>
                <w:szCs w:val="18"/>
                <w:color w:val="auto"/>
              </w:rPr>
            </w:pPr>
          </w:p>
        </w:tc>
      </w:tr>
      <w:tr>
        <w:trPr>
          <w:trHeight w:val="22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shd w:val="clear" w:color="auto" w:fill="CCEEFF"/>
          </w:tcPr>
          <w:p>
            <w:pPr>
              <w:spacing w:after="0"/>
              <w:rPr>
                <w:sz w:val="19"/>
                <w:szCs w:val="19"/>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tcPr>
          <w:p>
            <w:pPr>
              <w:spacing w:after="0"/>
              <w:rPr>
                <w:sz w:val="18"/>
                <w:szCs w:val="18"/>
                <w:color w:val="auto"/>
              </w:rPr>
            </w:pP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Postretirement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descriptions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retirement plans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principal retirement plans in the U.S. are a defined contribution plan; an enhanced defined contribution plan; and qualified and non-qualified defined benefit pension plans. The defined benefit plans were closed to new participants in 1997, and then-current participants were allowed to make a one-time election to continue accruing a benefit in the plans, or to cease accruing a benefit and instead to participate in the enhanced defined contribution plan described below.</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89"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7"/>
          <w:szCs w:val="17"/>
          <w:color w:val="auto"/>
        </w:rPr>
        <w:t>At December 31, 2015 and 2014, as a result of employees’ elections, TI’s U.S. defined contribution plans held shares of TI common stock totaling 13 million shares and 14 million shares valued at $704 million and $740 million, respectively. Dividends paid on these shares for both 2015 and 2014 were $19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aggregate expense for the U.S. defined contribution plans was $60 million in both 2015 and 2014 and $62 million in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ind w:right="100"/>
        <w:spacing w:after="0" w:line="258" w:lineRule="auto"/>
        <w:rPr>
          <w:sz w:val="20"/>
          <w:szCs w:val="20"/>
          <w:color w:val="auto"/>
        </w:rPr>
      </w:pPr>
      <w:r>
        <w:rPr>
          <w:rFonts w:ascii="Times New Roman" w:cs="Times New Roman" w:eastAsia="Times New Roman" w:hAnsi="Times New Roman"/>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retiree health care benefit plan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retirement plans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2015 and 2014, as a result of employees’ elections, TI’s non-U.S. defined contribution plans held TI common stock valued at $17 million. Dividends paid on these shares of TI common stock for 2015 and 2014 were not material.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Effects on the Consolidated Statements of Income and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related to defined benefit and retiree health care benefit plans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U.S. Defined Benefit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10"/>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U.S. Retiree Health Care</w:t>
            </w:r>
          </w:p>
        </w:tc>
        <w:tc>
          <w:tcPr>
            <w:tcW w:w="140" w:type="dxa"/>
            <w:vAlign w:val="bottom"/>
          </w:tcPr>
          <w:p>
            <w:pPr>
              <w:spacing w:after="0"/>
              <w:rPr>
                <w:sz w:val="18"/>
                <w:szCs w:val="18"/>
                <w:color w:val="auto"/>
              </w:rPr>
            </w:pPr>
          </w:p>
        </w:tc>
        <w:tc>
          <w:tcPr>
            <w:tcW w:w="2560" w:type="dxa"/>
            <w:vAlign w:val="bottom"/>
            <w:gridSpan w:val="8"/>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Non-U.S. Defined Benefit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(48)</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cost (credit)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Recognized net actuarial loss</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periodic benefit costs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Settlement losses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Curtailment gain</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including other postretirement losses (gains)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Changes in the benefit obligations and plan assets for defined benefit and retiree health care benefit plans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Retiree Health Care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plan benefit obligation: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1,076</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c>
          <w:tcPr>
            <w:tcW w:w="300" w:type="dxa"/>
            <w:vAlign w:val="bottom"/>
          </w:tcPr>
          <w:p>
            <w:pPr>
              <w:spacing w:after="0"/>
              <w:rPr>
                <w:sz w:val="18"/>
                <w:szCs w:val="18"/>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472</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2,316</w:t>
            </w:r>
          </w:p>
        </w:tc>
        <w:tc>
          <w:tcPr>
            <w:tcW w:w="3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Benefits paid</w:t>
            </w:r>
          </w:p>
        </w:tc>
        <w:tc>
          <w:tcPr>
            <w:tcW w:w="160" w:type="dxa"/>
            <w:vAlign w:val="bottom"/>
          </w:tcPr>
          <w:p>
            <w:pPr>
              <w:spacing w:after="0"/>
              <w:rPr>
                <w:sz w:val="18"/>
                <w:szCs w:val="18"/>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(46)</w:t>
            </w:r>
          </w:p>
        </w:tc>
        <w:tc>
          <w:tcPr>
            <w:tcW w:w="5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(73)</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Medicare subsidy</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Actuarial loss (gain)</w:t>
            </w:r>
          </w:p>
        </w:tc>
        <w:tc>
          <w:tcPr>
            <w:tcW w:w="160" w:type="dxa"/>
            <w:vAlign w:val="bottom"/>
          </w:tcPr>
          <w:p>
            <w:pPr>
              <w:spacing w:after="0"/>
              <w:rPr>
                <w:sz w:val="18"/>
                <w:szCs w:val="18"/>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Settlements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Curtailments</w:t>
            </w:r>
          </w:p>
        </w:tc>
        <w:tc>
          <w:tcPr>
            <w:tcW w:w="160" w:type="dxa"/>
            <w:vAlign w:val="bottom"/>
          </w:tcPr>
          <w:p>
            <w:pPr>
              <w:spacing w:after="0"/>
              <w:rPr>
                <w:sz w:val="18"/>
                <w:szCs w:val="18"/>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Plan amendments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(30)</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Effects of exchange rate changes</w:t>
            </w:r>
          </w:p>
        </w:tc>
        <w:tc>
          <w:tcPr>
            <w:tcW w:w="160" w:type="dxa"/>
            <w:vAlign w:val="bottom"/>
          </w:tcPr>
          <w:p>
            <w:pPr>
              <w:spacing w:after="0"/>
              <w:rPr>
                <w:sz w:val="18"/>
                <w:szCs w:val="18"/>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(102)</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obligation at end of year (BO)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513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300" w:type="dxa"/>
            <w:vAlign w:val="bottom"/>
          </w:tcPr>
          <w:p>
            <w:pPr>
              <w:spacing w:after="0"/>
              <w:rPr>
                <w:sz w:val="18"/>
                <w:szCs w:val="18"/>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485</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2,213</w:t>
            </w:r>
          </w:p>
        </w:tc>
        <w:tc>
          <w:tcPr>
            <w:tcW w:w="3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Employer contributions (funding of qualified plans)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Employer contributions (payments for non-qualified plans)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160" w:type="dxa"/>
            <w:vAlign w:val="bottom"/>
          </w:tcPr>
          <w:p>
            <w:pPr>
              <w:spacing w:after="0"/>
              <w:rPr>
                <w:sz w:val="18"/>
                <w:szCs w:val="18"/>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Benefits paid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(46)</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(73)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Medicare subsidy</w:t>
            </w:r>
          </w:p>
        </w:tc>
        <w:tc>
          <w:tcPr>
            <w:tcW w:w="160" w:type="dxa"/>
            <w:vAlign w:val="bottom"/>
          </w:tcPr>
          <w:p>
            <w:pPr>
              <w:spacing w:after="0"/>
              <w:rPr>
                <w:sz w:val="18"/>
                <w:szCs w:val="18"/>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Settlements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Effects of exchange rate changes</w:t>
            </w:r>
          </w:p>
        </w:tc>
        <w:tc>
          <w:tcPr>
            <w:tcW w:w="160" w:type="dxa"/>
            <w:vAlign w:val="bottom"/>
          </w:tcPr>
          <w:p>
            <w:pPr>
              <w:spacing w:after="0"/>
              <w:rPr>
                <w:sz w:val="18"/>
                <w:szCs w:val="18"/>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(91)</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(30)</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Fair value of plan assets at end of year (FVPA)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3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497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2,134</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Funded status (FVPA – BO)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as of December 31, 2015,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1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10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w:t>
            </w:r>
          </w:p>
        </w:tc>
      </w:tr>
      <w:tr>
        <w:trPr>
          <w:trHeight w:val="22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(49)</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(125)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(196)</w:t>
            </w:r>
          </w:p>
        </w:tc>
      </w:tr>
      <w:tr>
        <w:trPr>
          <w:trHeight w:val="20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Funded status (FVPA – BO) at end of year</w:t>
            </w:r>
          </w:p>
        </w:tc>
        <w:tc>
          <w:tcPr>
            <w:tcW w:w="10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2"/>
              </w:rPr>
              <w:t>(14)</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as of December 31, 2014,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16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108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r>
      <w:tr>
        <w:trPr>
          <w:trHeight w:val="22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Funded status (FVPA – BO) at end of year</w:t>
            </w:r>
          </w:p>
        </w:tc>
        <w:tc>
          <w:tcPr>
            <w:tcW w:w="10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2"/>
              </w:rPr>
              <w:t>(16)</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Contributions to the plans meet or exceed all minimum funding requirements. We expect to contribute about $100 million to our retirement benefit plans in 2016. The amounts shown for underfunded U.S. defined benefit plans were for non-qualified pension plans, which we do not fund because contributions to them are not tax deductible.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right="280"/>
        <w:spacing w:after="0" w:line="266" w:lineRule="auto"/>
        <w:rPr>
          <w:sz w:val="20"/>
          <w:szCs w:val="20"/>
          <w:color w:val="auto"/>
        </w:rPr>
      </w:pPr>
      <w:r>
        <w:rPr>
          <w:rFonts w:ascii="Times New Roman" w:cs="Times New Roman" w:eastAsia="Times New Roman" w:hAnsi="Times New Roman"/>
          <w:sz w:val="18"/>
          <w:szCs w:val="18"/>
          <w:color w:val="auto"/>
        </w:rPr>
        <w:t>Accumulated benefit obligations, which are generally less than the projected benefit obligations as they exclude the impact of future salary increases, were $948 million and $968 million at December 31, 2015 and 2014, respectively, for the U.S. defined benefit plans, and $2.09 billion and $2.15 billion at December 31, 2015 and 2014, respectively, for the non-U.S. defined benefit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recorded in AOCI for the years ended December 31, 2015 and 2014, are detailed below by plan type: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100" w:type="dxa"/>
            <w:vAlign w:val="bottom"/>
          </w:tcPr>
          <w:p>
            <w:pPr>
              <w:spacing w:after="0"/>
              <w:rPr>
                <w:sz w:val="18"/>
                <w:szCs w:val="18"/>
                <w:color w:val="auto"/>
              </w:rPr>
            </w:pPr>
          </w:p>
        </w:tc>
        <w:tc>
          <w:tcPr>
            <w:tcW w:w="2380" w:type="dxa"/>
            <w:vAlign w:val="bottom"/>
            <w:gridSpan w:val="6"/>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100" w:type="dxa"/>
            <w:vAlign w:val="bottom"/>
          </w:tcPr>
          <w:p>
            <w:pPr>
              <w:spacing w:after="0"/>
              <w:rPr>
                <w:sz w:val="19"/>
                <w:szCs w:val="19"/>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4"/>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Actuarial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Prior Service</w:t>
            </w:r>
          </w:p>
        </w:tc>
        <w:tc>
          <w:tcPr>
            <w:tcW w:w="10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Actuarial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Prior Service</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Actuarial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Prior Service</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Cost (Credit)</w:t>
            </w: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(Credit)</w:t>
            </w:r>
          </w:p>
        </w:tc>
        <w:tc>
          <w:tcPr>
            <w:tcW w:w="2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Cost (Credit)</w:t>
            </w:r>
          </w:p>
        </w:tc>
        <w:tc>
          <w:tcPr>
            <w:tcW w:w="0" w:type="dxa"/>
            <w:vAlign w:val="bottom"/>
          </w:tcPr>
          <w:p>
            <w:pPr>
              <w:spacing w:after="0"/>
              <w:rPr>
                <w:sz w:val="1"/>
                <w:szCs w:val="1"/>
                <w:color w:val="auto"/>
              </w:rPr>
            </w:pPr>
          </w:p>
        </w:tc>
      </w:tr>
      <w:tr>
        <w:trPr>
          <w:trHeight w:val="19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AOCI balance, net of taxes,</w:t>
            </w: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2014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AOCI by category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214"/>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Recognized within Net income</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 change to AOCI</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AOCI balance, net of taxes,</w:t>
            </w: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estimated amounts of net actuarial loss and unrecognized prior service cost (credit) included in AOCI as of December 31, 2015, that are expected to be amortized into net periodic benefit cost over the next fiscal year are: $20 million and none for the U.S. defined benefit plans; $7 million and ($4) million for the U.S. retiree health care benefit plan; and $24 million and ($2) million for the non-U.S. defined benefit plans.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on plan assets</w:t>
      </w:r>
    </w:p>
    <w:p>
      <w:pPr>
        <w:spacing w:after="0" w:line="11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We report and measure the plan assets of our defined benefit pension and other postretirement plans at fair value. The tables below set forth the fair value of our plan assets as of December 31, 2015 and 2014, using the same three-level hierarchy of fair-value inputs described in Note 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of U.S. defined benefit plan:</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 of U.S. retiree health care plan:</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2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of non-U.S. defined benefit plans: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of U.S. defined benefit plan:</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 of U.S. retiree health care plan:</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of non-U.S. defined benefit plans: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2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only Level 3 asset in our worldwide benefit plans for the periods presented is a diversified property fund in a non-U.S. pension plan; we sold assets related to private equity limited partnerships in our U.S. pension plan in 2014. These investments are valued using inputs from the fund managers and internal models.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fair values for Level 3 plan assets for the years ending December 31, 2015 and 2014: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Level 3 Plan Assets</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Non-U.S.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500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2013</w:t>
            </w:r>
          </w:p>
        </w:tc>
        <w:tc>
          <w:tcPr>
            <w:tcW w:w="30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Redemptions and sales</w:t>
            </w:r>
          </w:p>
        </w:tc>
        <w:tc>
          <w:tcPr>
            <w:tcW w:w="3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(loss)</w:t>
            </w:r>
          </w:p>
        </w:tc>
        <w:tc>
          <w:tcPr>
            <w:tcW w:w="30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30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r>
      <w:tr>
        <w:trPr>
          <w:trHeight w:val="21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3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8"/>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2015</w:t>
            </w:r>
          </w:p>
        </w:tc>
        <w:tc>
          <w:tcPr>
            <w:tcW w:w="30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t>Assumptions and investment policies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98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assumptions used to determine benefit obligations: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discount rate</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4.62%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4.23%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4.40%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 discount rate</w:t>
            </w: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2.41%</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average long-term pay progression</w:t>
            </w: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3.30%</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Non-U.S. average long-term pay progression</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3.21%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assumptions used to determine net periodic benefit cost: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discount rate</w:t>
            </w: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4.33%</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5.11%</w:t>
            </w:r>
          </w:p>
        </w:tc>
        <w:tc>
          <w:tcPr>
            <w:tcW w:w="24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4.15%</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Non-U.S. discount rate</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2.34%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long-term rate of return on plan assets</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5.10%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5.25%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4.70%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 long-term rate of return on plan assets</w:t>
            </w: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3.55%</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average long-term pay progression</w:t>
            </w:r>
          </w:p>
        </w:tc>
        <w:tc>
          <w:tcPr>
            <w:tcW w:w="8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3.30%</w:t>
            </w: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Non-U.S. average long-term pay progression</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3.27%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target allocation ranges for the plans that hold a substantial majority of the defined benefit assets.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Non-U.S.</w:t>
            </w:r>
          </w:p>
        </w:tc>
      </w:tr>
      <w:tr>
        <w:trPr>
          <w:trHeight w:val="219"/>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r>
      <w:tr>
        <w:trPr>
          <w:trHeight w:val="213"/>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- 100%</w:t>
            </w: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8"/>
                <w:szCs w:val="18"/>
                <w:color w:val="auto"/>
              </w:rPr>
            </w:pP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rebalance the plans’ investments when they are not within the target allocation ranges.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asset allocations as of December 31,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216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20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Non-U.S. Defined</w:t>
            </w:r>
          </w:p>
        </w:tc>
      </w:tr>
      <w:tr>
        <w:trPr>
          <w:trHeight w:val="216"/>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1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660" w:type="dxa"/>
            <w:vAlign w:val="bottom"/>
          </w:tcPr>
          <w:p>
            <w:pPr>
              <w:spacing w:after="0"/>
              <w:rPr>
                <w:sz w:val="18"/>
                <w:szCs w:val="18"/>
                <w:color w:val="auto"/>
              </w:rPr>
            </w:pPr>
          </w:p>
        </w:tc>
        <w:tc>
          <w:tcPr>
            <w:tcW w:w="1360" w:type="dxa"/>
            <w:vAlign w:val="bottom"/>
            <w:gridSpan w:val="4"/>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Benefit</w:t>
            </w:r>
          </w:p>
        </w:tc>
      </w:tr>
      <w:tr>
        <w:trPr>
          <w:trHeight w:val="214"/>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4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80" w:type="dxa"/>
            <w:vAlign w:val="bottom"/>
          </w:tcPr>
          <w:p>
            <w:pPr>
              <w:spacing w:after="0"/>
              <w:rPr>
                <w:sz w:val="18"/>
                <w:szCs w:val="18"/>
                <w:color w:val="auto"/>
              </w:rPr>
            </w:pPr>
          </w:p>
        </w:tc>
        <w:tc>
          <w:tcPr>
            <w:tcW w:w="8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8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60" w:type="dxa"/>
            <w:vAlign w:val="bottom"/>
            <w:tcBorders>
              <w:top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r>
      <w:tr>
        <w:trPr>
          <w:trHeight w:val="211"/>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income securities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4"/>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Pr>
          <w:p>
            <w:pPr>
              <w:spacing w:after="0"/>
              <w:rPr>
                <w:sz w:val="19"/>
                <w:szCs w:val="19"/>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w:t>
            </w:r>
          </w:p>
        </w:tc>
        <w:tc>
          <w:tcPr>
            <w:tcW w:w="280" w:type="dxa"/>
            <w:vAlign w:val="bottom"/>
          </w:tcPr>
          <w:p>
            <w:pPr>
              <w:spacing w:after="0"/>
              <w:rPr>
                <w:sz w:val="19"/>
                <w:szCs w:val="19"/>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r>
    </w:tbl>
    <w:p>
      <w:pPr>
        <w:spacing w:after="0" w:line="24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None of the plan assets related to the defined benefit pension plans and retiree health care benefit plan are directly invested in TI common stock. As of December 31, 2015, we do not expect to return any of the defined benefit pension plans’ assets to TI in the next 12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4" w:name="page55"/>
    <w:bookmarkEnd w:id="54"/>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assumed future benefit payments to plan participants in the next 10 years are used to measure our benefit obligations and assume that retirement eligible participants take their benefits immediately. Almost all of the payments, which may vary significantly from these assumptions, will be made from plan assets and not from company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5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U.S. Defined</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U.S. Retiree</w:t>
            </w:r>
          </w:p>
        </w:tc>
        <w:tc>
          <w:tcPr>
            <w:tcW w:w="260" w:type="dxa"/>
            <w:vAlign w:val="bottom"/>
          </w:tcPr>
          <w:p>
            <w:pPr>
              <w:spacing w:after="0"/>
              <w:rPr>
                <w:sz w:val="18"/>
                <w:szCs w:val="18"/>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Non-U.S.</w:t>
            </w:r>
          </w:p>
        </w:tc>
      </w:tr>
      <w:tr>
        <w:trPr>
          <w:trHeight w:val="219"/>
        </w:trPr>
        <w:tc>
          <w:tcPr>
            <w:tcW w:w="4840" w:type="dxa"/>
            <w:vAlign w:val="bottom"/>
          </w:tcPr>
          <w:p>
            <w:pPr>
              <w:spacing w:after="0"/>
              <w:rPr>
                <w:sz w:val="19"/>
                <w:szCs w:val="19"/>
                <w:color w:val="auto"/>
              </w:rPr>
            </w:pPr>
          </w:p>
        </w:tc>
        <w:tc>
          <w:tcPr>
            <w:tcW w:w="15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Health Care</w:t>
            </w:r>
          </w:p>
        </w:tc>
        <w:tc>
          <w:tcPr>
            <w:tcW w:w="26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Defined Benefit</w:t>
            </w:r>
          </w:p>
        </w:tc>
      </w:tr>
      <w:tr>
        <w:trPr>
          <w:trHeight w:val="213"/>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w:t>
            </w:r>
          </w:p>
        </w:tc>
        <w:tc>
          <w:tcPr>
            <w:tcW w:w="1540" w:type="dxa"/>
            <w:vAlign w:val="bottom"/>
            <w:tcBorders>
              <w:top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1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r>
      <w:tr>
        <w:trPr>
          <w:trHeight w:val="22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2018</w:t>
            </w: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r>
      <w:tr>
        <w:trPr>
          <w:trHeight w:val="22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2021 - 2025</w:t>
            </w:r>
          </w:p>
        </w:tc>
        <w:tc>
          <w:tcPr>
            <w:tcW w:w="1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health care cost trend rates for the U.S. retiree health care benefit plan at December 31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Borders>
              <w:bottom w:val="single" w:sz="8" w:color="CCEEFF"/>
            </w:tcBorders>
          </w:tcPr>
          <w:p>
            <w:pPr>
              <w:spacing w:after="0"/>
              <w:rPr>
                <w:sz w:val="18"/>
                <w:szCs w:val="18"/>
                <w:color w:val="auto"/>
              </w:rPr>
            </w:pPr>
          </w:p>
        </w:tc>
      </w:tr>
      <w:tr>
        <w:trPr>
          <w:trHeight w:val="21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health care cost trend rate for next year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7.0%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CEEFF"/>
          </w:tcPr>
          <w:p>
            <w:pPr>
              <w:spacing w:after="0"/>
              <w:rPr>
                <w:sz w:val="18"/>
                <w:szCs w:val="18"/>
                <w:color w:val="auto"/>
              </w:rPr>
            </w:pP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Ultimate trend rate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5.0%</w:t>
            </w:r>
          </w:p>
        </w:tc>
        <w:tc>
          <w:tcPr>
            <w:tcW w:w="16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8"/>
                <w:szCs w:val="18"/>
                <w:color w:val="auto"/>
              </w:rPr>
            </w:pP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in which ultimate trend rate is reached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A one percentage point increase or decrease in health care cost trend rates over all future periods would have increased or decreased the accumulated postretirement benefit obligation for the U.S. retiree health care benefit plan at December 31, 2015, by $8 million. The service cost and interest cost components of 2015 plan expense would have increased by $2 million or decreased by $1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arrangements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December 31, 2015, our liability to participants of the deferred compensation plans was $198 million and is recorded in Deferred credits and other liabilities on our Consolidated Balance Sheets. This amount reflects the accumulated participant deferrals and earnings thereon as of that date. As of December 31, 2015, we held $187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8.</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 and lines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borrowings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a line of credit to support commercial paper borrowings, if any, and to provide additional liquidity through bank loans. As of December 31, 2015, we had a variable-rate revolving credit facility from a consortium of investment-grade banks that allows us to borrow up to $2 billion until March 2020. The interest rate on borrowings under this credit facility, if drawn, is indexed to the applicable London Interbank Offered Rate (LIBOR). As of December 31, 2015, our credit facility was undrawn and we had no commercial paper outstanding.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retired $250 million of maturing debt in April 2015 and another $750 million in August 2015.</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2015, we issued a principal amount of $500 million of fixed-rate long-term debt due in 2020. We incurred $3 million of issuance and other related costs, which are amortized to Interest and debt expense over the term of the debt. The proceeds of the offering were $498 million, net of the original issuance discount, and were used toward the repayment of a portion of the debt that matured in August 2015.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5" w:name="page56"/>
    <w:bookmarkEnd w:id="55"/>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2014, we issued an aggregate principal amount of $500 million of fixed-rate long-term debt, with $250 million due in 2017 and $250 million due in 2021. We incurred $3 million of issuance and other related costs, which are amortized to Interest and debt expense over the term of the debt. The proceeds of the offering were $498 million, net of the original issuance discount and were used toward the repayment of the $1.0 billion of debt that matured in May 2014.</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2013, we issued an aggregate principal amount of $1.0 billion of fixed-rate long-term debt, with $500 million due in 2018 and $500 million due in 2023. We incurred $6 million of issuance and other related costs, which are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outstanding as of December 31, 2015 and 2014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59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Borders>
              <w:bottom w:val="single" w:sz="8" w:color="CCEEFF"/>
            </w:tcBorders>
          </w:tcPr>
          <w:p>
            <w:pPr>
              <w:spacing w:after="0"/>
              <w:rPr>
                <w:sz w:val="18"/>
                <w:szCs w:val="18"/>
                <w:color w:val="auto"/>
              </w:rPr>
            </w:pP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due 2015 at 3.95% (assumed with National acquisition)</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8"/>
                <w:szCs w:val="18"/>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Notes due 2015 at 0.45%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60" w:type="dxa"/>
            <w:vAlign w:val="bottom"/>
          </w:tcPr>
          <w:p>
            <w:pPr>
              <w:spacing w:after="0"/>
              <w:rPr>
                <w:sz w:val="18"/>
                <w:szCs w:val="18"/>
                <w:color w:val="auto"/>
              </w:rPr>
            </w:pP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due 2016 at 2.375%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shd w:val="clear" w:color="auto" w:fill="CCEEFF"/>
          </w:tcPr>
          <w:p>
            <w:pPr>
              <w:spacing w:after="0"/>
              <w:rPr>
                <w:sz w:val="19"/>
                <w:szCs w:val="19"/>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Notes due 2017 at 6.60% (assumed with National acquisition)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0" w:type="dxa"/>
            <w:vAlign w:val="bottom"/>
          </w:tcPr>
          <w:p>
            <w:pPr>
              <w:spacing w:after="0"/>
              <w:rPr>
                <w:sz w:val="18"/>
                <w:szCs w:val="18"/>
                <w:color w:val="auto"/>
              </w:rPr>
            </w:pP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due 2017 at 0.875%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9"/>
                <w:szCs w:val="19"/>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Notes due 2018 at 1.00%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18"/>
                <w:szCs w:val="18"/>
                <w:color w:val="auto"/>
              </w:rPr>
            </w:pP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due 2019 at 1.65%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60" w:type="dxa"/>
            <w:vAlign w:val="bottom"/>
            <w:shd w:val="clear" w:color="auto" w:fill="CCEEFF"/>
          </w:tcPr>
          <w:p>
            <w:pPr>
              <w:spacing w:after="0"/>
              <w:rPr>
                <w:sz w:val="19"/>
                <w:szCs w:val="19"/>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Notes due 2020 at 1.75%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due 2021 at 2.75%</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9"/>
                <w:szCs w:val="19"/>
                <w:color w:val="auto"/>
              </w:rPr>
            </w:pPr>
          </w:p>
        </w:tc>
      </w:tr>
      <w:tr>
        <w:trPr>
          <w:trHeight w:val="214"/>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Notes due 2023 at 2.25%</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Borders>
              <w:bottom w:val="single" w:sz="8" w:color="CCEEFF"/>
            </w:tcBorders>
          </w:tcPr>
          <w:p>
            <w:pPr>
              <w:spacing w:after="0"/>
              <w:rPr>
                <w:sz w:val="18"/>
                <w:szCs w:val="18"/>
                <w:color w:val="auto"/>
              </w:rPr>
            </w:pP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60" w:type="dxa"/>
            <w:vAlign w:val="bottom"/>
            <w:shd w:val="clear" w:color="auto" w:fill="CCEEFF"/>
          </w:tcPr>
          <w:p>
            <w:pPr>
              <w:spacing w:after="0"/>
              <w:rPr>
                <w:sz w:val="18"/>
                <w:szCs w:val="18"/>
                <w:color w:val="auto"/>
              </w:rPr>
            </w:pP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unamortized (discount) premium and debt issuance costs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11"/>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including net unamortized (discount) premium and debt issuance costs</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(1,001)</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2015, we retrospectively applied the provisions of ASU 2015-03 and ASU 2015-15 regarding the classification of debt issuance costs. See Note 2 for additional information. As a result, we reclassified $11 million of applicable debt issuance costs as of December 31, 2014, from Other assets to Long-term debt, as comprehended in Net unamortized (discount) premium and debt issuance costs, in the table above.</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Interest and debt expense was $90 million in 2015, $94 million in 2014 and $95 million in 2013. This was net of the amortization of the debt (discount) premium and other debt issuance costs. Cash payments for interest on long-term debt were $99 million in 2015 and $102 million in both 2014 and 2013. Capitalized interest was not material.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$98 million, $113 million and $120 million in 2015, 2014 and 2013,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Capitalized software licenses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payments.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purchase commitments entered in the ordinary course of business provide for minimum payments.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6" w:name="page57"/>
    <w:bookmarkEnd w:id="56"/>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2015, we had committed to make the following minimum payments under our non-cancellable operating leases, capitalized software licenses and purchase commitments: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2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19"/>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13"/>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8"/>
                <w:szCs w:val="18"/>
                <w:color w:val="auto"/>
              </w:rPr>
            </w:pPr>
          </w:p>
        </w:tc>
      </w:tr>
      <w:tr>
        <w:trPr>
          <w:trHeight w:val="22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CEEFF"/>
          </w:tcPr>
          <w:p>
            <w:pPr>
              <w:spacing w:after="0"/>
              <w:rPr>
                <w:sz w:val="19"/>
                <w:szCs w:val="19"/>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8"/>
                <w:szCs w:val="18"/>
                <w:color w:val="auto"/>
              </w:rPr>
            </w:pPr>
          </w:p>
        </w:tc>
      </w:tr>
      <w:tr>
        <w:trPr>
          <w:trHeight w:val="22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9"/>
                <w:szCs w:val="19"/>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 guarantees</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Warranty costs/product liabilities</w:t>
      </w:r>
    </w:p>
    <w:p>
      <w:pPr>
        <w:spacing w:after="0" w:line="11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Typically, our warranties for semiconductor products obligate us to repair, replace or credit the purchase price of a covered product back to the buyer. Product claims may exceed the price of our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charges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incurred various costs as a result of the 2011 acquisition of National that are included in Other for segment reporting purposes, consistent with how management measures the performance of its segments. For the years ended December 31, 2015, 2014 and 2013, Acquisition charges were primarily from the ongoing amortization of intangible assets resulting from the National acquisition. See Note 9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 (OI&amp;E)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Years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21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r>
      <w:tr>
        <w:trPr>
          <w:trHeight w:val="21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Tax interest income (expense)</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2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r>
      <w:tr>
        <w:trPr>
          <w:trHeight w:val="21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Currency exchange gains (losses)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2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gains (losses)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57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 w:type="dxa"/>
            <w:vAlign w:val="bottom"/>
            <w:tcBorders>
              <w:bottom w:val="single" w:sz="8" w:color="CCEEFF"/>
            </w:tcBorders>
          </w:tcPr>
          <w:p>
            <w:pPr>
              <w:spacing w:after="0"/>
              <w:rPr>
                <w:sz w:val="18"/>
                <w:szCs w:val="18"/>
                <w:color w:val="auto"/>
              </w:rPr>
            </w:pPr>
          </w:p>
        </w:tc>
      </w:tr>
      <w:tr>
        <w:trPr>
          <w:trHeight w:val="21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taxes on intercompany inventory profits,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shd w:val="clear" w:color="auto" w:fill="CCEEFF"/>
          </w:tcPr>
          <w:p>
            <w:pPr>
              <w:spacing w:after="0"/>
              <w:rPr>
                <w:sz w:val="18"/>
                <w:szCs w:val="18"/>
                <w:color w:val="auto"/>
              </w:rPr>
            </w:pPr>
          </w:p>
        </w:tc>
      </w:tr>
      <w:tr>
        <w:trPr>
          <w:trHeight w:val="214"/>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prepaid expenses and current assets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bottom w:val="single" w:sz="8" w:color="CCEEFF"/>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at Cost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Depreciable</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2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Lives (Years)</w:t>
            </w:r>
          </w:p>
        </w:tc>
        <w:tc>
          <w:tcPr>
            <w:tcW w:w="26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80" w:type="dxa"/>
            <w:vAlign w:val="bottom"/>
          </w:tcPr>
          <w:p>
            <w:pPr>
              <w:spacing w:after="0"/>
              <w:rPr>
                <w:sz w:val="18"/>
                <w:szCs w:val="18"/>
                <w:color w:val="auto"/>
              </w:rPr>
            </w:pPr>
          </w:p>
        </w:tc>
      </w:tr>
      <w:tr>
        <w:trPr>
          <w:trHeight w:val="211"/>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2"/>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5 - 40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tcPr>
          <w:p>
            <w:pPr>
              <w:spacing w:after="0"/>
              <w:rPr>
                <w:sz w:val="18"/>
                <w:szCs w:val="18"/>
                <w:color w:val="auto"/>
              </w:rPr>
            </w:pPr>
          </w:p>
        </w:tc>
      </w:tr>
      <w:tr>
        <w:trPr>
          <w:trHeight w:val="22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3 - 10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shd w:val="clear" w:color="auto" w:fill="CCEEFF"/>
          </w:tcPr>
          <w:p>
            <w:pPr>
              <w:spacing w:after="0"/>
              <w:rPr>
                <w:sz w:val="19"/>
                <w:szCs w:val="19"/>
                <w:color w:val="auto"/>
              </w:rPr>
            </w:pPr>
          </w:p>
        </w:tc>
      </w:tr>
      <w:tr>
        <w:trPr>
          <w:trHeight w:val="208"/>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5,465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Taxes (AOCI)</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8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5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Postretirement benefit plans:</w:t>
            </w: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actuarial loss</w:t>
            </w: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(550)</w:t>
            </w:r>
          </w:p>
        </w:tc>
        <w:tc>
          <w:tcPr>
            <w:tcW w:w="72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(529)</w:t>
            </w:r>
          </w:p>
        </w:tc>
      </w:tr>
      <w:tr>
        <w:trPr>
          <w:trHeight w:val="218"/>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Prior service credit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flow hedge derivative</w:t>
            </w:r>
          </w:p>
        </w:tc>
        <w:tc>
          <w:tcPr>
            <w:tcW w:w="6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(532)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(532)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 on amounts reclassified out of Accumulated other comprehensive income (loss), net of taxes, to Net income</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Consolidated Statements of Comprehensive Income include items that have been recognized within Net income during the years ended December 31, 2015, 2014 and 2013. The table below details where on the Consolidated Statements of Income these transactions are recorded.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For Years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Related Statement</w:t>
            </w:r>
          </w:p>
        </w:tc>
        <w:tc>
          <w:tcPr>
            <w:tcW w:w="0" w:type="dxa"/>
            <w:vAlign w:val="bottom"/>
          </w:tcPr>
          <w:p>
            <w:pPr>
              <w:spacing w:after="0"/>
              <w:rPr>
                <w:sz w:val="1"/>
                <w:szCs w:val="1"/>
                <w:color w:val="auto"/>
              </w:rPr>
            </w:pPr>
          </w:p>
        </w:tc>
      </w:tr>
      <w:tr>
        <w:trPr>
          <w:trHeight w:val="214"/>
        </w:trPr>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Income Line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actuarial gains (losses) of defined benefit plans: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Recognized net actuarial loss and Settlement losses (a)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Increase to Pension expense (b)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3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Decrease to Provision for income taxes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Decrease to Net income</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Prior service (cost) credit of defined benefit plans: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prior service cost (credit) and Curtailment gain (a)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3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Decrease to Pension expense (b)</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3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Amortization of treasury rate locks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Increase to Interest and debt expense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3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Decrease to Provision for income taxes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Recognized within Net income, net of taxes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in Note 10.</w:t>
      </w:r>
    </w:p>
    <w:p>
      <w:pPr>
        <w:spacing w:after="0" w:line="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expense is included in COR, R&amp;D, SG&amp;A and Restructuring charges/other in the Consolidated Statements of Income.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14. Quarterly financial data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2nd</w:t>
            </w:r>
          </w:p>
        </w:tc>
        <w:tc>
          <w:tcPr>
            <w:tcW w:w="24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3rd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4th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Operating profit: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charges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0.62</w:t>
            </w:r>
          </w:p>
        </w:tc>
        <w:tc>
          <w:tcPr>
            <w:tcW w:w="160" w:type="dxa"/>
            <w:vAlign w:val="bottom"/>
          </w:tcPr>
          <w:p>
            <w:pPr>
              <w:spacing w:after="0"/>
              <w:rPr>
                <w:sz w:val="18"/>
                <w:szCs w:val="18"/>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0.66</w:t>
            </w:r>
          </w:p>
        </w:tc>
        <w:tc>
          <w:tcPr>
            <w:tcW w:w="2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0.77</w:t>
            </w:r>
          </w:p>
        </w:tc>
        <w:tc>
          <w:tcPr>
            <w:tcW w:w="18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2nd</w:t>
            </w:r>
          </w:p>
        </w:tc>
        <w:tc>
          <w:tcPr>
            <w:tcW w:w="24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3rd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4th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Operating profit: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charges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60" w:type="dxa"/>
            <w:vAlign w:val="bottom"/>
          </w:tcPr>
          <w:p>
            <w:pPr>
              <w:spacing w:after="0"/>
              <w:rPr>
                <w:sz w:val="18"/>
                <w:szCs w:val="18"/>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28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80" w:type="dxa"/>
            <w:vAlign w:val="bottom"/>
          </w:tcPr>
          <w:p>
            <w:pPr>
              <w:spacing w:after="0"/>
              <w:rPr>
                <w:sz w:val="18"/>
                <w:szCs w:val="18"/>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Texas Instruments Incorporated and subsidiaries (the Company) as of December 31, 2015 and 2014, and the related consolidated statements of income, comprehensive income,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Texas Instruments Incorporated and subsidiaries at December 31, 2015 and 2014, and the consolidated results of their operations and their cash flows for each of the three years in the period ended December 31, 2015, in conformity with U.S. generally accepted accounting principles.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classifying deferred tax assets and liabilities effective December 31, 2015.</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the Company’s internal control over financial reporting as of December 31, 2015, based on criteria established in Internal Control-Integrated Framework issued by the Committee of Sponsoring Organizations of the Treadway Commission (2013 framework) and our report dated February 24,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111760</wp:posOffset>
            </wp:positionV>
            <wp:extent cx="1629410" cy="42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0" w:name="page61"/>
    <w:bookmarkEnd w:id="6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by management on internal control over financial reporting</w:t>
      </w:r>
    </w:p>
    <w:p>
      <w:pPr>
        <w:spacing w:after="0" w:line="11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2015 that has materially affected, or is reasonably likely to materially affect, our internal control over financial reporting.</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TI management assessed the effectiveness of internal control over financial reporting as of December 31, 2015. In making this assessment, we used the criteria set forth by the Committee of Sponsoring Organizations of the Treadway Commission (2013 framework) (the COSO criteria) in Internal Control − Integrated Framework. Based on our assessment we believe that, as of December 31, 2015, our internal control over financial reporting is effective based on the COSO criteria.</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 on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Texas Instruments Incorporated’s internal control over financial reporting as of December 31, 2015, based on criteria established in Internal Control − Integrated Framework issued by the Committee of Sponsoring Organizations of the Treadway Commission (2013 framework)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our opinion, Texas Instruments Incorporated maintained, in all material respects, effective internal control over financial reporting as of December 31, 2015, based on the COSO criteria.</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Texas Instruments Incorporated and subsidiaries as of December 31, 2015 and 2014, and the related consolidated statements of income, comprehensive income, stockholders’ equity, and cash flows for each of the three years in the period ended December 31, 2015, and our report dated February 24, 2016,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125730</wp:posOffset>
            </wp:positionV>
            <wp:extent cx="162941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2016</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62" w:name="page63"/>
    <w:bookmarkEnd w:id="6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63" w:name="page64"/>
    <w:bookmarkEnd w:id="63"/>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directors’ names, ages, positions, term of office and periods of service, which is contained under the caption “Election of directors” in our proxy statement for the 2016 annual meeting of stockholders, is incorporated herein by reference to such proxy statement.</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directors’ business experience, which is contained under the caption “Board diversity and nominee qualifications” in our proxy statement for the 2016 annual meeting of stockholders, is incorporated herein by reference to such proxy statement.</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Section 16(a) beneficial ownership reporting compliance contained under the caption of the same name in our proxy statement for the 2016 annual meeting of stockholders is incorporated herein by reference to such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our executive officers and their biographical information appears in Part I, Item 1 of this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1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have adopted the Code of Ethics for TI Chief Executive Officer and Senior Finance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caption “Committees of the board” with respect to the audit committee and the audit committee financial expert in our proxy statement for the 2016 annual meeting of stockholders is incorporated herein by reference to such proxy statement.</w:t>
      </w: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contained under the captions “Director compensation” and “Executive compensation” in our proxy statement for the 2016 annual meeting of stockholders is incorporated herein by reference to such proxy statement, provided that the Compensation Committee report shall not be deemed filed with this Form 10-K.</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caption “Compensation committee interlocks and insider participation” in our proxy statement for the 2016 annual meeting of stockholders is incorporated herein by reference to such proxy statement.</w:t>
      </w: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caption “Equity compensation plan information” in our proxy statement for the 2016 annual meeting of stockholders is incorporated herein by reference to such proxy statement.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w:t>
      </w:r>
    </w:p>
    <w:p>
      <w:pPr>
        <w:spacing w:after="0" w:line="117"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information that is contained under the captions “Security ownership of certain beneficial owners” and “Security ownership of directors and management” in our proxy statement for the 2016 annual meeting of stockholders is incorporated herein by reference to such proxy statement.</w:t>
      </w: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caption “Related person transactions” in our proxy statement for the 2016 annual meeting of stockholders is incorporated herein by reference to such proxy statement.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caption “Director independence” in our proxy statement for the 2016 annual meeting of stockholders is incorporated herein by reference to such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with respect to principal accountant fees and services contained under the caption “Proposal to ratify appointment of independent registered public accounting firm” in our proxy statement for the 2016 annual meeting of stockholders is incorporated herein by reference to such proxy statement.</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listed in the index included in Item 8, “Financial Statements and Supplementary Data.”</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Designation of</w:t>
            </w:r>
          </w:p>
        </w:tc>
        <w:tc>
          <w:tcPr>
            <w:tcW w:w="428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76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60" w:type="dxa"/>
            <w:vAlign w:val="bottom"/>
            <w:tcBorders>
              <w:top w:val="single" w:sz="8" w:color="auto"/>
              <w:bottom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20" w:type="dxa"/>
            <w:vAlign w:val="bottom"/>
          </w:tcPr>
          <w:p>
            <w:pPr>
              <w:spacing w:after="0"/>
              <w:rPr>
                <w:sz w:val="14"/>
                <w:szCs w:val="14"/>
                <w:color w:val="auto"/>
              </w:rPr>
            </w:pPr>
          </w:p>
        </w:tc>
      </w:tr>
      <w:tr>
        <w:trPr>
          <w:trHeight w:val="142"/>
        </w:trPr>
        <w:tc>
          <w:tcPr>
            <w:tcW w:w="13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280" w:type="dxa"/>
            <w:vAlign w:val="bottom"/>
            <w:tcBorders>
              <w:bottom w:val="single" w:sz="8" w:color="auto"/>
              <w:right w:val="single" w:sz="8" w:color="auto"/>
            </w:tcBorders>
          </w:tcPr>
          <w:p>
            <w:pPr>
              <w:ind w:left="14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1160" w:type="dxa"/>
            <w:vAlign w:val="bottom"/>
            <w:tcBorders>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Exhibit Number</w:t>
            </w:r>
          </w:p>
        </w:tc>
        <w:tc>
          <w:tcPr>
            <w:tcW w:w="1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0" w:type="dxa"/>
            <w:vAlign w:val="bottom"/>
          </w:tcPr>
          <w:p>
            <w:pPr>
              <w:spacing w:after="0"/>
              <w:rPr>
                <w:sz w:val="12"/>
                <w:szCs w:val="12"/>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3(a)</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Restated Certificate of Incorporation of the Registrant,</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3(a)</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dated April 18, 1985, as amended</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3(b)</w:t>
            </w: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By-Laws of the Registrant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3(b)</w:t>
            </w:r>
          </w:p>
        </w:tc>
        <w:tc>
          <w:tcPr>
            <w:tcW w:w="11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Indenture</w:t>
            </w:r>
          </w:p>
        </w:tc>
        <w:tc>
          <w:tcPr>
            <w:tcW w:w="7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May 23, 2011</w:t>
            </w:r>
          </w:p>
        </w:tc>
        <w:tc>
          <w:tcPr>
            <w:tcW w:w="1160" w:type="dxa"/>
            <w:vAlign w:val="bottom"/>
            <w:tcBorders>
              <w:bottom w:val="single" w:sz="8" w:color="auto"/>
              <w:right w:val="single" w:sz="8" w:color="auto"/>
            </w:tcBorders>
            <w:shd w:val="clear" w:color="auto" w:fill="CCECFF"/>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Borders>
              <w:bottom w:val="single" w:sz="8" w:color="auto"/>
              <w:right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4(b)</w:t>
            </w: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Officer’s Certificate</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23, 2011</w:t>
            </w:r>
          </w:p>
        </w:tc>
        <w:tc>
          <w:tcPr>
            <w:tcW w:w="11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4.3</w:t>
            </w:r>
          </w:p>
        </w:tc>
        <w:tc>
          <w:tcPr>
            <w:tcW w:w="11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4(c)</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Officer’s Certificate</w:t>
            </w:r>
          </w:p>
        </w:tc>
        <w:tc>
          <w:tcPr>
            <w:tcW w:w="7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May 8, 2013</w:t>
            </w:r>
          </w:p>
        </w:tc>
        <w:tc>
          <w:tcPr>
            <w:tcW w:w="1160" w:type="dxa"/>
            <w:vAlign w:val="bottom"/>
            <w:tcBorders>
              <w:bottom w:val="single" w:sz="8" w:color="auto"/>
              <w:right w:val="single" w:sz="8" w:color="auto"/>
            </w:tcBorders>
            <w:shd w:val="clear" w:color="auto" w:fill="CCECFF"/>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Borders>
              <w:bottom w:val="single" w:sz="8" w:color="auto"/>
              <w:right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4(d)</w:t>
            </w: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Officer’s Certificate</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12, 2014</w:t>
            </w:r>
          </w:p>
        </w:tc>
        <w:tc>
          <w:tcPr>
            <w:tcW w:w="11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4(e)</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Officer’s Certificate</w:t>
            </w:r>
          </w:p>
        </w:tc>
        <w:tc>
          <w:tcPr>
            <w:tcW w:w="7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May 6, 2015</w:t>
            </w:r>
          </w:p>
        </w:tc>
        <w:tc>
          <w:tcPr>
            <w:tcW w:w="1160" w:type="dxa"/>
            <w:vAlign w:val="bottom"/>
            <w:tcBorders>
              <w:bottom w:val="single" w:sz="8" w:color="auto"/>
              <w:right w:val="single" w:sz="8" w:color="auto"/>
            </w:tcBorders>
            <w:shd w:val="clear" w:color="auto" w:fill="CCECFF"/>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180" w:type="dxa"/>
            <w:vAlign w:val="bottom"/>
            <w:tcBorders>
              <w:bottom w:val="single" w:sz="8" w:color="auto"/>
              <w:right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4(f)</w:t>
            </w:r>
          </w:p>
        </w:tc>
        <w:tc>
          <w:tcPr>
            <w:tcW w:w="10100" w:type="dxa"/>
            <w:vAlign w:val="bottom"/>
            <w:tcBorders>
              <w:right w:val="single" w:sz="8" w:color="auto"/>
            </w:tcBorders>
            <w:gridSpan w:val="6"/>
          </w:tcPr>
          <w:p>
            <w:pPr>
              <w:ind w:left="80"/>
              <w:spacing w:after="0" w:line="191" w:lineRule="exact"/>
              <w:rPr>
                <w:sz w:val="20"/>
                <w:szCs w:val="20"/>
                <w:color w:val="auto"/>
              </w:rPr>
            </w:pPr>
            <w:r>
              <w:rPr>
                <w:rFonts w:ascii="Times New Roman" w:cs="Times New Roman" w:eastAsia="Times New Roman" w:hAnsi="Times New Roman"/>
                <w:sz w:val="18"/>
                <w:szCs w:val="18"/>
                <w:color w:val="auto"/>
              </w:rPr>
              <w:t>The Registrant has omitted certain instruments defining the rights of holders of long-term debt of the Registrant and its subsidiaries</w:t>
            </w:r>
          </w:p>
        </w:tc>
        <w:tc>
          <w:tcPr>
            <w:tcW w:w="20" w:type="dxa"/>
            <w:vAlign w:val="bottom"/>
          </w:tcPr>
          <w:p>
            <w:pPr>
              <w:spacing w:after="0"/>
              <w:rPr>
                <w:sz w:val="16"/>
                <w:szCs w:val="16"/>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101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pursuant to Regulation S-K, Item 601(b)(4)(iii)(A). The Registrant undertakes to furnish a copy of such instruments to the Securities and</w:t>
            </w:r>
          </w:p>
        </w:tc>
        <w:tc>
          <w:tcPr>
            <w:tcW w:w="20" w:type="dxa"/>
            <w:vAlign w:val="bottom"/>
          </w:tcPr>
          <w:p>
            <w:pPr>
              <w:spacing w:after="0"/>
              <w:rPr>
                <w:sz w:val="18"/>
                <w:szCs w:val="18"/>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Exchange Commission upon request.</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rPr>
              <w:t>10(a)</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TI Deferred Compensation Plan, as amended*</w:t>
            </w:r>
          </w:p>
        </w:tc>
        <w:tc>
          <w:tcPr>
            <w:tcW w:w="72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spacing w:after="0"/>
              <w:rPr>
                <w:sz w:val="18"/>
                <w:szCs w:val="18"/>
                <w:color w:val="auto"/>
              </w:rPr>
            </w:pPr>
          </w:p>
        </w:tc>
        <w:tc>
          <w:tcPr>
            <w:tcW w:w="118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10(b)</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TI Employees Non-Qualified Pension Plan, effective</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January 1, 2009, as amended*</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10(c)</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TI Employees Non-Qualified Pension Plan II*</w:t>
            </w:r>
          </w:p>
        </w:tc>
        <w:tc>
          <w:tcPr>
            <w:tcW w:w="72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spacing w:after="0"/>
              <w:rPr>
                <w:sz w:val="18"/>
                <w:szCs w:val="18"/>
                <w:color w:val="auto"/>
              </w:rPr>
            </w:pPr>
          </w:p>
        </w:tc>
        <w:tc>
          <w:tcPr>
            <w:tcW w:w="118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10(d)</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Long-Term Incentive Plan, adopted</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2012</w:t>
            </w:r>
          </w:p>
        </w:tc>
        <w:tc>
          <w:tcPr>
            <w:tcW w:w="1160" w:type="dxa"/>
            <w:vAlign w:val="bottom"/>
            <w:tcBorders>
              <w:right w:val="single" w:sz="8" w:color="auto"/>
            </w:tcBorders>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w w:val="99"/>
              </w:rPr>
              <w:t>10(c)</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April 15, 1993*</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10(e)</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2000 Long-Term Incentive Plan as</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shd w:val="clear" w:color="auto" w:fill="CCECFF"/>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w w:val="99"/>
              </w:rPr>
              <w:t>10(e)</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amended October 16, 2008*</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10(f)</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2003 Long-Term Incentive Plan as</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10(f)</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 October 16, 2008</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10(g)</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Texas Instruments Executive Officer Performance Plan as</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10(g)</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amended September 17, 2009*</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10(h)</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Restricted Stock Unit Plan for</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2012</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10(h)</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 as amended, dated April 16, 1998</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10(i)</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Directors Deferred Compensation</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2012</w:t>
            </w:r>
          </w:p>
        </w:tc>
        <w:tc>
          <w:tcPr>
            <w:tcW w:w="116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10(i)</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Plan, as amended, dated April 16, 1998</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10(j)</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2003 Director Compensation Plan as</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10(j)</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 January 19, 2012</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Form of Non-Qualified Stock Option Agreement for</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22, 2013</w:t>
            </w:r>
          </w:p>
        </w:tc>
        <w:tc>
          <w:tcPr>
            <w:tcW w:w="116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10(l)</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20" w:type="dxa"/>
            <w:vAlign w:val="bottom"/>
            <w:tcBorders>
              <w:left w:val="single" w:sz="8" w:color="auto"/>
              <w:right w:val="single" w:sz="8" w:color="auto"/>
            </w:tcBorders>
            <w:shd w:val="clear" w:color="auto" w:fill="CCECFF"/>
          </w:tcPr>
          <w:p>
            <w:pPr>
              <w:spacing w:after="0"/>
              <w:rPr>
                <w:sz w:val="18"/>
                <w:szCs w:val="18"/>
                <w:color w:val="auto"/>
              </w:rPr>
            </w:pPr>
          </w:p>
        </w:tc>
        <w:tc>
          <w:tcPr>
            <w:tcW w:w="4280" w:type="dxa"/>
            <w:vAlign w:val="bottom"/>
            <w:tcBorders>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Executive Officers under the Texas Instruments 2009</w:t>
            </w:r>
          </w:p>
        </w:tc>
        <w:tc>
          <w:tcPr>
            <w:tcW w:w="72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640" w:type="dxa"/>
            <w:vAlign w:val="bottom"/>
            <w:shd w:val="clear" w:color="auto" w:fill="CCECFF"/>
          </w:tcPr>
          <w:p>
            <w:pPr>
              <w:spacing w:after="0"/>
              <w:rPr>
                <w:sz w:val="18"/>
                <w:szCs w:val="18"/>
                <w:color w:val="auto"/>
              </w:rPr>
            </w:pPr>
          </w:p>
        </w:tc>
        <w:tc>
          <w:tcPr>
            <w:tcW w:w="1160" w:type="dxa"/>
            <w:vAlign w:val="bottom"/>
            <w:tcBorders>
              <w:right w:val="single" w:sz="8" w:color="auto"/>
            </w:tcBorders>
            <w:shd w:val="clear" w:color="auto" w:fill="CCECFF"/>
          </w:tcPr>
          <w:p>
            <w:pPr>
              <w:spacing w:after="0"/>
              <w:rPr>
                <w:sz w:val="18"/>
                <w:szCs w:val="18"/>
                <w:color w:val="auto"/>
              </w:rPr>
            </w:pPr>
          </w:p>
        </w:tc>
        <w:tc>
          <w:tcPr>
            <w:tcW w:w="1180" w:type="dxa"/>
            <w:vAlign w:val="bottom"/>
            <w:tcBorders>
              <w:right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Long-Term Incentive Plan*</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10(l)</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Form of Restricted Stock Unit Award Agreement under</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22, 2013</w:t>
            </w:r>
          </w:p>
        </w:tc>
        <w:tc>
          <w:tcPr>
            <w:tcW w:w="1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10(m)</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Texas Instruments 2009 Long-Term Incentive Plan*</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10(m)</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2009 Long-Term Incentive Plan as</w:t>
            </w:r>
          </w:p>
        </w:tc>
        <w:tc>
          <w:tcPr>
            <w:tcW w:w="7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24, 2015</w:t>
            </w:r>
          </w:p>
        </w:tc>
        <w:tc>
          <w:tcPr>
            <w:tcW w:w="116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10(m)</w:t>
            </w:r>
          </w:p>
        </w:tc>
        <w:tc>
          <w:tcPr>
            <w:tcW w:w="1180" w:type="dxa"/>
            <w:vAlign w:val="bottom"/>
            <w:tcBorders>
              <w:right w:val="single" w:sz="8" w:color="auto"/>
            </w:tcBorders>
            <w:shd w:val="clear" w:color="auto" w:fill="CCEC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amended January 19, 2012 *</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10(n)</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Texas Instruments 2009 Director Compensation Plan as</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001-3761</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 7, 2010</w:t>
            </w:r>
          </w:p>
        </w:tc>
        <w:tc>
          <w:tcPr>
            <w:tcW w:w="1160" w:type="dxa"/>
            <w:vAlign w:val="bottom"/>
            <w:tcBorders>
              <w:right w:val="single" w:sz="8" w:color="auto"/>
            </w:tcBorders>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 December 2, 2010</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72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spacing w:after="0"/>
              <w:rPr>
                <w:sz w:val="18"/>
                <w:szCs w:val="18"/>
                <w:color w:val="auto"/>
              </w:rPr>
            </w:pPr>
          </w:p>
        </w:tc>
        <w:tc>
          <w:tcPr>
            <w:tcW w:w="1180" w:type="dxa"/>
            <w:vAlign w:val="bottom"/>
            <w:tcBorders>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23</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Consent of Independent Registered Public Accounting</w:t>
            </w:r>
          </w:p>
        </w:tc>
        <w:tc>
          <w:tcPr>
            <w:tcW w:w="72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1640" w:type="dxa"/>
            <w:vAlign w:val="bottom"/>
            <w:shd w:val="clear" w:color="auto" w:fill="CCECFF"/>
          </w:tcPr>
          <w:p>
            <w:pPr>
              <w:spacing w:after="0"/>
              <w:rPr>
                <w:sz w:val="16"/>
                <w:szCs w:val="16"/>
                <w:color w:val="auto"/>
              </w:rPr>
            </w:pPr>
          </w:p>
        </w:tc>
        <w:tc>
          <w:tcPr>
            <w:tcW w:w="1160" w:type="dxa"/>
            <w:vAlign w:val="bottom"/>
            <w:tcBorders>
              <w:right w:val="single" w:sz="8" w:color="auto"/>
            </w:tcBorders>
            <w:shd w:val="clear" w:color="auto" w:fill="CCECFF"/>
          </w:tcPr>
          <w:p>
            <w:pPr>
              <w:spacing w:after="0"/>
              <w:rPr>
                <w:sz w:val="16"/>
                <w:szCs w:val="16"/>
                <w:color w:val="auto"/>
              </w:rPr>
            </w:pPr>
          </w:p>
        </w:tc>
        <w:tc>
          <w:tcPr>
            <w:tcW w:w="118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Firm</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31(a)</w:t>
            </w:r>
          </w:p>
        </w:tc>
        <w:tc>
          <w:tcPr>
            <w:tcW w:w="42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13a-14(a)/15(d)-14(a) Certification of Chief</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Officer</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320" w:type="dxa"/>
            <w:vAlign w:val="bottom"/>
            <w:tcBorders>
              <w:left w:val="single" w:sz="8" w:color="auto"/>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31(b)</w:t>
            </w:r>
          </w:p>
        </w:tc>
        <w:tc>
          <w:tcPr>
            <w:tcW w:w="4280" w:type="dxa"/>
            <w:vAlign w:val="bottom"/>
            <w:tcBorders>
              <w:right w:val="single" w:sz="8" w:color="auto"/>
            </w:tcBorders>
            <w:shd w:val="clear" w:color="auto" w:fill="CCECFF"/>
          </w:tcPr>
          <w:p>
            <w:pPr>
              <w:ind w:left="80"/>
              <w:spacing w:after="0" w:line="191" w:lineRule="exact"/>
              <w:rPr>
                <w:sz w:val="20"/>
                <w:szCs w:val="20"/>
                <w:color w:val="auto"/>
              </w:rPr>
            </w:pPr>
            <w:r>
              <w:rPr>
                <w:rFonts w:ascii="Times New Roman" w:cs="Times New Roman" w:eastAsia="Times New Roman" w:hAnsi="Times New Roman"/>
                <w:sz w:val="18"/>
                <w:szCs w:val="18"/>
                <w:color w:val="auto"/>
              </w:rPr>
              <w:t>Rule 13a-14(a)/15(d)-14(a) Certification of Chief</w:t>
            </w:r>
          </w:p>
        </w:tc>
        <w:tc>
          <w:tcPr>
            <w:tcW w:w="72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1640" w:type="dxa"/>
            <w:vAlign w:val="bottom"/>
            <w:shd w:val="clear" w:color="auto" w:fill="CCECFF"/>
          </w:tcPr>
          <w:p>
            <w:pPr>
              <w:spacing w:after="0"/>
              <w:rPr>
                <w:sz w:val="16"/>
                <w:szCs w:val="16"/>
                <w:color w:val="auto"/>
              </w:rPr>
            </w:pPr>
          </w:p>
        </w:tc>
        <w:tc>
          <w:tcPr>
            <w:tcW w:w="1160" w:type="dxa"/>
            <w:vAlign w:val="bottom"/>
            <w:tcBorders>
              <w:right w:val="single" w:sz="8" w:color="auto"/>
            </w:tcBorders>
            <w:shd w:val="clear" w:color="auto" w:fill="CCECFF"/>
          </w:tcPr>
          <w:p>
            <w:pPr>
              <w:spacing w:after="0"/>
              <w:rPr>
                <w:sz w:val="16"/>
                <w:szCs w:val="16"/>
                <w:color w:val="auto"/>
              </w:rPr>
            </w:pPr>
          </w:p>
        </w:tc>
        <w:tc>
          <w:tcPr>
            <w:tcW w:w="1180" w:type="dxa"/>
            <w:vAlign w:val="bottom"/>
            <w:tcBorders>
              <w:right w:val="single" w:sz="8" w:color="auto"/>
            </w:tcBorders>
            <w:shd w:val="clear" w:color="auto" w:fill="CCE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r>
      <w:tr>
        <w:trPr>
          <w:trHeight w:val="234"/>
        </w:trPr>
        <w:tc>
          <w:tcPr>
            <w:tcW w:w="1320" w:type="dxa"/>
            <w:vAlign w:val="bottom"/>
            <w:tcBorders>
              <w:left w:val="single" w:sz="8" w:color="auto"/>
              <w:bottom w:val="single" w:sz="8" w:color="auto"/>
              <w:right w:val="single" w:sz="8" w:color="auto"/>
            </w:tcBorders>
            <w:shd w:val="clear" w:color="auto" w:fill="CCECFF"/>
          </w:tcPr>
          <w:p>
            <w:pPr>
              <w:spacing w:after="0"/>
              <w:rPr>
                <w:sz w:val="20"/>
                <w:szCs w:val="20"/>
                <w:color w:val="auto"/>
              </w:rPr>
            </w:pPr>
          </w:p>
        </w:tc>
        <w:tc>
          <w:tcPr>
            <w:tcW w:w="4280" w:type="dxa"/>
            <w:vAlign w:val="bottom"/>
            <w:tcBorders>
              <w:bottom w:val="single" w:sz="8" w:color="auto"/>
              <w:right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Financial Officer</w:t>
            </w:r>
          </w:p>
        </w:tc>
        <w:tc>
          <w:tcPr>
            <w:tcW w:w="72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spacing w:after="0"/>
              <w:rPr>
                <w:sz w:val="20"/>
                <w:szCs w:val="20"/>
                <w:color w:val="auto"/>
              </w:rPr>
            </w:pPr>
          </w:p>
        </w:tc>
        <w:tc>
          <w:tcPr>
            <w:tcW w:w="1640" w:type="dxa"/>
            <w:vAlign w:val="bottom"/>
            <w:tcBorders>
              <w:bottom w:val="single" w:sz="8" w:color="auto"/>
            </w:tcBorders>
            <w:shd w:val="clear" w:color="auto" w:fill="CCECFF"/>
          </w:tcPr>
          <w:p>
            <w:pPr>
              <w:spacing w:after="0"/>
              <w:rPr>
                <w:sz w:val="20"/>
                <w:szCs w:val="20"/>
                <w:color w:val="auto"/>
              </w:rPr>
            </w:pPr>
          </w:p>
        </w:tc>
        <w:tc>
          <w:tcPr>
            <w:tcW w:w="1160" w:type="dxa"/>
            <w:vAlign w:val="bottom"/>
            <w:tcBorders>
              <w:bottom w:val="single" w:sz="8" w:color="auto"/>
              <w:right w:val="single" w:sz="8" w:color="auto"/>
            </w:tcBorders>
            <w:shd w:val="clear" w:color="auto" w:fill="CCECFF"/>
          </w:tcPr>
          <w:p>
            <w:pPr>
              <w:spacing w:after="0"/>
              <w:rPr>
                <w:sz w:val="20"/>
                <w:szCs w:val="20"/>
                <w:color w:val="auto"/>
              </w:rPr>
            </w:pPr>
          </w:p>
        </w:tc>
        <w:tc>
          <w:tcPr>
            <w:tcW w:w="1180" w:type="dxa"/>
            <w:vAlign w:val="bottom"/>
            <w:tcBorders>
              <w:bottom w:val="single" w:sz="8" w:color="auto"/>
              <w:right w:val="single" w:sz="8" w:color="auto"/>
            </w:tcBorders>
            <w:shd w:val="clear" w:color="auto" w:fill="CCECFF"/>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99"/>
              </w:rPr>
              <w:t>66</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30"/>
        </w:trPr>
        <w:tc>
          <w:tcPr>
            <w:tcW w:w="1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32(a)</w:t>
            </w:r>
          </w:p>
        </w:tc>
        <w:tc>
          <w:tcPr>
            <w:tcW w:w="10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Section 1350</w:t>
            </w:r>
          </w:p>
        </w:tc>
        <w:tc>
          <w:tcPr>
            <w:tcW w:w="32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w:t>
            </w:r>
          </w:p>
        </w:tc>
        <w:tc>
          <w:tcPr>
            <w:tcW w:w="4660" w:type="dxa"/>
            <w:vAlign w:val="bottom"/>
            <w:tcBorders>
              <w:top w:val="single" w:sz="8" w:color="auto"/>
              <w:bottom w:val="single" w:sz="8" w:color="auto"/>
              <w:right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32(b)</w:t>
            </w:r>
          </w:p>
        </w:tc>
        <w:tc>
          <w:tcPr>
            <w:tcW w:w="104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w w:val="99"/>
              </w:rPr>
              <w:t>Section 1350</w:t>
            </w:r>
          </w:p>
        </w:tc>
        <w:tc>
          <w:tcPr>
            <w:tcW w:w="3240" w:type="dxa"/>
            <w:vAlign w:val="bottom"/>
            <w:tcBorders>
              <w:bottom w:val="single" w:sz="8" w:color="auto"/>
              <w:right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w:t>
            </w:r>
          </w:p>
        </w:tc>
        <w:tc>
          <w:tcPr>
            <w:tcW w:w="4660" w:type="dxa"/>
            <w:vAlign w:val="bottom"/>
            <w:tcBorders>
              <w:bottom w:val="single" w:sz="8" w:color="auto"/>
              <w:right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42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Instance Document</w:t>
            </w:r>
          </w:p>
        </w:tc>
        <w:tc>
          <w:tcPr>
            <w:tcW w:w="46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101.sch</w:t>
            </w:r>
          </w:p>
        </w:tc>
        <w:tc>
          <w:tcPr>
            <w:tcW w:w="4280" w:type="dxa"/>
            <w:vAlign w:val="bottom"/>
            <w:tcBorders>
              <w:bottom w:val="single" w:sz="8" w:color="auto"/>
              <w:right w:val="single" w:sz="8" w:color="auto"/>
            </w:tcBorders>
            <w:gridSpan w:val="2"/>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XBRL Taxonomy Schema</w:t>
            </w:r>
          </w:p>
        </w:tc>
        <w:tc>
          <w:tcPr>
            <w:tcW w:w="4660" w:type="dxa"/>
            <w:vAlign w:val="bottom"/>
            <w:tcBorders>
              <w:bottom w:val="single" w:sz="8" w:color="auto"/>
              <w:right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42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w:t>
            </w:r>
          </w:p>
        </w:tc>
        <w:tc>
          <w:tcPr>
            <w:tcW w:w="46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101.Def</w:t>
            </w:r>
          </w:p>
        </w:tc>
        <w:tc>
          <w:tcPr>
            <w:tcW w:w="4280" w:type="dxa"/>
            <w:vAlign w:val="bottom"/>
            <w:tcBorders>
              <w:bottom w:val="single" w:sz="8" w:color="auto"/>
              <w:right w:val="single" w:sz="8" w:color="auto"/>
            </w:tcBorders>
            <w:gridSpan w:val="2"/>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XBRL Taxonomy Definitions Document</w:t>
            </w:r>
          </w:p>
        </w:tc>
        <w:tc>
          <w:tcPr>
            <w:tcW w:w="4660" w:type="dxa"/>
            <w:vAlign w:val="bottom"/>
            <w:tcBorders>
              <w:bottom w:val="single" w:sz="8" w:color="auto"/>
              <w:right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42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Labels Linkbase</w:t>
            </w:r>
          </w:p>
        </w:tc>
        <w:tc>
          <w:tcPr>
            <w:tcW w:w="46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1320" w:type="dxa"/>
            <w:vAlign w:val="bottom"/>
            <w:tcBorders>
              <w:left w:val="single" w:sz="8" w:color="auto"/>
              <w:bottom w:val="single" w:sz="8" w:color="auto"/>
              <w:right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101.pre</w:t>
            </w:r>
          </w:p>
        </w:tc>
        <w:tc>
          <w:tcPr>
            <w:tcW w:w="4280" w:type="dxa"/>
            <w:vAlign w:val="bottom"/>
            <w:tcBorders>
              <w:bottom w:val="single" w:sz="8" w:color="auto"/>
              <w:right w:val="single" w:sz="8" w:color="auto"/>
            </w:tcBorders>
            <w:gridSpan w:val="2"/>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w:t>
            </w:r>
          </w:p>
        </w:tc>
        <w:tc>
          <w:tcPr>
            <w:tcW w:w="4660" w:type="dxa"/>
            <w:vAlign w:val="bottom"/>
            <w:tcBorders>
              <w:bottom w:val="single" w:sz="8" w:color="auto"/>
              <w:right w:val="single" w:sz="8" w:color="auto"/>
            </w:tcBorders>
            <w:shd w:val="clear" w:color="auto" w:fill="CCECFF"/>
          </w:tcPr>
          <w:p>
            <w:pPr>
              <w:spacing w:after="0"/>
              <w:rPr>
                <w:sz w:val="18"/>
                <w:szCs w:val="18"/>
                <w:color w:val="auto"/>
              </w:rPr>
            </w:pPr>
          </w:p>
        </w:tc>
        <w:tc>
          <w:tcPr>
            <w:tcW w:w="1160" w:type="dxa"/>
            <w:vAlign w:val="bottom"/>
            <w:tcBorders>
              <w:bottom w:val="single" w:sz="8" w:color="auto"/>
              <w:right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X</w:t>
            </w:r>
          </w:p>
        </w:tc>
      </w:tr>
    </w:tbl>
    <w:p>
      <w:pPr>
        <w:spacing w:after="0" w:line="198" w:lineRule="exact"/>
        <w:rPr>
          <w:sz w:val="20"/>
          <w:szCs w:val="20"/>
          <w:color w:val="auto"/>
        </w:rPr>
      </w:pPr>
    </w:p>
    <w:p>
      <w:pPr>
        <w:ind w:left="120" w:hanging="112"/>
        <w:spacing w:after="0"/>
        <w:tabs>
          <w:tab w:leader="none" w:pos="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Management compensation plans and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its management:</w:t>
      </w:r>
    </w:p>
    <w:p>
      <w:pPr>
        <w:spacing w:after="0" w:line="54"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TI’s end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forecasts and the financial impact of inadequate or excess TI inventory that results from demand that differs from projections;</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geological events or health epidemics in the locations in which TI, its customers or its suppliers operate;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TI’s information technology systems or those of its customers or suppliers;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53" w:lineRule="exact"/>
        <w:rPr>
          <w:rFonts w:ascii="Times New Roman" w:cs="Times New Roman" w:eastAsia="Times New Roman" w:hAnsi="Times New Roman"/>
          <w:sz w:val="18"/>
          <w:szCs w:val="18"/>
          <w:color w:val="auto"/>
        </w:rPr>
      </w:pPr>
    </w:p>
    <w:p>
      <w:pPr>
        <w:ind w:left="1040" w:right="220" w:hanging="519"/>
        <w:spacing w:after="0" w:line="313"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7" w:name="page68"/>
    <w:bookmarkEnd w:id="67"/>
    <w:p>
      <w:pPr>
        <w:ind w:left="1040" w:right="3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distributors or their promotion of competing product lines to TI’s detriment;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a customer or distributor of TI with respect to TI-consigned inventory;</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that affects TI’s ability to fund its daily operations, invest in the business, make strategic acquisitions, or make principal and interest payments on its debt;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TI’s non-financial assets.</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45" w:right="439" w:bottom="1440" w:gutter="0" w:footer="0" w:header="0"/>
        </w:sectPr>
      </w:pPr>
    </w:p>
    <w:bookmarkStart w:id="68" w:name="page69"/>
    <w:bookmarkEnd w:id="68"/>
    <w:p>
      <w:pPr>
        <w:jc w:val="center"/>
        <w:ind w:right="-3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52" w:lineRule="exact"/>
        <w:rPr>
          <w:sz w:val="20"/>
          <w:szCs w:val="20"/>
          <w:color w:val="auto"/>
        </w:rPr>
      </w:pPr>
    </w:p>
    <w:p>
      <w:pPr>
        <w:ind w:left="6860"/>
        <w:spacing w:after="0"/>
        <w:tabs>
          <w:tab w:leader="none" w:pos="8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P. March</w:t>
      </w:r>
    </w:p>
    <w:p>
      <w:pPr>
        <w:spacing w:after="0" w:line="27"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9"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69" w:name="page70"/>
    <w:bookmarkEnd w:id="69"/>
    <w:p>
      <w:pPr>
        <w:ind w:right="20"/>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Richard K. Templeton, Kevin P. March,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2015,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24th day of February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2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426"/>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Ralph W. Babb, Jr.</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Ralph W. Babb, Jr.</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Blinn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 A. Blinn</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A. Carp</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Daniel A. Carp</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Janet F. Clark</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Janet F. Clark</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Carrie S. Cox</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Kirk</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Ronald Kirk</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Pamela H. Patsley</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Pamela H. Patsley</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E. Sanchez</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E. Sanchez</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Wayne R. Sanders</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Wayne R. Sanders</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Ruth J. Simmons</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Ruth J. Simmons</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K. Templeton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Director; President;</w:t>
            </w:r>
          </w:p>
        </w:tc>
        <w:tc>
          <w:tcPr>
            <w:tcW w:w="0" w:type="dxa"/>
            <w:vAlign w:val="bottom"/>
          </w:tcPr>
          <w:p>
            <w:pPr>
              <w:spacing w:after="0"/>
              <w:rPr>
                <w:sz w:val="1"/>
                <w:szCs w:val="1"/>
                <w:color w:val="auto"/>
              </w:rPr>
            </w:pPr>
          </w:p>
        </w:tc>
      </w:tr>
      <w:tr>
        <w:trPr>
          <w:trHeight w:val="191"/>
        </w:trPr>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Richard K. Templeton</w:t>
            </w:r>
          </w:p>
        </w:tc>
        <w:tc>
          <w:tcPr>
            <w:tcW w:w="5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432"/>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Christine Todd Whitman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2"/>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Christine Todd Whitman</w:t>
            </w:r>
          </w:p>
        </w:tc>
        <w:tc>
          <w:tcPr>
            <w:tcW w:w="520" w:type="dxa"/>
            <w:vAlign w:val="bottom"/>
          </w:tcPr>
          <w:p>
            <w:pPr>
              <w:spacing w:after="0"/>
              <w:rPr>
                <w:sz w:val="20"/>
                <w:szCs w:val="20"/>
                <w:color w:val="auto"/>
              </w:rPr>
            </w:pPr>
          </w:p>
        </w:tc>
        <w:tc>
          <w:tcPr>
            <w:tcW w:w="5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P. March</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0" w:type="dxa"/>
            <w:vAlign w:val="bottom"/>
          </w:tcPr>
          <w:p>
            <w:pPr>
              <w:spacing w:after="0"/>
              <w:rPr>
                <w:sz w:val="1"/>
                <w:szCs w:val="1"/>
                <w:color w:val="auto"/>
              </w:rPr>
            </w:pPr>
          </w:p>
        </w:tc>
      </w:tr>
      <w:tr>
        <w:trPr>
          <w:trHeight w:val="191"/>
        </w:trPr>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Kevin P. March</w:t>
            </w:r>
          </w:p>
        </w:tc>
        <w:tc>
          <w:tcPr>
            <w:tcW w:w="5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0" w:type="dxa"/>
            <w:vAlign w:val="bottom"/>
          </w:tcPr>
          <w:p>
            <w:pPr>
              <w:spacing w:after="0"/>
              <w:rPr>
                <w:sz w:val="1"/>
                <w:szCs w:val="1"/>
                <w:color w:val="auto"/>
              </w:rPr>
            </w:pPr>
          </w:p>
        </w:tc>
      </w:tr>
      <w:tr>
        <w:trPr>
          <w:trHeight w:val="837"/>
        </w:trPr>
        <w:tc>
          <w:tcPr>
            <w:tcW w:w="5620" w:type="dxa"/>
            <w:vAlign w:val="bottom"/>
          </w:tcPr>
          <w:p>
            <w:pPr>
              <w:spacing w:after="0"/>
              <w:rPr>
                <w:sz w:val="24"/>
                <w:szCs w:val="24"/>
                <w:color w:val="auto"/>
              </w:rPr>
            </w:pP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70</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TI DEFERRED COMPENSATION PLAN</w:t>
      </w:r>
    </w:p>
    <w:p>
      <w:pPr>
        <w:spacing w:after="0" w:line="24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3767455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TI DEFERRED COMPENSATION PLAN</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Texas Instruments Incorporated, a Delaware corporation with its principal offices in Dallas, Texas (hereinafter referred to as “TI” or “the Company”), froze the TI Deferred Compensation Plan (the “Frozen DCP”), effective as of December 31, 2004, to new participants, to new elective deferrals and to benefits under the Frozen DCP to the extent benefits under that plan were earned and vested as of that date. Effective as of January 1, 2005, TI established a new deferred compensation plan (the “New Plan”) in order (i) to provide a select group of management or highly compensated employees described in Section 201(2) of the Employee Retirement Income Security Act of 1974, as amended (“ERISA”) with the opportunity to defer payment of certain compensation and benefits earned from and after January 1, 2005 to a later date, (ii) to provide for the payment of benefits under the Frozen DCP which were not earned and vested as of January 1, 2005, and (iii) to restore certain benefits earned and/or vested on or after January 1, 2005, which cannot be provided under the TI Contribution and 401(k) Savings Plan or the TI 401(k) Savings Plan as a result of that deferral of compensation or by reason of the application of Section 401(a)(17) and/or Section 415 of the Internal Revenue Code of 1986, as amended (the “Code”), all in accordance with the interim guidance promulgated under Section 409A of the Code. The benefits provided under the New Plan are unfunded with the result that the participants in the Plan are general unsecured creditors of TI. TI hereby amends and restates the New Plan, effective as of January 1, 2009 (the “A&amp;R Plan” or the “Plan”), in the form provided herein in order, among other things, to establish the name of the A&amp;R Plan as the “TI Deferred Compensation Plan” and to comply with the Final Treasury Regulations of Section 409A of the Code.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January 1, 2009, the deferral of amounts and restoration of benefits pursuant to the New Plan was governed by the applicable interim guidance under Section 409A of the Code in effect prior to January 1, 2009, and the deferral of compensation earned from and after January 1, 2009 and the restoration of benefits from and after January 1, 2009, as well as all amounts in a Participant’s Accounts on or after January 1, 2009, shall be governed by the terms and conditions of this A&amp;R Plan.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as of November 1, 2008, the Frozen DCP was merged into the New Plan in order to permit the election provisions described in this A&amp;R Plan which took effect as of November 1, 2008 to apply to all of the amounts under the Frozen DCP, except for the Frozen Non-Qualified Pension Plan Deferrals, and as a result of that merger and material modification of the Frozen DCP, it became subject to the requirements of Section 409A of the Code as of November 1, 2008, for all of the amounts in the Frozen DCP other than the Frozen Non-Qualified Pension Plan Deferrals. The amounts in the accounts of the participants in the Frozen DCP (except for the Frozen Non-Qualified Pension Plan Deferrals) were governed by the terms and conditions of the New Plan until January 1, 2009 (except for the election provisions set forth herein which took effect as of November 1, 2008), and from and after January 1, 2009, shall be governed by the terms and conditions of this A&amp;R Plan. The terms of the Frozen DCP as in effect prior to November 1, 2008 shall remain applicable to and shall govern the Frozen Non-Qualified Pension Plan Deferrals. In addition, any amounts in pay status as of November 1, 2008, whether originally payable from the Frozen DCP or the New Plan, shall continue to be payable pursuant to the terms of the Frozen DCP as in effect prior to November 1, 2008 or the New Plan,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firstLine="761"/>
        <w:spacing w:after="0" w:line="266" w:lineRule="auto"/>
        <w:rPr>
          <w:sz w:val="20"/>
          <w:szCs w:val="20"/>
          <w:color w:val="auto"/>
        </w:rPr>
      </w:pPr>
      <w:r>
        <w:rPr>
          <w:rFonts w:ascii="Times New Roman" w:cs="Times New Roman" w:eastAsia="Times New Roman" w:hAnsi="Times New Roman"/>
          <w:sz w:val="18"/>
          <w:szCs w:val="18"/>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74"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1-1. </w:t>
      </w:r>
      <w:r>
        <w:rPr>
          <w:rFonts w:ascii="Times New Roman" w:cs="Times New Roman" w:eastAsia="Times New Roman" w:hAnsi="Times New Roman"/>
          <w:sz w:val="18"/>
          <w:szCs w:val="18"/>
          <w:i w:val="1"/>
          <w:iCs w:val="1"/>
          <w:u w:val="single" w:color="auto"/>
          <w:color w:val="auto"/>
        </w:rPr>
        <w:t>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“Account” or “Accounts” means, as the context requires, the Deferred Compensation Account and/or the Benefit Restoration Account of a Participant.</w:t>
      </w:r>
    </w:p>
    <w:p>
      <w:pPr>
        <w:spacing w:after="0" w:line="158"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1-2. </w:t>
      </w:r>
      <w:r>
        <w:rPr>
          <w:rFonts w:ascii="Times New Roman" w:cs="Times New Roman" w:eastAsia="Times New Roman" w:hAnsi="Times New Roman"/>
          <w:sz w:val="18"/>
          <w:szCs w:val="18"/>
          <w:i w:val="1"/>
          <w:iCs w:val="1"/>
          <w:u w:val="single" w:color="auto"/>
          <w:color w:val="auto"/>
        </w:rPr>
        <w:t>Administration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“Administration Committee” means the person or persons from time to time acting under the provisions of Article V hereof.</w:t>
      </w:r>
    </w:p>
    <w:p>
      <w:pPr>
        <w:spacing w:after="0" w:line="15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1-3. </w:t>
      </w:r>
      <w:r>
        <w:rPr>
          <w:rFonts w:ascii="Times New Roman" w:cs="Times New Roman" w:eastAsia="Times New Roman" w:hAnsi="Times New Roman"/>
          <w:sz w:val="18"/>
          <w:szCs w:val="18"/>
          <w:i w:val="1"/>
          <w:iCs w:val="1"/>
          <w:u w:val="single" w:color="auto"/>
          <w:color w:val="auto"/>
        </w:rPr>
        <w:t>Beneficiary</w:t>
      </w:r>
      <w:r>
        <w:rPr>
          <w:rFonts w:ascii="Times New Roman" w:cs="Times New Roman" w:eastAsia="Times New Roman" w:hAnsi="Times New Roman"/>
          <w:sz w:val="18"/>
          <w:szCs w:val="18"/>
          <w:color w:val="auto"/>
        </w:rPr>
        <w:t xml:space="preserve"> .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“Beneficiary” means, in the case of a married Participant, the spouse (as defined in the Defense of Marriage Act) of the Participant at the time of his death, provided that a married Participant shall be entitled to designate one or more of the types of Beneficiaries or contingent Beneficiaries that an unmarried Participant may select, other than the Participant’s spouse, to receive any amount payable under the Plan in the event of his death and from time to time to change such designation. Such married Participant’s alternate designation of a non-spousal Beneficiary shall not be effective, however, unless:</w:t>
      </w:r>
    </w:p>
    <w:p>
      <w:pPr>
        <w:spacing w:after="0" w:line="185" w:lineRule="exact"/>
        <w:rPr>
          <w:sz w:val="20"/>
          <w:szCs w:val="20"/>
          <w:color w:val="auto"/>
        </w:rPr>
      </w:pPr>
    </w:p>
    <w:p>
      <w:pPr>
        <w:ind w:left="1040" w:right="1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of the Participant consents in writing to such designation and the spouse’s consent acknowledges the effect of such designation and is witnessed by a Plan representative or a notary public; or</w:t>
      </w:r>
    </w:p>
    <w:p>
      <w:pPr>
        <w:spacing w:after="0" w:line="161"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establishes to the satisfaction of the Administration Committee that such spouse’s consent may not be obtained because the spouse cannot be located.</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Any consent by a spouse (or the establishment that consent of a spouse may not be obtained) shall be effective only with respect to that spouse. Such spouse may revoke his consent by filing prior to the applicable Scheduled Distribution Date of the Participant a revocation in such form and manner as the Administration Committee shall specify. The Administration Committee may rely on the representations by the Participant as to whether the Participant has no spouse or the spouse cannot be located and shall have no liability for such reliance. All Beneficiary designations and changes of Beneficiary designations shall be made in accordance with such rules and regulations, as the Administration Committee shall prescribe.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person who is an alternate payee under a qualified domestic relations order may be considered a Beneficiary for purposes of this Plan.</w:t>
      </w:r>
    </w:p>
    <w:p>
      <w:pPr>
        <w:spacing w:after="0" w:line="223" w:lineRule="exact"/>
        <w:rPr>
          <w:sz w:val="20"/>
          <w:szCs w:val="20"/>
          <w:color w:val="auto"/>
        </w:rPr>
      </w:pPr>
    </w:p>
    <w:p>
      <w:pPr>
        <w:jc w:val="both"/>
        <w:ind w:right="16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1-4. </w:t>
      </w:r>
      <w:r>
        <w:rPr>
          <w:rFonts w:ascii="Times New Roman" w:cs="Times New Roman" w:eastAsia="Times New Roman" w:hAnsi="Times New Roman"/>
          <w:sz w:val="18"/>
          <w:szCs w:val="18"/>
          <w:i w:val="1"/>
          <w:iCs w:val="1"/>
          <w:u w:val="single" w:color="auto"/>
          <w:color w:val="auto"/>
        </w:rPr>
        <w:t>Benefit Restoration Account</w:t>
      </w:r>
      <w:r>
        <w:rPr>
          <w:rFonts w:ascii="Times New Roman" w:cs="Times New Roman" w:eastAsia="Times New Roman" w:hAnsi="Times New Roman"/>
          <w:sz w:val="18"/>
          <w:szCs w:val="18"/>
          <w:color w:val="auto"/>
        </w:rPr>
        <w:t xml:space="preserve"> . “Benefit Restoration Account” means the bookkeeping account of a Participant maintained by TI which reflects amounts attributable to the benefit restoration account in the New Plan and the benefit restoration account in the Frozen DCP and contributions and earnings posted pursuant to Sections 3-3 and 3-4 hereof.</w:t>
      </w:r>
    </w:p>
    <w:p>
      <w:pPr>
        <w:spacing w:after="0" w:line="174"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1-5.</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Board of Directors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“Board of Directors” means the Board of Directors of TI or of any Subsidiary which has adopted this Plan.</w:t>
      </w:r>
    </w:p>
    <w:p>
      <w:pPr>
        <w:spacing w:after="0" w:line="225"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1-6. </w:t>
      </w:r>
      <w:r>
        <w:rPr>
          <w:rFonts w:ascii="Times New Roman" w:cs="Times New Roman" w:eastAsia="Times New Roman" w:hAnsi="Times New Roman"/>
          <w:sz w:val="18"/>
          <w:szCs w:val="18"/>
          <w:i w:val="1"/>
          <w:iCs w:val="1"/>
          <w:u w:val="single" w:color="auto"/>
          <w:color w:val="auto"/>
        </w:rPr>
        <w:t>Cash Profit Sharing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“Cash Profit Sharing Compensation” means the cash profit sharing bonus payable for a Plan Year under the TI Employees Cash Profit Sharing Plan, as amended from time to time, and any successor to that program.</w:t>
      </w:r>
    </w:p>
    <w:p>
      <w:pPr>
        <w:spacing w:after="0" w:line="158"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1-7.</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Code </w:t>
      </w:r>
      <w:r>
        <w:rPr>
          <w:rFonts w:ascii="Times New Roman" w:cs="Times New Roman" w:eastAsia="Times New Roman" w:hAnsi="Times New Roman"/>
          <w:sz w:val="17"/>
          <w:szCs w:val="17"/>
          <w:color w:val="auto"/>
        </w:rPr>
        <w:t>. “Code” means the Internal Revenue Code of 1986, as amended.</w:t>
      </w:r>
    </w:p>
    <w:p>
      <w:pPr>
        <w:spacing w:after="0" w:line="225"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1-8. </w:t>
      </w:r>
      <w:r>
        <w:rPr>
          <w:rFonts w:ascii="Times New Roman" w:cs="Times New Roman" w:eastAsia="Times New Roman" w:hAnsi="Times New Roman"/>
          <w:sz w:val="18"/>
          <w:szCs w:val="18"/>
          <w:i w:val="1"/>
          <w:iCs w:val="1"/>
          <w:u w:val="single" w:color="auto"/>
          <w:color w:val="auto"/>
        </w:rPr>
        <w:t>Compensation</w:t>
      </w:r>
      <w:r>
        <w:rPr>
          <w:rFonts w:ascii="Times New Roman" w:cs="Times New Roman" w:eastAsia="Times New Roman" w:hAnsi="Times New Roman"/>
          <w:sz w:val="18"/>
          <w:szCs w:val="18"/>
          <w:color w:val="auto"/>
        </w:rPr>
        <w:t xml:space="preserve"> . “Compensation” means: (a) a Designated Employee’s Regular Compensation; (b) a Designated Employee’s Year-End Performance Bonus; and (c) any amounts paid to the Designated Employee as Cash Profit Sharing Compensation. In addition, “Compensation” as provided in Sections 2-4 and 3-3(iii) for purposes of determining any “Matched Savings Contribution” shall have the same meaning as in the TI 401(k) Savings Plan.</w:t>
      </w:r>
    </w:p>
    <w:p>
      <w:pPr>
        <w:spacing w:after="0" w:line="174"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1-9.</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Compensation Committee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“Compensation Committee” means the Compensation Committee of the Board of Directors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3" w:name="page74"/>
    <w:bookmarkEnd w:id="73"/>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1-10.</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Deferred Compensation Account </w:t>
      </w:r>
      <w:r>
        <w:rPr>
          <w:rFonts w:ascii="Times New Roman" w:cs="Times New Roman" w:eastAsia="Times New Roman" w:hAnsi="Times New Roman"/>
          <w:sz w:val="17"/>
          <w:szCs w:val="17"/>
          <w:color w:val="auto"/>
        </w:rPr>
        <w:t>. “Deferred Compensation Account” means the bookkeeping account of a Participant maintained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which reflects the following:</w:t>
      </w:r>
    </w:p>
    <w:p>
      <w:pPr>
        <w:spacing w:after="0" w:line="207" w:lineRule="exact"/>
        <w:rPr>
          <w:sz w:val="20"/>
          <w:szCs w:val="20"/>
          <w:color w:val="auto"/>
        </w:rPr>
      </w:pPr>
    </w:p>
    <w:p>
      <w:pPr>
        <w:ind w:right="40" w:firstLine="526"/>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portion of the Account attributable to the deferred compensation account in the Frozen DCP, other than amounts attributable to Frozen Non-Qualified Pension Plan Deferrals;</w:t>
      </w:r>
    </w:p>
    <w:p>
      <w:pPr>
        <w:spacing w:after="0" w:line="161" w:lineRule="exact"/>
        <w:rPr>
          <w:rFonts w:ascii="Times New Roman" w:cs="Times New Roman" w:eastAsia="Times New Roman" w:hAnsi="Times New Roman"/>
          <w:sz w:val="18"/>
          <w:szCs w:val="18"/>
          <w:color w:val="auto"/>
        </w:rPr>
      </w:pPr>
    </w:p>
    <w:p>
      <w:pPr>
        <w:ind w:right="280" w:firstLine="526"/>
        <w:spacing w:after="0" w:line="282" w:lineRule="auto"/>
        <w:tabs>
          <w:tab w:leader="none" w:pos="11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portion of the Account attributable to the deferred compensation account in the Frozen DCP composed of the Frozen Non-Qualified Pension Plan Deferrals;</w:t>
      </w:r>
    </w:p>
    <w:p>
      <w:pPr>
        <w:spacing w:after="0" w:line="161" w:lineRule="exact"/>
        <w:rPr>
          <w:rFonts w:ascii="Times New Roman" w:cs="Times New Roman" w:eastAsia="Times New Roman" w:hAnsi="Times New Roman"/>
          <w:sz w:val="18"/>
          <w:szCs w:val="18"/>
          <w:color w:val="auto"/>
        </w:rPr>
      </w:pPr>
    </w:p>
    <w:p>
      <w:pPr>
        <w:jc w:val="both"/>
        <w:ind w:right="100" w:firstLine="526"/>
        <w:spacing w:after="0" w:line="261" w:lineRule="auto"/>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portion of the Account attributable to the deferred compensation account in the New Plan (including amounts attributable to deferrals of benefits from the TI Employees Non-Qualified Pension Plan II pursuant to the deferral election provided for the 2005 Plan Year which either (a) were credited to the Account prior to January 1, 2009, or (b) are payable from the TI Employees Non-Qualified Pension Plan II as of December 31, 2008 but may not actually be credited to the Account until after January 1, 2009); and</w:t>
      </w:r>
    </w:p>
    <w:p>
      <w:pPr>
        <w:spacing w:after="0" w:line="180" w:lineRule="exact"/>
        <w:rPr>
          <w:rFonts w:ascii="Times New Roman" w:cs="Times New Roman" w:eastAsia="Times New Roman" w:hAnsi="Times New Roman"/>
          <w:sz w:val="18"/>
          <w:szCs w:val="18"/>
          <w:color w:val="auto"/>
        </w:rPr>
      </w:pPr>
    </w:p>
    <w:p>
      <w:pPr>
        <w:ind w:left="1220" w:hanging="694"/>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and earnings posted pursuant to Section 3-2 hereof.</w:t>
      </w:r>
    </w:p>
    <w:p>
      <w:pPr>
        <w:spacing w:after="0" w:line="225"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Sec. 1-11. Deferred Compensation Agreement . “Deferred Compensation Agreement” means an agreement pursuant to which a Designated Employee elects to defer part of his Compensation and which specifies:</w:t>
      </w:r>
    </w:p>
    <w:p>
      <w:pPr>
        <w:spacing w:after="0" w:line="162" w:lineRule="exact"/>
        <w:rPr>
          <w:sz w:val="20"/>
          <w:szCs w:val="20"/>
          <w:color w:val="auto"/>
        </w:rPr>
      </w:pPr>
    </w:p>
    <w:p>
      <w:pPr>
        <w:ind w:left="1120" w:hanging="594"/>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Designated Employee agrees to participate in this Plan in accordance with its provisions; and</w:t>
      </w:r>
    </w:p>
    <w:p>
      <w:pPr>
        <w:spacing w:after="0" w:line="225" w:lineRule="exact"/>
        <w:rPr>
          <w:rFonts w:ascii="Times New Roman" w:cs="Times New Roman" w:eastAsia="Times New Roman" w:hAnsi="Times New Roman"/>
          <w:sz w:val="18"/>
          <w:szCs w:val="18"/>
          <w:color w:val="auto"/>
        </w:rPr>
      </w:pPr>
    </w:p>
    <w:p>
      <w:pPr>
        <w:ind w:left="1180" w:hanging="654"/>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Deferred Compensation Agreement shall be subject to this Plan in all respects.</w:t>
      </w:r>
    </w:p>
    <w:p>
      <w:pPr>
        <w:spacing w:after="0" w:line="223"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1-12. </w:t>
      </w:r>
      <w:r>
        <w:rPr>
          <w:rFonts w:ascii="Times New Roman" w:cs="Times New Roman" w:eastAsia="Times New Roman" w:hAnsi="Times New Roman"/>
          <w:sz w:val="18"/>
          <w:szCs w:val="18"/>
          <w:i w:val="1"/>
          <w:iCs w:val="1"/>
          <w:u w:val="single" w:color="auto"/>
          <w:color w:val="auto"/>
        </w:rPr>
        <w:t>Designated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“Designated Employee” means an employee of TI or a Subsidiary who is eligible to participate in a Deferred Compensation Account pursuant to Section 2-1 of this Plan and to defer Compensation during a Plan Year.</w:t>
      </w:r>
    </w:p>
    <w:p>
      <w:pPr>
        <w:spacing w:after="0" w:line="15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1-13. </w:t>
      </w:r>
      <w:r>
        <w:rPr>
          <w:rFonts w:ascii="Times New Roman" w:cs="Times New Roman" w:eastAsia="Times New Roman" w:hAnsi="Times New Roman"/>
          <w:sz w:val="18"/>
          <w:szCs w:val="18"/>
          <w:i w:val="1"/>
          <w:iCs w:val="1"/>
          <w:u w:val="single" w:color="auto"/>
          <w:color w:val="auto"/>
        </w:rPr>
        <w:t>Election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“Election Period” means the annual election period during which Participants who are Designated Employees may enter into new Deferred Compensation Agreements in accordance with Article III and make such other elections as provided for in this Plan. Such annual election period shall be the period prior to the beginning of a Plan Year as specified by the Administration Committee and communicated to the Designated Employees.</w:t>
      </w:r>
    </w:p>
    <w:p>
      <w:pPr>
        <w:spacing w:after="0" w:line="180" w:lineRule="exact"/>
        <w:rPr>
          <w:sz w:val="20"/>
          <w:szCs w:val="20"/>
          <w:color w:val="auto"/>
        </w:rPr>
      </w:pPr>
    </w:p>
    <w:p>
      <w:pPr>
        <w:ind w:right="3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1-14. </w:t>
      </w:r>
      <w:r>
        <w:rPr>
          <w:rFonts w:ascii="Times New Roman" w:cs="Times New Roman" w:eastAsia="Times New Roman" w:hAnsi="Times New Roman"/>
          <w:sz w:val="18"/>
          <w:szCs w:val="18"/>
          <w:i w:val="1"/>
          <w:iCs w:val="1"/>
          <w:u w:val="single" w:color="auto"/>
          <w:color w:val="auto"/>
        </w:rPr>
        <w:t>Eligible Employee</w:t>
      </w:r>
      <w:r>
        <w:rPr>
          <w:rFonts w:ascii="Times New Roman" w:cs="Times New Roman" w:eastAsia="Times New Roman" w:hAnsi="Times New Roman"/>
          <w:sz w:val="18"/>
          <w:szCs w:val="18"/>
          <w:color w:val="auto"/>
        </w:rPr>
        <w:t xml:space="preserve"> . “Eligible Employee” means an Employee other than an Employee who is defined as a “Tucson Participant” in Appendix E of the TI Employees Pension Plan.</w:t>
      </w:r>
    </w:p>
    <w:p>
      <w:pPr>
        <w:spacing w:after="0" w:line="158" w:lineRule="exact"/>
        <w:rPr>
          <w:sz w:val="20"/>
          <w:szCs w:val="20"/>
          <w:color w:val="auto"/>
        </w:rPr>
      </w:pPr>
    </w:p>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1-15.</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Employee </w:t>
      </w:r>
      <w:r>
        <w:rPr>
          <w:rFonts w:ascii="Times New Roman" w:cs="Times New Roman" w:eastAsia="Times New Roman" w:hAnsi="Times New Roman"/>
          <w:sz w:val="17"/>
          <w:szCs w:val="17"/>
          <w:color w:val="auto"/>
        </w:rPr>
        <w:t>. “Employee” means any employee of TI or its Subsidiaries, whether full or part-time.</w:t>
      </w:r>
    </w:p>
    <w:p>
      <w:pPr>
        <w:spacing w:after="0" w:line="225"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1-16. </w:t>
      </w:r>
      <w:r>
        <w:rPr>
          <w:rFonts w:ascii="Times New Roman" w:cs="Times New Roman" w:eastAsia="Times New Roman" w:hAnsi="Times New Roman"/>
          <w:sz w:val="18"/>
          <w:szCs w:val="18"/>
          <w:i w:val="1"/>
          <w:iCs w:val="1"/>
          <w:u w:val="single" w:color="auto"/>
          <w:color w:val="auto"/>
        </w:rPr>
        <w:t>Employer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“Employer” means Texas Instruments Incorporated and any other corporation and any other member of the controlled group of corporations (as defined in Section 414(b) of the Code) which includes TI and which adopts the TI 401(k) Savings Plan or the TI Contribution and 401(k) Savings Plan, unless the controlled group member’s adopting resolutions specifically provide that while adopting the TI 401(k) Savings Plan or the TI Contribution and 401(k) Savings Plan, it is not adopting this Plan. In any event, among the Employers, TI shall have sole power to amend or terminate this Plan.</w:t>
      </w:r>
    </w:p>
    <w:p>
      <w:pPr>
        <w:spacing w:after="0" w:line="180" w:lineRule="exact"/>
        <w:rPr>
          <w:sz w:val="20"/>
          <w:szCs w:val="20"/>
          <w:color w:val="auto"/>
        </w:rPr>
      </w:pPr>
    </w:p>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1-17.</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ERISA </w:t>
      </w:r>
      <w:r>
        <w:rPr>
          <w:rFonts w:ascii="Times New Roman" w:cs="Times New Roman" w:eastAsia="Times New Roman" w:hAnsi="Times New Roman"/>
          <w:sz w:val="18"/>
          <w:szCs w:val="18"/>
          <w:color w:val="auto"/>
        </w:rPr>
        <w:t>. “ERISA” means the Employee Retirement Income Security Act of 1974, as amended.</w:t>
      </w:r>
    </w:p>
    <w:p>
      <w:pPr>
        <w:spacing w:after="0" w:line="225"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1-18. </w:t>
      </w:r>
      <w:r>
        <w:rPr>
          <w:rFonts w:ascii="Times New Roman" w:cs="Times New Roman" w:eastAsia="Times New Roman" w:hAnsi="Times New Roman"/>
          <w:sz w:val="18"/>
          <w:szCs w:val="18"/>
          <w:i w:val="1"/>
          <w:iCs w:val="1"/>
          <w:u w:val="single" w:color="auto"/>
          <w:color w:val="auto"/>
        </w:rPr>
        <w:t>Frozen Non-Qualified Pension Plan Deferrals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“Frozen Non-Qualified Pension Plan Deferrals” means amounts from the TI Employees Non-Qualified Pension Plan which was frozen as of December 31, 2004, attributable to deferrals of benefits which either (a) were credited prior to January 1, 2009 to the portion of a Participant’s Deferred Compensation Account composed of the deferred compensation account in the Frozen DCP, or (b) are payable from said frozen Employees Non-Qualified Pension Plan as of December 31, 2008 to the portion of a Participant’s Deferred Compensation Account composed of the deferred compensation account in the Frozen DCP, but which may not actually be credited to the Deferred Compensation Account until after January 1, 2009, plus earnings thereon.</w:t>
      </w:r>
    </w:p>
    <w:p>
      <w:pPr>
        <w:spacing w:after="0" w:line="183" w:lineRule="exact"/>
        <w:rPr>
          <w:sz w:val="20"/>
          <w:szCs w:val="20"/>
          <w:color w:val="auto"/>
        </w:rPr>
      </w:pPr>
    </w:p>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1-19.</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Participant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“Participant” means both an Active Participant and an Inactive Participant, as such terms are defined in this Section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7" w:lineRule="exact"/>
        <w:rPr>
          <w:sz w:val="20"/>
          <w:szCs w:val="20"/>
          <w:color w:val="auto"/>
        </w:rPr>
      </w:pPr>
    </w:p>
    <w:p>
      <w:pPr>
        <w:ind w:left="1120" w:hanging="594"/>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Participant” shall include:</w:t>
      </w:r>
    </w:p>
    <w:p>
      <w:pPr>
        <w:spacing w:after="0" w:line="225"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executes a Deferred Compensation Agreement for the current Plan Year in accordance with Article III hereof and who is not an “Inactive Participant” as defined in (ii) below; and</w:t>
      </w:r>
    </w:p>
    <w:p>
      <w:pPr>
        <w:spacing w:after="0" w:line="161" w:lineRule="exact"/>
        <w:rPr>
          <w:rFonts w:ascii="Times New Roman" w:cs="Times New Roman" w:eastAsia="Times New Roman" w:hAnsi="Times New Roman"/>
          <w:sz w:val="18"/>
          <w:szCs w:val="18"/>
          <w:color w:val="auto"/>
        </w:rPr>
      </w:pPr>
    </w:p>
    <w:p>
      <w:pPr>
        <w:ind w:left="2720" w:hanging="641"/>
        <w:spacing w:after="0"/>
        <w:tabs>
          <w:tab w:leader="none" w:pos="27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who is credited with an amount to his Benefit Restoration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4" w:name="page75"/>
    <w:bookmarkEnd w:id="74"/>
    <w:p>
      <w:pPr>
        <w:ind w:left="1180" w:hanging="654"/>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“Inactive Participant” shall include:</w:t>
      </w:r>
    </w:p>
    <w:p>
      <w:pPr>
        <w:spacing w:after="0" w:line="225" w:lineRule="exact"/>
        <w:rPr>
          <w:rFonts w:ascii="Times New Roman" w:cs="Times New Roman" w:eastAsia="Times New Roman" w:hAnsi="Times New Roman"/>
          <w:sz w:val="18"/>
          <w:szCs w:val="18"/>
          <w:color w:val="auto"/>
        </w:rPr>
      </w:pPr>
    </w:p>
    <w:p>
      <w:pPr>
        <w:ind w:left="1540" w:right="260" w:hanging="506"/>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Deferred Compensation Account, a Designated Employee who has a Deferred Compensation Account balance but who did not execute a Deferred Compensation Agreement for the current Plan Year in accordance with Article III hereof;</w:t>
      </w:r>
    </w:p>
    <w:p>
      <w:pPr>
        <w:spacing w:after="0" w:line="161"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has a Deferred Compensation Account balance, but who is no longer a Designated Employee;</w:t>
      </w:r>
    </w:p>
    <w:p>
      <w:pPr>
        <w:spacing w:after="0" w:line="225" w:lineRule="exact"/>
        <w:rPr>
          <w:rFonts w:ascii="Times New Roman" w:cs="Times New Roman" w:eastAsia="Times New Roman" w:hAnsi="Times New Roman"/>
          <w:sz w:val="18"/>
          <w:szCs w:val="18"/>
          <w:color w:val="auto"/>
        </w:rPr>
      </w:pPr>
    </w:p>
    <w:p>
      <w:pPr>
        <w:ind w:left="1540" w:right="440" w:hanging="506"/>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who has a Benefit Restoration Account balance, but who is not currently being credited with amounts to that account; and</w:t>
      </w:r>
    </w:p>
    <w:p>
      <w:pPr>
        <w:spacing w:after="0" w:line="161" w:lineRule="exact"/>
        <w:rPr>
          <w:rFonts w:ascii="Times New Roman" w:cs="Times New Roman" w:eastAsia="Times New Roman" w:hAnsi="Times New Roman"/>
          <w:sz w:val="18"/>
          <w:szCs w:val="18"/>
          <w:color w:val="auto"/>
        </w:rPr>
      </w:pPr>
    </w:p>
    <w:p>
      <w:pPr>
        <w:ind w:left="1540" w:right="100" w:hanging="506"/>
        <w:spacing w:after="0" w:line="261"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Employee who has a Deferred Compensation Account balance and/or a Benefit Restoration Account balance and who has experienced a “separation from service” as defined in Section 1.409A-1(h) of the Final Treasury Regulations under Section 409A of the Code, or any successor provision thereto, including any former Employees who were participants in the Frozen DCP and/or the New Plan.</w:t>
      </w:r>
    </w:p>
    <w:p>
      <w:pPr>
        <w:spacing w:after="0" w:line="178" w:lineRule="exact"/>
        <w:rPr>
          <w:sz w:val="20"/>
          <w:szCs w:val="20"/>
          <w:color w:val="auto"/>
        </w:rPr>
      </w:pPr>
    </w:p>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1-20.</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Plan Year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“Plan Year” means a calendar year.</w:t>
      </w:r>
    </w:p>
    <w:p>
      <w:pPr>
        <w:spacing w:after="0" w:line="225"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1-21. </w:t>
      </w:r>
      <w:r>
        <w:rPr>
          <w:rFonts w:ascii="Times New Roman" w:cs="Times New Roman" w:eastAsia="Times New Roman" w:hAnsi="Times New Roman"/>
          <w:sz w:val="18"/>
          <w:szCs w:val="18"/>
          <w:i w:val="1"/>
          <w:iCs w:val="1"/>
          <w:u w:val="single" w:color="auto"/>
          <w:color w:val="auto"/>
        </w:rPr>
        <w:t>Regular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“Regular Compensation” means a Designated Employee’s regular base salary (including straight time, holiday pay, timebank, jury duty, disability pay, workers compensation and military pay) relating to services performed for the Employer during any calendar year, but excluding commissions, bonuses, and any other incentive compensation.</w:t>
      </w:r>
    </w:p>
    <w:p>
      <w:pPr>
        <w:spacing w:after="0" w:line="174" w:lineRule="exact"/>
        <w:rPr>
          <w:sz w:val="20"/>
          <w:szCs w:val="20"/>
          <w:color w:val="auto"/>
        </w:rPr>
      </w:pPr>
    </w:p>
    <w:p>
      <w:pPr>
        <w:ind w:right="3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1-22. </w:t>
      </w:r>
      <w:r>
        <w:rPr>
          <w:rFonts w:ascii="Times New Roman" w:cs="Times New Roman" w:eastAsia="Times New Roman" w:hAnsi="Times New Roman"/>
          <w:sz w:val="18"/>
          <w:szCs w:val="18"/>
          <w:i w:val="1"/>
          <w:iCs w:val="1"/>
          <w:u w:val="single" w:color="auto"/>
          <w:color w:val="auto"/>
        </w:rPr>
        <w:t>Scheduled Distribution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“Scheduled Distribution Date” means the month and year designated by the Participant pursuant to Section 3-6.</w:t>
      </w:r>
    </w:p>
    <w:p>
      <w:pPr>
        <w:spacing w:after="0" w:line="158" w:lineRule="exact"/>
        <w:rPr>
          <w:sz w:val="20"/>
          <w:szCs w:val="20"/>
          <w:color w:val="auto"/>
        </w:rPr>
      </w:pPr>
    </w:p>
    <w:p>
      <w:pPr>
        <w:ind w:right="3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1-23. </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color w:val="auto"/>
        </w:rPr>
        <w:t xml:space="preserve"> .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15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1-24. </w:t>
      </w:r>
      <w:r>
        <w:rPr>
          <w:rFonts w:ascii="Times New Roman" w:cs="Times New Roman" w:eastAsia="Times New Roman" w:hAnsi="Times New Roman"/>
          <w:sz w:val="18"/>
          <w:szCs w:val="18"/>
          <w:i w:val="1"/>
          <w:iCs w:val="1"/>
          <w:u w:val="single" w:color="auto"/>
          <w:color w:val="auto"/>
        </w:rPr>
        <w:t>Year-End Performance Bonus</w:t>
      </w:r>
      <w:r>
        <w:rPr>
          <w:rFonts w:ascii="Times New Roman" w:cs="Times New Roman" w:eastAsia="Times New Roman" w:hAnsi="Times New Roman"/>
          <w:sz w:val="18"/>
          <w:szCs w:val="18"/>
          <w:color w:val="auto"/>
        </w:rPr>
        <w:t xml:space="preserve"> . “Year-End Performance Bonus” means a cash incentive award payable for a Plan Year under the Texas Instruments’ Executive Officer Performance Plan and performance bonuses payable under any Employer’s annual performance bonus plan, as amended from time to time, and any successor to such plan or program. Merit, retention, sales, completion, individual, team, signing, and other similar bonuses are not eligible for deferral as a “Year-End Performance Bonus.”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2-1.</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Eligibility </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1040" w:right="20" w:firstLine="474"/>
        <w:spacing w:after="0" w:line="256" w:lineRule="auto"/>
        <w:tabs>
          <w:tab w:leader="none" w:pos="21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eligibility to participate in a Deferred Compensation Account shall be limited to Employees on the U.S. payroll who are selected by, and at the sole discretion of, the Compensation Committee, the TI Senior Vice President responsible for Human Resources or such other individual designated by the Compensation Committee who represent a select group of management or highly-compensated employees of TI or its Subsidiaries, consistent with the Plan’s status under ERISA as a plan for a select group of management or highly compensated employees. An Employee selected to participate as provided in this paragraph will be eligible to participate in a Deferred Compensation Account in accordance with the provisions of Section 2-2 below as a Designated Employee.</w:t>
      </w:r>
    </w:p>
    <w:p>
      <w:pPr>
        <w:spacing w:after="0" w:line="187" w:lineRule="exact"/>
        <w:rPr>
          <w:rFonts w:ascii="Times New Roman" w:cs="Times New Roman" w:eastAsia="Times New Roman" w:hAnsi="Times New Roman"/>
          <w:sz w:val="18"/>
          <w:szCs w:val="18"/>
          <w:color w:val="auto"/>
        </w:rPr>
      </w:pPr>
    </w:p>
    <w:p>
      <w:pPr>
        <w:ind w:left="1040" w:firstLine="474"/>
        <w:spacing w:after="0" w:line="255" w:lineRule="auto"/>
        <w:tabs>
          <w:tab w:leader="none" w:pos="21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Employees shall be eligible to participate in a Benefit Restoration Account in accordance with the provisions of Section 2-3 or Section 2-4 below, provided the Compensation Committee, the TI Senior Vice President responsible for Human Resources or such other individual designated by the Compensation Committee has determined, in its or such individual’s sole discretion, that those Employees represent a select group of management or highly-compensated employees of TI or its Subsidiaries, consistent with the Plan’s status under ERISA as a plan for a select group of management or highly compensated employees. The participation of a Participant who has an amount credited to his Benefit Restoration Account pursuant to Section 2-3 or Section 2-4 shall be automatic. The participation of a Designated Employee in a Deferred Compensation Account is elective, as described below.</w:t>
      </w:r>
    </w:p>
    <w:p>
      <w:pPr>
        <w:spacing w:after="0" w:line="187"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2-2. </w:t>
      </w:r>
      <w:r>
        <w:rPr>
          <w:rFonts w:ascii="Times New Roman" w:cs="Times New Roman" w:eastAsia="Times New Roman" w:hAnsi="Times New Roman"/>
          <w:sz w:val="18"/>
          <w:szCs w:val="18"/>
          <w:i w:val="1"/>
          <w:iCs w:val="1"/>
          <w:u w:val="single" w:color="auto"/>
          <w:color w:val="auto"/>
        </w:rPr>
        <w:t>Participation in a Deferred Compensation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Designated Employee shall become a Participant in a Deferred Compensation Account by completing a Deferred Compensation Agreement in the manner and form (including without limitation, telephonic and electronic transmission, utilization of voice response systems and computer entry, to the extent such form is permissible under Section 409A of the Code) specified by the Administration Committee, and electing to defer Compensation as provided in Section 3-2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2-3.</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Participation in a Benefit Restoration Account for Participants in the TI Contribution and 401(k) Savings Plan </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1040" w:firstLine="474"/>
        <w:spacing w:after="0" w:line="261" w:lineRule="auto"/>
        <w:tabs>
          <w:tab w:leader="none" w:pos="21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will become a Participant in this Plan, and a Benefit Restoration Account in the name of the Participant will be credited with contributions not credited to such Participant’s “Contribution Account” under the TI Contribution and 401(k) Savings Plan for that Plan Year as of the date the limitations under Section 401(a)(17) of the Code and/or Section 415 of the Code are first applicable, so that allocations under the TI Contribution and 401(k) Savings Plan allocable to such account of such Participant are restricted.</w:t>
      </w:r>
    </w:p>
    <w:p>
      <w:pPr>
        <w:spacing w:after="0" w:line="180" w:lineRule="exact"/>
        <w:rPr>
          <w:rFonts w:ascii="Times New Roman" w:cs="Times New Roman" w:eastAsia="Times New Roman" w:hAnsi="Times New Roman"/>
          <w:sz w:val="18"/>
          <w:szCs w:val="18"/>
          <w:color w:val="auto"/>
        </w:rPr>
      </w:pPr>
    </w:p>
    <w:p>
      <w:pPr>
        <w:ind w:left="1040" w:firstLine="474"/>
        <w:spacing w:after="0" w:line="258" w:lineRule="auto"/>
        <w:tabs>
          <w:tab w:leader="none" w:pos="21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will become a Participant in this Plan, and a Benefit Restoration Account in the name of such Participant will be credited with “Employer 401(m) Contributions” not credited to the Participant’s “401(k) Account” under the TI Contribution and 401(k) Savings Plan for that Plan Year as of the date the limitations under Section 401(a)(17) and/or Section 415 of the Code first restrict contributions or allocations under the TI Contribution and 401(k) Savings Plan; provided that the Participant has made an election under the TI Contribution and 401(k) Savings Plan to defer the maximum amount of compensation permitted under Section 402(g) of the Code.</w:t>
      </w:r>
    </w:p>
    <w:p>
      <w:pPr>
        <w:spacing w:after="0" w:line="183" w:lineRule="exact"/>
        <w:rPr>
          <w:rFonts w:ascii="Times New Roman" w:cs="Times New Roman" w:eastAsia="Times New Roman" w:hAnsi="Times New Roman"/>
          <w:sz w:val="18"/>
          <w:szCs w:val="18"/>
          <w:color w:val="auto"/>
        </w:rPr>
      </w:pPr>
    </w:p>
    <w:p>
      <w:pPr>
        <w:ind w:left="1040" w:right="60" w:firstLine="474"/>
        <w:spacing w:after="0" w:line="255" w:lineRule="auto"/>
        <w:tabs>
          <w:tab w:leader="none" w:pos="22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Employee who otherwise is an Eligible Employee will become a Participant in this Plan and a Benefit Restoration Account in the name of the Participant will be credited with contributions not credited to the Participant’s “Contribution Account,” and with “Employer 401(m) Contributions” not credited to the Participant’s “401(k) Account” under the TI Contribution and 401(k) Savings Plan for that Plan Year because the Participant deferred Regular Compensation or deferred Year-End Performance Bonus under this Plan, as of the earliest date the deferred Regular Compensation or deferred Year-End Performance Bonus is credited to the Participant’s Deferred Compensation Account pursuant to Section 3-2 below; provided that no “Employer 401(m) Contributions” restoration shall be made unless the Participant has made an election under the TI Contribution and 401(k) Savings Plan to defer the maximum amount of compensation permitted under Section 402(g) of the Code.</w:t>
      </w:r>
    </w:p>
    <w:p>
      <w:pPr>
        <w:spacing w:after="0" w:line="18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Sec. 2-4. </w:t>
      </w:r>
      <w:r>
        <w:rPr>
          <w:rFonts w:ascii="Times New Roman" w:cs="Times New Roman" w:eastAsia="Times New Roman" w:hAnsi="Times New Roman"/>
          <w:sz w:val="18"/>
          <w:szCs w:val="18"/>
          <w:i w:val="1"/>
          <w:iCs w:val="1"/>
          <w:u w:val="single" w:color="auto"/>
          <w:color w:val="auto"/>
        </w:rPr>
        <w:t>Participation in a Benefit Restoration Account for Participants in the TI 401(k) Savings Plan</w:t>
      </w:r>
      <w:r>
        <w:rPr>
          <w:rFonts w:ascii="Times New Roman" w:cs="Times New Roman" w:eastAsia="Times New Roman" w:hAnsi="Times New Roman"/>
          <w:sz w:val="18"/>
          <w:szCs w:val="18"/>
          <w:color w:val="auto"/>
        </w:rPr>
        <w:t>. A Designated Employee who otherwise is an Eligible Employee will become a Participant in this Plan, and a Benefit 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Year-End Performance Bonus under this Plan, as of the earliest date the Regular Compensation or Year-End Performance Bonus is credited to the Participant’s Deferred Compensation Account pursuant to Section 3-2 below;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 Account</w:t>
      </w:r>
    </w:p>
    <w:p>
      <w:pPr>
        <w:spacing w:after="0" w:line="20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3-1. </w:t>
      </w:r>
      <w:r>
        <w:rPr>
          <w:rFonts w:ascii="Times New Roman" w:cs="Times New Roman" w:eastAsia="Times New Roman" w:hAnsi="Times New Roman"/>
          <w:sz w:val="18"/>
          <w:szCs w:val="18"/>
          <w:i w:val="1"/>
          <w:iCs w:val="1"/>
          <w:u w:val="single" w:color="auto"/>
          <w:color w:val="auto"/>
        </w:rPr>
        <w:t>Participant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TI shall maintain for each Participant an unfunded bookkeeping Deferred Compensation Account and/or Benefit Restoration Account to which shall be credited or debited all contributions and any earnings and losses that would have been incurred thereon if the Accounts had been invested as directed by the Participant or as otherwise so provided pursuant to this Article III. A Participant shall at all times have a fully vested and non-forfeitable right to the amounts credited to his Deferred Compensation Account under this Plan, subject to the distribution provisions and other requirements of this Plan. To the extent the Participant is vested in corresponding benefits under the TI 401(k) Savings Plan or the TI Contribution and 401(k) Savings Plan, the Participant shall be vested in the amounts credited to his Benefit Restoration Account, subject to the distribution provisions and other requirements of this Plan.</w:t>
      </w:r>
    </w:p>
    <w:p>
      <w:pPr>
        <w:spacing w:after="0" w:line="183"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3-2.</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Elections by Participants for Deferred Compensation Accounts </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1040" w:right="960" w:firstLine="474"/>
        <w:spacing w:after="0" w:line="282" w:lineRule="auto"/>
        <w:tabs>
          <w:tab w:leader="none" w:pos="21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Designated Employee may elect to participate in a Deferred Compensation Account by completing a Deferred Compensation Agreement during the Election Period.</w:t>
      </w:r>
    </w:p>
    <w:p>
      <w:pPr>
        <w:spacing w:after="0" w:line="161" w:lineRule="exact"/>
        <w:rPr>
          <w:rFonts w:ascii="Times New Roman" w:cs="Times New Roman" w:eastAsia="Times New Roman" w:hAnsi="Times New Roman"/>
          <w:sz w:val="18"/>
          <w:szCs w:val="18"/>
          <w:color w:val="auto"/>
        </w:rPr>
      </w:pPr>
    </w:p>
    <w:p>
      <w:pPr>
        <w:ind w:left="1040" w:right="40" w:firstLine="474"/>
        <w:spacing w:after="0" w:line="261" w:lineRule="auto"/>
        <w:tabs>
          <w:tab w:leader="none" w:pos="21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Employee who elects to participate in a Deferred Compensation Account may, during the applicable Election Period, elect to defer into a Deferred Compensation Account no more than 90% of the Designated Employee’s Year-End Performance Bonus that is earned in the upcoming Plan Year and paid in the following Plan Year. A Participant’s election to defer his Year-End Performance Bonus is irrevocable and shall become effective as of the first day of the Plan Year immediately following such Election Period.</w:t>
      </w:r>
    </w:p>
    <w:p>
      <w:pPr>
        <w:spacing w:after="0" w:line="180" w:lineRule="exact"/>
        <w:rPr>
          <w:rFonts w:ascii="Times New Roman" w:cs="Times New Roman" w:eastAsia="Times New Roman" w:hAnsi="Times New Roman"/>
          <w:sz w:val="18"/>
          <w:szCs w:val="18"/>
          <w:color w:val="auto"/>
        </w:rPr>
      </w:pPr>
    </w:p>
    <w:p>
      <w:pPr>
        <w:ind w:left="1040" w:right="320" w:firstLine="474"/>
        <w:spacing w:after="0" w:line="266" w:lineRule="auto"/>
        <w:tabs>
          <w:tab w:leader="none" w:pos="22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Employee who elects to participate in a Deferred Compensation Account may, during the applicable Election Period, elect to defer into the Deferred Compensation Account no more than 90% of the Designated Employee’s Cash Profit Sharing Compensation that is earned in the upcoming Plan Year and paid in the following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6" w:name="page77"/>
    <w:bookmarkEnd w:id="76"/>
    <w:p>
      <w:pPr>
        <w:ind w:left="1040"/>
        <w:spacing w:after="0" w:line="282" w:lineRule="auto"/>
        <w:rPr>
          <w:sz w:val="20"/>
          <w:szCs w:val="20"/>
          <w:color w:val="auto"/>
        </w:rPr>
      </w:pPr>
      <w:r>
        <w:rPr>
          <w:rFonts w:ascii="Times New Roman" w:cs="Times New Roman" w:eastAsia="Times New Roman" w:hAnsi="Times New Roman"/>
          <w:sz w:val="18"/>
          <w:szCs w:val="18"/>
          <w:color w:val="auto"/>
        </w:rPr>
        <w:t>Year. A Participant’s election to defer Cash Profit Sharing Compensation is irrevocable and shall become effective as of the first day of the Plan Year immediately following such Election Period.</w:t>
      </w:r>
    </w:p>
    <w:p>
      <w:pPr>
        <w:spacing w:after="0" w:line="162" w:lineRule="exact"/>
        <w:rPr>
          <w:sz w:val="20"/>
          <w:szCs w:val="20"/>
          <w:color w:val="auto"/>
        </w:rPr>
      </w:pPr>
    </w:p>
    <w:p>
      <w:pPr>
        <w:ind w:left="1040" w:right="20" w:firstLine="474"/>
        <w:spacing w:after="0" w:line="258" w:lineRule="auto"/>
        <w:tabs>
          <w:tab w:leader="none" w:pos="22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Employee who elects to participate in a Deferred Compensation Account may, during the applicable Election Period, elect to defer into the Deferred Compensation Account no more than 25% of the Designated Employee’s Regular Compensation (exclusive of his Year-End Performance Bonus and Cash Profit Sharing Compensation) to be earned in the upcoming Plan Year. A Participant’s election to defer Regular Compensation is irrevocable, and shall become effective for Compensation earned from and after the first day of the Plan Year immediately following such Election Period.</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Employer of a Participant shall credit to the Participant’s Deferred Compensation Account the amount of Compensation the Participant has elected to defer. Such amounts shall be credited as of the date the Compensation so deferred would otherwise have been paid to the Participant in the absence of the Participant’s deferral election.</w:t>
      </w:r>
    </w:p>
    <w:p>
      <w:pPr>
        <w:spacing w:after="0" w:line="174" w:lineRule="exact"/>
        <w:rPr>
          <w:sz w:val="20"/>
          <w:szCs w:val="20"/>
          <w:color w:val="auto"/>
        </w:rPr>
      </w:pPr>
    </w:p>
    <w:p>
      <w:pPr>
        <w:ind w:right="4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3-3. </w:t>
      </w:r>
      <w:r>
        <w:rPr>
          <w:rFonts w:ascii="Times New Roman" w:cs="Times New Roman" w:eastAsia="Times New Roman" w:hAnsi="Times New Roman"/>
          <w:sz w:val="18"/>
          <w:szCs w:val="18"/>
          <w:i w:val="1"/>
          <w:iCs w:val="1"/>
          <w:u w:val="single" w:color="auto"/>
          <w:color w:val="auto"/>
        </w:rPr>
        <w:t>Benefit Restoration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Employer of a Participant who is an Eligible Employee shall credit to the Benefit Restoration Account of such Participant all of the following that apply:</w:t>
      </w:r>
    </w:p>
    <w:p>
      <w:pPr>
        <w:spacing w:after="0" w:line="160" w:lineRule="exact"/>
        <w:rPr>
          <w:sz w:val="20"/>
          <w:szCs w:val="20"/>
          <w:color w:val="auto"/>
        </w:rPr>
      </w:pPr>
    </w:p>
    <w:p>
      <w:pPr>
        <w:jc w:val="both"/>
        <w:ind w:left="1040" w:right="220" w:hanging="519"/>
        <w:spacing w:after="0" w:line="26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contributions not credited to such Participant’s “Contribution Account” under the TI Contribution and 401(k) Savings Plan for that Plan Year due to the limitations under Section 401(a)(17) of the Code and/or Section 415 of the Code or because the Participant deferred compensation pursuant to Section 3-2 above;</w:t>
      </w:r>
    </w:p>
    <w:p>
      <w:pPr>
        <w:spacing w:after="0" w:line="176"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“Employer 401(m) Contributions” which would have been made but which were not made and credited to the “401(k) Account” under the TI Contribution and 401(k) Savings Plan because of the application of Section 401(a)(17) and/or Section 415 of the Code or because the Participant deferred compensation pursuant to Section 3-2 above; provided that the Participant has made an election under the TI Contribution and 401(k) Savings Plan to defer the maximum amount of compensation permitted under Section 402(g) of the Code; and/or</w:t>
      </w:r>
    </w:p>
    <w:p>
      <w:pPr>
        <w:spacing w:after="0" w:line="180" w:lineRule="exact"/>
        <w:rPr>
          <w:rFonts w:ascii="Times New Roman" w:cs="Times New Roman" w:eastAsia="Times New Roman" w:hAnsi="Times New Roman"/>
          <w:sz w:val="18"/>
          <w:szCs w:val="18"/>
          <w:color w:val="auto"/>
        </w:rPr>
      </w:pPr>
    </w:p>
    <w:p>
      <w:pPr>
        <w:ind w:left="1040" w:right="140" w:hanging="519"/>
        <w:spacing w:after="0" w:line="220" w:lineRule="exact"/>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“Matched Savings Contribution” under the TI 401(k) Savings Plan which would have been credited but which was not credited under the TI 401(k) Savings Plan solely because the Designated Employee deferred compensation pursuant to Section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above,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Designated Employee’s Compensation during the Plan Year as limited by Section 401(a)(17) of the Code.</w:t>
      </w:r>
    </w:p>
    <w:p>
      <w:pPr>
        <w:spacing w:after="0" w:line="196"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Sec. 3-4. </w:t>
      </w:r>
      <w:r>
        <w:rPr>
          <w:rFonts w:ascii="Times New Roman" w:cs="Times New Roman" w:eastAsia="Times New Roman" w:hAnsi="Times New Roman"/>
          <w:sz w:val="18"/>
          <w:szCs w:val="18"/>
          <w:i w:val="1"/>
          <w:iCs w:val="1"/>
          <w:u w:val="single" w:color="auto"/>
          <w:color w:val="auto"/>
        </w:rPr>
        <w:t>Investment Performance of Contributions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soon as the Administration Committee determines that it is administratively feasible, a Participant may direct the Administration Committee to value amounts deferred or credited for that Plan Year to each of (1) the portion of the Deferred Compensation Account attributable to deferrals provided for in Sections 3-2(ii) and (iii), if applicable, (2) the portion of the Deferred Compensation Account attributable to deferrals provided for in Section 3-2(iv), if applicable, and (3) the Benefit Restoration Account for such Participant pursuant to Section 3-3, if applicable, so as to reflect the performance of any of the participant investment funds authorized under the TI Contribution and 401(k) Savings Plan. In the case of elections of amounts deferred pursuant to Section 3-2 for any Plan Year and amounts credited for any Plan Year to a Benefit Restoration Account of a Participant, the participant investment funds available under this Plan shall exclude the TI Stock Fund and the Self Directed Brokerage Account as defined in said TI Contribution and 401(k) Savings Plan. In the case of the portion of the Deferred Compensation Accounts and the Benefit Restoration Accounts attributable to the New Plan, the TI Stock Fund and the Self Directed Brokerage Account shall be excluded, and in the case of the portion of the Deferred Compensation Accounts and the Benefit Restoration Accounts attributable to the Frozen DCP, the Self Directed Brokerage Account shall be excluded. Subject to the provisions of this Section 3-4, separate directions may be made with respect to amounts already credited to a Participant’s Accounts and, in the case of the Deferred Compensation Account, with respect to amounts to be credited in the future.</w:t>
      </w:r>
    </w:p>
    <w:p>
      <w:pPr>
        <w:spacing w:after="0" w:line="19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If a Participant has not made investment performance directions for that Plan Year for an amount credited to any of the portions of that Participant’s Deferred Compensation Account or his Benefit Restoration Account for that Plan Year pursuant to the foregoing provisions of this Section 3-4, then such amount shall reflect the performance of the Lifestyle 2010 Fund or such other low risk investment fund as selected by the Retirement Investment Committee provided for in the TI Contribution and 401(k) Savings Plan.</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Section 3-4, with respect to the portion of the Deferred Compensation Accounts and the Benefit Restoration Accounts attributable to the Frozen DCP and the portion in those Accounts attributable to the New Plan, investment in the TI Stock Fund shall be subject to the following limitations:</w:t>
      </w:r>
    </w:p>
    <w:p>
      <w:pPr>
        <w:spacing w:after="0" w:line="176" w:lineRule="exact"/>
        <w:rPr>
          <w:sz w:val="20"/>
          <w:szCs w:val="20"/>
          <w:color w:val="auto"/>
        </w:rPr>
      </w:pPr>
    </w:p>
    <w:p>
      <w:pPr>
        <w:ind w:left="1040" w:right="6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permitted to direct that any additional amounts in the portion of his Accounts attributable to the Frozen DCP or the New Plan reflect the performance of the TI Stock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TI Stock shall be reinvested in the TI Stock Fund; and</w:t>
      </w:r>
    </w:p>
    <w:p>
      <w:pPr>
        <w:spacing w:after="0" w:line="225" w:lineRule="exact"/>
        <w:rPr>
          <w:rFonts w:ascii="Times New Roman" w:cs="Times New Roman" w:eastAsia="Times New Roman" w:hAnsi="Times New Roman"/>
          <w:sz w:val="18"/>
          <w:szCs w:val="18"/>
          <w:color w:val="auto"/>
        </w:rPr>
      </w:pPr>
    </w:p>
    <w:p>
      <w:pPr>
        <w:ind w:left="1040" w:right="60" w:hanging="519"/>
        <w:spacing w:after="0" w:line="25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January 1, 2010, Participants who have amounts in their Accounts attributable to the Frozen DCP or the New Plan shall no longer be permitted to direct that any of such amounts reflect the performance of the TI Stock Fund, and the TI Stock Fund shall be removed as an investment performance fund alternative which is available under this Plan with respect to the portion of their Accounts attributable to the Frozen DCP or the New Plan. Prior to January 1, 2010, the Administration Committee shall establish procedures for redirecting amounts which have been directed to reflect the performance of the TI Stock Fund into one of the other investment performance fund alternatives available under the Plan.</w:t>
      </w:r>
    </w:p>
    <w:p>
      <w:pPr>
        <w:spacing w:after="0" w:line="188"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Participant investment performance directions for a Plan Year may be made not more often than once each day. Each such direction which conforms to the terms and conditions specified by the Administration Committee shall be effective as soon as practicable after it is made and shall continue in effect until revoked or modified by a new direction.</w:t>
      </w:r>
    </w:p>
    <w:p>
      <w:pPr>
        <w:spacing w:after="0" w:line="17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3-5. </w:t>
      </w:r>
      <w:r>
        <w:rPr>
          <w:rFonts w:ascii="Times New Roman" w:cs="Times New Roman" w:eastAsia="Times New Roman" w:hAnsi="Times New Roman"/>
          <w:sz w:val="18"/>
          <w:szCs w:val="18"/>
          <w:i w:val="1"/>
          <w:iCs w:val="1"/>
          <w:u w:val="single" w:color="auto"/>
          <w:color w:val="auto"/>
        </w:rPr>
        <w:t>Withdrawal of Contributions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Participant may not withdraw funds credited to the Participant’s Deferred Compensation Account and Benefit Restoration Account unless the Participant has an Unforeseeable Emergency. An “Unforeseeable Emergency” is a severe financial hardship to the Participant resulting from (a) an illness or accident of the Participant, or the Participant’s spouse, Beneficiary, or dependent (as defined in Section 152 of the Code, without regard to Sections 152(b)(1), (b)(2), and (d)(1)(B) of the Code), (b) loss of the Participant’s property due to casualty, or (c) other similar extraordinary and unforeseeable circumstances arising as a result of events beyond the Participant’s control, all as determined by the Administration Committee based on the relevant facts and circumstances and as provided for in Treas. Reg. §1.409A-3(i)(3) or any successor provision. Examples of potential Unforeseeable Emergencies include the following:</w:t>
      </w:r>
    </w:p>
    <w:p>
      <w:pPr>
        <w:spacing w:after="0" w:line="185"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rebuild a home following damage to a home not otherwise covered by insurance;</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imminent foreclosure of or eviction from the Participant’s primary residence;</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pay for medical expenses, including nonrefundable deductibles, as well as for the costs of prescription drug medication; and</w:t>
      </w:r>
    </w:p>
    <w:p>
      <w:pPr>
        <w:spacing w:after="0" w:line="225"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pay for funeral expenses of a spouse, a Beneficiary, or a dependent (as defined in Section 152 of the Code, without regard to Sections 152(b)(1), (b)(2), and (d)(1)(B) of the Code).</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Whether a Participant is faced with an Unforeseeable Emergency under the Plan is to be determined based on the relevant facts and circumstances of each case, but in any case, a withdrawal on account of an Unforeseeable Emergency may not be made to the extent that such emergency is or may be relieved</w:t>
      </w:r>
    </w:p>
    <w:p>
      <w:pPr>
        <w:ind w:right="320" w:firstLine="8"/>
        <w:spacing w:after="0" w:line="261"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Administration Committee, in its sole discretion. The Participant must apply in writing for a payment upon an “Unforeseeable Emergency,” using the form prescribed by the Administration Committee. The Administration Committee retains the sole and absolute discretion to grant or deny a payment upon an Unforeseeable Emergency. Payment of any amount withdrawn under this Section 3-5 shall be made as soon as administratively possible but in no event more than ninety (90) days following the determination of an Unforeseeable Emergency by the Administration Committee. A Participant’s deferrals shall not cease following a payment upon an Unforeseeable Emergency.</w:t>
      </w:r>
    </w:p>
    <w:p>
      <w:pPr>
        <w:spacing w:after="0" w:line="187"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3-6.</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Scheduled Distribution Dates and Forms for Payment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Subject to Sections 3-7, 3-8 and 3-11:</w:t>
      </w:r>
    </w:p>
    <w:p>
      <w:pPr>
        <w:spacing w:after="0" w:line="227" w:lineRule="exact"/>
        <w:rPr>
          <w:sz w:val="20"/>
          <w:szCs w:val="20"/>
          <w:color w:val="auto"/>
        </w:rPr>
      </w:pPr>
    </w:p>
    <w:p>
      <w:pPr>
        <w:ind w:left="1000" w:right="160" w:hanging="452"/>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otherwise provided in this Section 3-6, each Election Period each Designated Employee shall elect separate Scheduled Distribution Dates for distribution of the amounts, if any, credited during the Plan Year to which the Election Period relates, for each of (1) the portion of the Deferred Compensation Account attributable to deferrals provided for in Sections 3-2(ii) and (iii), and (2) the portion of the Deferred Compensation Account attributable to deferrals provided for in Section 3-2(iv), and the Benefit Restoration Account for such Designated Employee pursuant to Section 3-3, along with the earnings on such amounts; provided, however, that any Scheduled Distribution Date designated by such Designated Employee shall be no earlier than two (2) years following the end of the Plan Year to which such designation relates;</w:t>
      </w:r>
    </w:p>
    <w:p>
      <w:pPr>
        <w:spacing w:after="0" w:line="189" w:lineRule="exact"/>
        <w:rPr>
          <w:rFonts w:ascii="Times New Roman" w:cs="Times New Roman" w:eastAsia="Times New Roman" w:hAnsi="Times New Roman"/>
          <w:sz w:val="18"/>
          <w:szCs w:val="18"/>
          <w:color w:val="auto"/>
        </w:rPr>
      </w:pPr>
    </w:p>
    <w:p>
      <w:pPr>
        <w:ind w:left="1040" w:right="120" w:firstLine="474"/>
        <w:spacing w:after="0" w:line="258" w:lineRule="auto"/>
        <w:tabs>
          <w:tab w:leader="none" w:pos="215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Election Period beginning on or after November 1, 2008 and ending on or prior to December 31, 2008, for any Participant who had amounts credited to one or both of his Accounts in the New Plan for the 2005 through 2008 Plan Years, such Participant had the right to elect, during such Election Period a single Scheduled Distribution Date (which shall be no earlier than July, 2010) for all such amounts, if any, credited during those Plan Years prior to 2009 to the Deferred Compensation Account and the Benefit Restoration Account for such Participant, along with the earnings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519"/>
        <w:spacing w:after="0" w:line="256" w:lineRule="auto"/>
        <w:rPr>
          <w:sz w:val="20"/>
          <w:szCs w:val="20"/>
          <w:color w:val="auto"/>
        </w:rPr>
      </w:pPr>
      <w:r>
        <w:rPr>
          <w:rFonts w:ascii="Times New Roman" w:cs="Times New Roman" w:eastAsia="Times New Roman" w:hAnsi="Times New Roman"/>
          <w:sz w:val="18"/>
          <w:szCs w:val="18"/>
          <w:color w:val="auto"/>
        </w:rPr>
        <w:t>amounts. The election described in this paragraph (b) was intended to comply, where applicable, with the transition relief provided, with respect to Section 409A of the Code by (1) Notice 2005-1, Q&amp;A 19(c) issued by the Internal Revenue Service (“IRS”) and the U.S. Department of the Treasury, (2) the IRS Proposed Regulations under Section 409A of the Code published on October 4, 2005, (3) Notice 2006-79 issued by the IRS and the U.S. Department of the Treasury, (4) the IRS Final Regulations under Section 409A of the Code effective April 17, 2007, and (5) Notice 2007-86 issued by the IRS and the U.S. Department of the Treasury (collectively, the “409A Transition Relief”) and shall be interpreted in all respects to be consistent with and in compliance with the 409A Transition Relief;</w:t>
      </w:r>
    </w:p>
    <w:p>
      <w:pPr>
        <w:spacing w:after="0" w:line="188" w:lineRule="exact"/>
        <w:rPr>
          <w:sz w:val="20"/>
          <w:szCs w:val="20"/>
          <w:color w:val="auto"/>
        </w:rPr>
      </w:pPr>
    </w:p>
    <w:p>
      <w:pPr>
        <w:ind w:left="519" w:right="20" w:firstLine="474"/>
        <w:spacing w:after="0" w:line="255" w:lineRule="auto"/>
        <w:tabs>
          <w:tab w:leader="none" w:pos="16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Election Period beginning on or after November 1, 2008 and ending on or prior to December 31, 2008 for any Participant who had amounts credited to one or both of his Accounts in the New Plan on November 1, 2008 which are attributable to amounts from the merged Frozen DCP, such Participant was entitled to elect during such Election Period a single Scheduled Distribution Date (which shall be no earlier than July, 2010) for all such amounts, if any, attributable to the Frozen DCP as of November 1, 2008 and credited to the Deferred Compensation Account and the Benefit Restoration Account for such Participant, along with the earnings on such amounts. The election described in this paragraph (c) was intended to comply, where applicable, with the 409A Transition Relief and shall be interpreted in all respects to be consistent with and in compliance with the 409A Transition Relief. Such election shall not apply to the Frozen Non-Qualified Pension Plan Deferrals;</w:t>
      </w:r>
    </w:p>
    <w:p>
      <w:pPr>
        <w:spacing w:after="0" w:line="185" w:lineRule="exact"/>
        <w:rPr>
          <w:rFonts w:ascii="Times New Roman" w:cs="Times New Roman" w:eastAsia="Times New Roman" w:hAnsi="Times New Roman"/>
          <w:sz w:val="18"/>
          <w:szCs w:val="18"/>
          <w:color w:val="auto"/>
        </w:rPr>
      </w:pPr>
    </w:p>
    <w:p>
      <w:pPr>
        <w:ind w:left="519" w:right="20" w:firstLine="474"/>
        <w:spacing w:after="0" w:line="261" w:lineRule="auto"/>
        <w:tabs>
          <w:tab w:leader="none" w:pos="16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elections provided for in this Section 3-6(i)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Section 3-6(ii) and (iii) below. Any such election shall remain in effect until a subsequent distribution election, if any, becomes effective;</w:t>
      </w:r>
    </w:p>
    <w:p>
      <w:pPr>
        <w:spacing w:after="0" w:line="180" w:lineRule="exact"/>
        <w:rPr>
          <w:rFonts w:ascii="Times New Roman" w:cs="Times New Roman" w:eastAsia="Times New Roman" w:hAnsi="Times New Roman"/>
          <w:sz w:val="18"/>
          <w:szCs w:val="18"/>
          <w:color w:val="auto"/>
        </w:rPr>
      </w:pPr>
    </w:p>
    <w:p>
      <w:pPr>
        <w:ind w:left="519" w:right="320" w:firstLine="474"/>
        <w:spacing w:after="0" w:line="266" w:lineRule="auto"/>
        <w:tabs>
          <w:tab w:leader="none" w:pos="16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Distribution Date from and after January 1, 2009 for any amount credited during a Plan Year to the Benefit Restoration Account of a Participant who is not a Designated Employee for that Plan Year is the January of the 3 rd Plan Year following the Plan Year in which such amount is credited to such Account;</w:t>
      </w:r>
    </w:p>
    <w:p>
      <w:pPr>
        <w:spacing w:after="0" w:line="176" w:lineRule="exact"/>
        <w:rPr>
          <w:rFonts w:ascii="Times New Roman" w:cs="Times New Roman" w:eastAsia="Times New Roman" w:hAnsi="Times New Roman"/>
          <w:sz w:val="18"/>
          <w:szCs w:val="18"/>
          <w:color w:val="auto"/>
        </w:rPr>
      </w:pPr>
    </w:p>
    <w:p>
      <w:pPr>
        <w:ind w:left="519" w:right="120" w:firstLine="474"/>
        <w:spacing w:after="0" w:line="282" w:lineRule="auto"/>
        <w:tabs>
          <w:tab w:leader="none" w:pos="16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3-6(i), in no event shall the Scheduled Distribution Date designated by any Participant be later than the month in which such Participant attains age seventy-five (75).</w:t>
      </w:r>
    </w:p>
    <w:p>
      <w:pPr>
        <w:spacing w:after="0" w:line="161" w:lineRule="exact"/>
        <w:rPr>
          <w:rFonts w:ascii="Times New Roman" w:cs="Times New Roman" w:eastAsia="Times New Roman" w:hAnsi="Times New Roman"/>
          <w:sz w:val="18"/>
          <w:szCs w:val="18"/>
          <w:color w:val="auto"/>
        </w:rPr>
      </w:pPr>
    </w:p>
    <w:p>
      <w:pPr>
        <w:ind w:left="519" w:right="700" w:hanging="519"/>
        <w:spacing w:after="0" w:line="282" w:lineRule="auto"/>
        <w:tabs>
          <w:tab w:leader="none" w:pos="5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elections provided for in Section 3-6(i), a Participant shall elect to receive distribution of the amounts credited to his Accounts for the applicable Scheduled Distribution Date in one of the following forms:</w:t>
      </w:r>
    </w:p>
    <w:p>
      <w:pPr>
        <w:spacing w:after="0" w:line="161" w:lineRule="exact"/>
        <w:rPr>
          <w:rFonts w:ascii="Times New Roman" w:cs="Times New Roman" w:eastAsia="Times New Roman" w:hAnsi="Times New Roman"/>
          <w:sz w:val="18"/>
          <w:szCs w:val="18"/>
          <w:color w:val="auto"/>
        </w:rPr>
      </w:pPr>
    </w:p>
    <w:p>
      <w:pPr>
        <w:ind w:left="1619" w:hanging="626"/>
        <w:spacing w:after="0"/>
        <w:tabs>
          <w:tab w:leader="none" w:pos="16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payable during the Participant’s Scheduled Distribution Date;</w:t>
      </w:r>
    </w:p>
    <w:p>
      <w:pPr>
        <w:spacing w:after="0" w:line="225" w:lineRule="exact"/>
        <w:rPr>
          <w:rFonts w:ascii="Times New Roman" w:cs="Times New Roman" w:eastAsia="Times New Roman" w:hAnsi="Times New Roman"/>
          <w:sz w:val="18"/>
          <w:szCs w:val="18"/>
          <w:color w:val="auto"/>
        </w:rPr>
      </w:pPr>
    </w:p>
    <w:p>
      <w:pPr>
        <w:ind w:left="519" w:right="140" w:firstLine="474"/>
        <w:spacing w:after="0" w:line="266" w:lineRule="auto"/>
        <w:tabs>
          <w:tab w:leader="none" w:pos="163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to be paid over five (5) consecutive years, with the first installment being paid during the Participant’s Scheduled Distribution Date, and the subsequent installments being paid during the next four (4) anniversaries of such Scheduled Distribution Date; or</w:t>
      </w:r>
    </w:p>
    <w:p>
      <w:pPr>
        <w:spacing w:after="0" w:line="176" w:lineRule="exact"/>
        <w:rPr>
          <w:rFonts w:ascii="Times New Roman" w:cs="Times New Roman" w:eastAsia="Times New Roman" w:hAnsi="Times New Roman"/>
          <w:sz w:val="18"/>
          <w:szCs w:val="18"/>
          <w:color w:val="auto"/>
        </w:rPr>
      </w:pPr>
    </w:p>
    <w:p>
      <w:pPr>
        <w:ind w:left="519" w:right="140" w:firstLine="474"/>
        <w:spacing w:after="0" w:line="266" w:lineRule="auto"/>
        <w:tabs>
          <w:tab w:leader="none" w:pos="16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to be paid over ten (10) consecutive years, with the first installment being paid during the Participant’s Scheduled Distribution Date, and the subsequent installments being paid during the next nine (9) anniversaries of such Scheduled Distribution Date.</w:t>
      </w:r>
    </w:p>
    <w:p>
      <w:pPr>
        <w:spacing w:after="0" w:line="176" w:lineRule="exact"/>
        <w:rPr>
          <w:sz w:val="20"/>
          <w:szCs w:val="20"/>
          <w:color w:val="auto"/>
        </w:rPr>
      </w:pPr>
    </w:p>
    <w:p>
      <w:pPr>
        <w:ind w:left="519" w:right="80" w:hanging="519"/>
        <w:spacing w:after="0" w:line="254" w:lineRule="auto"/>
        <w:tabs>
          <w:tab w:leader="none" w:pos="5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fails or refuses to make an election of either the date or form of payment for any Plan Year pursuant to Sections 3-6(i)(a) and/or (ii), the amounts credited to such Participant’s Accounts for such Plan Year shall be paid in a lump sum, in the case of a failure to elect a form of payment, and in January of the third (3rd ) Plan Year following such Plan Year, in the case of a failure to elect a date of payment. If a Participant fails or refuses to make an election of either the date or form of payment pursuant to Sections 3-6(i)(b) and/or (i)(c) and 3-6(ii), the amounts credited to such Participant’s Accounts attributable to the Frozen DCP or the New Plan for the 2005 through 2008 Plan Years shall be paid (a) in the case of any Participant not described in clause (b) or (c) below, in a lump sum in January, 2012, (b) in the case of any Participant whose election under the Frozen DCP or the New Plan, as the case may be, (the “Previous Election”) provided for a lump sum payment upon attainment of age 60 or 65 in 2009, in a lump sum on the date in 2009 when such Participant attains age 60 or 65, and (c) in the case of any Participant in the Frozen DCP whose scheduled date of distribution, determined as of November 1, 2008, was to occur in 2009, on such scheduled date in 2009 in the form of payment set forth in such Participant’s Previous Election.</w:t>
      </w:r>
    </w:p>
    <w:p>
      <w:pPr>
        <w:spacing w:after="0" w:line="186" w:lineRule="exact"/>
        <w:rPr>
          <w:rFonts w:ascii="Times New Roman" w:cs="Times New Roman" w:eastAsia="Times New Roman" w:hAnsi="Times New Roman"/>
          <w:sz w:val="18"/>
          <w:szCs w:val="18"/>
          <w:color w:val="auto"/>
        </w:rPr>
      </w:pPr>
    </w:p>
    <w:p>
      <w:pPr>
        <w:ind w:left="519" w:right="300" w:hanging="519"/>
        <w:spacing w:after="0" w:line="282" w:lineRule="auto"/>
        <w:tabs>
          <w:tab w:leader="none" w:pos="5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credited during a Plan Year to the Benefit Restoration Account of a Participant who is not a Designated Employee for that Plan Year shall be distributed in a lump sum.</w:t>
      </w:r>
    </w:p>
    <w:p>
      <w:pPr>
        <w:spacing w:after="0" w:line="161" w:lineRule="exact"/>
        <w:rPr>
          <w:rFonts w:ascii="Times New Roman" w:cs="Times New Roman" w:eastAsia="Times New Roman" w:hAnsi="Times New Roman"/>
          <w:sz w:val="18"/>
          <w:szCs w:val="18"/>
          <w:color w:val="auto"/>
        </w:rPr>
      </w:pPr>
    </w:p>
    <w:p>
      <w:pPr>
        <w:ind w:left="519" w:right="440" w:hanging="519"/>
        <w:spacing w:after="0" w:line="266" w:lineRule="auto"/>
        <w:tabs>
          <w:tab w:leader="none" w:pos="5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Scheduled Distribution Date and/or form of distribution from Accounts, whether previously elected or otherwise specified, may be revoked and a new election substituted therefore at any time as permitted by the Administration Committee. A Participant may change the Scheduled Distribution Date and/or form of distribution from the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41910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99"/>
          </w:cols>
          <w:pgMar w:left="761" w:top="337" w:right="239" w:bottom="1440" w:gutter="0" w:footer="0" w:header="0"/>
        </w:sectPr>
      </w:pPr>
    </w:p>
    <w:bookmarkStart w:id="79" w:name="page80"/>
    <w:bookmarkEnd w:id="79"/>
    <w:p>
      <w:pPr>
        <w:ind w:left="1040"/>
        <w:spacing w:after="0"/>
        <w:rPr>
          <w:sz w:val="20"/>
          <w:szCs w:val="20"/>
          <w:color w:val="auto"/>
        </w:rPr>
      </w:pPr>
      <w:r>
        <w:rPr>
          <w:rFonts w:ascii="Times New Roman" w:cs="Times New Roman" w:eastAsia="Times New Roman" w:hAnsi="Times New Roman"/>
          <w:sz w:val="18"/>
          <w:szCs w:val="18"/>
          <w:color w:val="auto"/>
        </w:rPr>
        <w:t>Distribution Date and/or form first elected or specified to another Scheduled Distribution Date and/or form provided for in Section 3-6(i) and</w:t>
      </w:r>
    </w:p>
    <w:p>
      <w:pPr>
        <w:spacing w:after="0" w:line="27" w:lineRule="exact"/>
        <w:rPr>
          <w:sz w:val="20"/>
          <w:szCs w:val="20"/>
          <w:color w:val="auto"/>
        </w:rPr>
      </w:pPr>
    </w:p>
    <w:p>
      <w:pPr>
        <w:ind w:left="1300" w:hanging="266"/>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 appropriate election form to the Administration Committee in accordance with the following criteria:</w:t>
      </w:r>
    </w:p>
    <w:p>
      <w:pPr>
        <w:spacing w:after="0" w:line="206" w:lineRule="exact"/>
        <w:rPr>
          <w:rFonts w:ascii="Times New Roman" w:cs="Times New Roman" w:eastAsia="Times New Roman" w:hAnsi="Times New Roman"/>
          <w:sz w:val="18"/>
          <w:szCs w:val="18"/>
          <w:color w:val="auto"/>
        </w:rPr>
      </w:pPr>
    </w:p>
    <w:p>
      <w:pPr>
        <w:ind w:left="2140" w:hanging="626"/>
        <w:spacing w:after="0"/>
        <w:tabs>
          <w:tab w:leader="none" w:pos="21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election shall not take effect until at least twelve (12) months after the date on which the new election is made;</w:t>
      </w:r>
    </w:p>
    <w:p>
      <w:pPr>
        <w:spacing w:after="0" w:line="225" w:lineRule="exact"/>
        <w:rPr>
          <w:rFonts w:ascii="Times New Roman" w:cs="Times New Roman" w:eastAsia="Times New Roman" w:hAnsi="Times New Roman"/>
          <w:sz w:val="18"/>
          <w:szCs w:val="18"/>
          <w:color w:val="auto"/>
        </w:rPr>
      </w:pPr>
    </w:p>
    <w:p>
      <w:pPr>
        <w:jc w:val="both"/>
        <w:ind w:left="1040" w:right="300" w:firstLine="474"/>
        <w:spacing w:after="0" w:line="282" w:lineRule="auto"/>
        <w:tabs>
          <w:tab w:leader="none" w:pos="215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election must include a Scheduled Distribution Date which is at least five (5) years after the Scheduled Distribution Date (as determined in accordance with the Final Regulations under Section 409A of the Code) that otherwise would have been applicable;</w:t>
      </w:r>
    </w:p>
    <w:p>
      <w:pPr>
        <w:spacing w:after="0" w:line="161" w:lineRule="exact"/>
        <w:rPr>
          <w:rFonts w:ascii="Times New Roman" w:cs="Times New Roman" w:eastAsia="Times New Roman" w:hAnsi="Times New Roman"/>
          <w:sz w:val="18"/>
          <w:szCs w:val="18"/>
          <w:color w:val="auto"/>
        </w:rPr>
      </w:pPr>
    </w:p>
    <w:p>
      <w:pPr>
        <w:ind w:left="1040" w:right="100" w:firstLine="474"/>
        <w:spacing w:after="0" w:line="261" w:lineRule="auto"/>
        <w:tabs>
          <w:tab w:leader="none" w:pos="214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must be made at least twelve (12) months prior to the Scheduled Distribution Date that otherwise would have been applicable. For purposes of applying the provisions of this Section 3-6(v), a Participant’s election to change the Scheduled Distribution Date and/or form of distribution shall not be considered to be made until the date on which the election becomes irrevocable. Such election shall become irrevocable when it is received by the Administration Committee; and</w:t>
      </w:r>
    </w:p>
    <w:p>
      <w:pPr>
        <w:spacing w:after="0" w:line="180" w:lineRule="exact"/>
        <w:rPr>
          <w:rFonts w:ascii="Times New Roman" w:cs="Times New Roman" w:eastAsia="Times New Roman" w:hAnsi="Times New Roman"/>
          <w:sz w:val="18"/>
          <w:szCs w:val="18"/>
          <w:color w:val="auto"/>
        </w:rPr>
      </w:pPr>
    </w:p>
    <w:p>
      <w:pPr>
        <w:ind w:left="1040" w:right="40" w:firstLine="474"/>
        <w:spacing w:after="0" w:line="258" w:lineRule="auto"/>
        <w:tabs>
          <w:tab w:leader="none" w:pos="215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elections provided for in this Section 3-6(v)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the requirements of this Section 3-6(v), the election form most recently accepted by the Administration Committee that has become effective shall govern the Scheduled Distribution Date and/or form of distribution of the amounts credited to the Participants’ Accounts.</w:t>
      </w:r>
    </w:p>
    <w:p>
      <w:pPr>
        <w:spacing w:after="0" w:line="18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3-6 and Section 3-7, none of the election provisions set forth herein shall apply to the Frozen Non-Qualified Pension Plan</w:t>
      </w:r>
    </w:p>
    <w:p>
      <w:pPr>
        <w:spacing w:after="0" w:line="161" w:lineRule="exact"/>
        <w:rPr>
          <w:rFonts w:ascii="Times New Roman" w:cs="Times New Roman" w:eastAsia="Times New Roman" w:hAnsi="Times New Roman"/>
          <w:sz w:val="18"/>
          <w:szCs w:val="18"/>
          <w:color w:val="auto"/>
        </w:rPr>
      </w:pPr>
    </w:p>
    <w:p>
      <w:pPr>
        <w:ind w:left="104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which shall be paid in accordance with the distribution option selected by the Participant under or otherwise provided by, and shall be governed by the terms of the Frozen DCP as in effect prior to November 1, 2008.</w:t>
      </w:r>
    </w:p>
    <w:p>
      <w:pPr>
        <w:spacing w:after="0" w:line="160"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3-7.</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Distribution of Participant Accounts </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left="1040" w:right="400" w:hanging="519"/>
        <w:spacing w:after="0" w:line="261"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 shall maintain each Participant’s bookkeeping Deferred Compensation Account and/or Benefit Restoration Account until distributed as provided in Sections 3-6(ii) and (iii), subject to Section 6-1(ii).</w:t>
      </w:r>
    </w:p>
    <w:p>
      <w:pPr>
        <w:ind w:left="1040" w:hanging="519"/>
        <w:spacing w:after="0" w:line="251"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except as otherwise provided in this paragraph, in the event of the death of a Participant prior to the receipt of the full amount to be distributed, the then balance credited to the Participant’s Accounts will, subject to Section 3-8, be distributed as soon as practicable following the month in which the death occurred, but in no event later than ninety (90) days following the date of death. Such distribution shall be made to the Beneficiary or Beneficiaries designated by the Participant, or if there is no Beneficiary designation under this Plan, to the Participant’s beneficiary or beneficiaries under the TI 401(k) Savings Plan or TI Contribution and 401(k) Savings Plan, as applicable. If no beneficiary was designated under either of those plans, distribution will be made to the Participant’s estate. In the case of amounts in a Participant’s Deferred Compensation Account composed of Frozen Non-Qualified Pension Plan Deferrals, in the event of the death of the Participant prior to the receipt of those amounts in full, the balance of those amounts shall be paid pursuant to the provisions of the Frozen DCP as in effect prior to November 1, 2008.</w:t>
      </w:r>
    </w:p>
    <w:p>
      <w:pPr>
        <w:spacing w:after="0" w:line="19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shall be adjusted to reflect all distributions.</w:t>
      </w:r>
    </w:p>
    <w:p>
      <w:pPr>
        <w:spacing w:after="0" w:line="225"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and withdrawals under this Article III shall be made by check or electronic fund transfer and may be made through a paying agent or recordkeeper selected by the Administration Committee. Benefits payable under this Plan may not be rolled over or transferred to an individual retirement account or to any other employee benefit plan.</w:t>
      </w:r>
    </w:p>
    <w:p>
      <w:pPr>
        <w:spacing w:after="0" w:line="174"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3-8. </w:t>
      </w:r>
      <w:r>
        <w:rPr>
          <w:rFonts w:ascii="Times New Roman" w:cs="Times New Roman" w:eastAsia="Times New Roman" w:hAnsi="Times New Roman"/>
          <w:sz w:val="18"/>
          <w:szCs w:val="18"/>
          <w:i w:val="1"/>
          <w:iCs w:val="1"/>
          <w:u w:val="single" w:color="auto"/>
          <w:color w:val="auto"/>
        </w:rPr>
        <w:t>Limitation on Time of Distribution.</w:t>
      </w:r>
      <w:r>
        <w:rPr>
          <w:rFonts w:ascii="Times New Roman" w:cs="Times New Roman" w:eastAsia="Times New Roman" w:hAnsi="Times New Roman"/>
          <w:sz w:val="18"/>
          <w:szCs w:val="18"/>
          <w:color w:val="auto"/>
        </w:rPr>
        <w:t xml:space="preserve"> If TI reasonably anticipates that any amount to be paid to a Participant on any Scheduled Payment Date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3-8 shall not apply unless all scheduled payments to which the Participant would be entitled which could be delayed in accordance with the provisions of this Section 3-8 also are delayed.</w:t>
      </w:r>
    </w:p>
    <w:p>
      <w:pPr>
        <w:spacing w:after="0" w:line="180" w:lineRule="exact"/>
        <w:rPr>
          <w:sz w:val="20"/>
          <w:szCs w:val="20"/>
          <w:color w:val="auto"/>
        </w:rPr>
      </w:pPr>
    </w:p>
    <w:p>
      <w:pPr>
        <w:jc w:val="both"/>
        <w:ind w:right="1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3-9. </w:t>
      </w: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TI makes no guarantees and assumes no obligation or responsibility with respect to a Participant’s or payee’s federal, state, or local income, estate, inheritance or gift tax obligations, if any, under this Plan or any Deferred Compensation Agreement. Any taxes required to be withheld from payments hereunder shall be deducted and withheld by the Company, benefit provider or funding agent appointed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0" w:name="page81"/>
    <w:bookmarkEnd w:id="80"/>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3-10. </w:t>
      </w:r>
      <w:r>
        <w:rPr>
          <w:rFonts w:ascii="Times New Roman" w:cs="Times New Roman" w:eastAsia="Times New Roman" w:hAnsi="Times New Roman"/>
          <w:sz w:val="18"/>
          <w:szCs w:val="18"/>
          <w:i w:val="1"/>
          <w:iCs w:val="1"/>
          <w:u w:val="single" w:color="auto"/>
          <w:color w:val="auto"/>
        </w:rPr>
        <w:t>Assignment</w:t>
      </w:r>
      <w:r>
        <w:rPr>
          <w:rFonts w:ascii="Times New Roman" w:cs="Times New Roman" w:eastAsia="Times New Roman" w:hAnsi="Times New Roman"/>
          <w:sz w:val="18"/>
          <w:szCs w:val="18"/>
          <w:color w:val="auto"/>
        </w:rPr>
        <w:t xml:space="preserve"> . Except as provided in Section 3-11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pacing w:after="0" w:line="180"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Sec. 3-11. </w:t>
      </w:r>
      <w:r>
        <w:rPr>
          <w:rFonts w:ascii="Times New Roman" w:cs="Times New Roman" w:eastAsia="Times New Roman" w:hAnsi="Times New Roman"/>
          <w:sz w:val="18"/>
          <w:szCs w:val="18"/>
          <w:i w:val="1"/>
          <w:iCs w:val="1"/>
          <w:u w:val="single" w:color="auto"/>
          <w:color w:val="auto"/>
        </w:rPr>
        <w:t>Alternate Payee Claims</w:t>
      </w:r>
      <w:r>
        <w:rPr>
          <w:rFonts w:ascii="Times New Roman" w:cs="Times New Roman" w:eastAsia="Times New Roman" w:hAnsi="Times New Roman"/>
          <w:sz w:val="18"/>
          <w:szCs w:val="18"/>
          <w:color w:val="auto"/>
        </w:rPr>
        <w:t xml:space="preserve"> . Any claim against any benefits hereunder for child support, spousal maintenance, property settlement or alimony (an “Alternate Payee Claim”) shall be treated in the same manner as would a claim for corresponding benefits under the TI Contribution and 401(k) Savings Plan or the TI 401(k) Savings Plan, and shall be subject to all claims provisions and restrictions of those plans; provided, however, that the distribution of benefits hereunder in satisfaction of an Alternate Payee Claim shall be made in a lump-sum payment as soon as practicable after the determination of the validity of the claim. No order issued pursuant to an Alternative Payee Claim may require payment in any other form than a full lump sum distribution equal to the present value (as determined by the Administration Committee) of the Alternate Payee Claim. The provisions of Section 3-6 governing changes in the time and form of payment of benefits under this Plan do not apply to elections by individuals other than the Participant, with respect to payments to a person other than the Participant, to the extent such elections are reflected in or made in accordance with the terms of a “domestic relations order” (as defined in Section 414(p)(1)(B) of the Code).</w:t>
      </w:r>
    </w:p>
    <w:p>
      <w:pPr>
        <w:spacing w:after="0" w:line="189"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3-12. </w:t>
      </w:r>
      <w:r>
        <w:rPr>
          <w:rFonts w:ascii="Times New Roman" w:cs="Times New Roman" w:eastAsia="Times New Roman" w:hAnsi="Times New Roman"/>
          <w:sz w:val="18"/>
          <w:szCs w:val="18"/>
          <w:i w:val="1"/>
          <w:iCs w:val="1"/>
          <w:u w:val="single" w:color="auto"/>
          <w:color w:val="auto"/>
        </w:rPr>
        <w:t>Incompetent</w:t>
      </w:r>
      <w:r>
        <w:rPr>
          <w:rFonts w:ascii="Times New Roman" w:cs="Times New Roman" w:eastAsia="Times New Roman" w:hAnsi="Times New Roman"/>
          <w:sz w:val="18"/>
          <w:szCs w:val="18"/>
          <w:color w:val="auto"/>
        </w:rPr>
        <w:t xml:space="preserve"> .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28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u w:val="single" w:color="auto"/>
          <w:color w:val="auto"/>
        </w:rPr>
        <w:t>Funding</w:t>
      </w:r>
    </w:p>
    <w:p>
      <w:pPr>
        <w:spacing w:after="0" w:line="205" w:lineRule="exact"/>
        <w:rPr>
          <w:sz w:val="20"/>
          <w:szCs w:val="20"/>
          <w:color w:val="auto"/>
        </w:rPr>
      </w:pPr>
    </w:p>
    <w:p>
      <w:pPr>
        <w:jc w:val="both"/>
        <w:ind w:right="3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4-1. </w:t>
      </w:r>
      <w:r>
        <w:rPr>
          <w:rFonts w:ascii="Times New Roman" w:cs="Times New Roman" w:eastAsia="Times New Roman" w:hAnsi="Times New Roman"/>
          <w:sz w:val="18"/>
          <w:szCs w:val="18"/>
          <w:i w:val="1"/>
          <w:iCs w:val="1"/>
          <w:u w:val="single" w:color="auto"/>
          <w:color w:val="auto"/>
        </w:rPr>
        <w:t>Funding</w:t>
      </w:r>
      <w:r>
        <w:rPr>
          <w:rFonts w:ascii="Times New Roman" w:cs="Times New Roman" w:eastAsia="Times New Roman" w:hAnsi="Times New Roman"/>
          <w:sz w:val="18"/>
          <w:szCs w:val="18"/>
          <w:color w:val="auto"/>
        </w:rPr>
        <w:t xml:space="preserve">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180"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4-2. </w:t>
      </w:r>
      <w:r>
        <w:rPr>
          <w:rFonts w:ascii="Times New Roman" w:cs="Times New Roman" w:eastAsia="Times New Roman" w:hAnsi="Times New Roman"/>
          <w:sz w:val="18"/>
          <w:szCs w:val="18"/>
          <w:i w:val="1"/>
          <w:iCs w:val="1"/>
          <w:u w:val="single" w:color="auto"/>
          <w:color w:val="auto"/>
        </w:rPr>
        <w:t>Creditor Status</w:t>
      </w:r>
      <w:r>
        <w:rPr>
          <w:rFonts w:ascii="Times New Roman" w:cs="Times New Roman" w:eastAsia="Times New Roman" w:hAnsi="Times New Roman"/>
          <w:sz w:val="18"/>
          <w:szCs w:val="18"/>
          <w:color w:val="auto"/>
        </w:rPr>
        <w:t xml:space="preserve"> . A Participant and his Beneficiary or Beneficiaries shall be general unsecured creditors of the Employers with respect to the payment of any benefit under this Plan.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Plan</w:t>
      </w:r>
    </w:p>
    <w:p>
      <w:pPr>
        <w:spacing w:after="0" w:line="205"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5-1. </w:t>
      </w:r>
      <w:r>
        <w:rPr>
          <w:rFonts w:ascii="Times New Roman" w:cs="Times New Roman" w:eastAsia="Times New Roman" w:hAnsi="Times New Roman"/>
          <w:sz w:val="18"/>
          <w:szCs w:val="18"/>
          <w:i w:val="1"/>
          <w:iCs w:val="1"/>
          <w:u w:val="single" w:color="auto"/>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Plan shall be administered by the Administration Committee and its designees. The duties of the Administration Committee and its designees include (but not by way of limitation) (a) the defense of lawsuits and conduct of litigation in the name of the Plan (subject to the approval of the General Counsel of TI), (b) the full power and discretion to interpret and construe this Plan where it concerns (i) questions of eligibility or status, and (ii)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pacing w:after="0" w:line="183" w:lineRule="exact"/>
        <w:rPr>
          <w:sz w:val="20"/>
          <w:szCs w:val="20"/>
          <w:color w:val="auto"/>
        </w:rPr>
      </w:pPr>
    </w:p>
    <w:p>
      <w:pPr>
        <w:ind w:right="3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5-2. </w:t>
      </w:r>
      <w:r>
        <w:rPr>
          <w:rFonts w:ascii="Times New Roman" w:cs="Times New Roman" w:eastAsia="Times New Roman" w:hAnsi="Times New Roman"/>
          <w:sz w:val="18"/>
          <w:szCs w:val="18"/>
          <w:i w:val="1"/>
          <w:iCs w:val="1"/>
          <w:u w:val="single" w:color="auto"/>
          <w:color w:val="auto"/>
        </w:rPr>
        <w:t>Number and Selection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Administration Committee shall consist of one or more members who shall be appointed by the Chief Executive Officer of TI or his designee.</w:t>
      </w:r>
    </w:p>
    <w:p>
      <w:pPr>
        <w:spacing w:after="0" w:line="158"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5-3. </w:t>
      </w:r>
      <w:r>
        <w:rPr>
          <w:rFonts w:ascii="Times New Roman" w:cs="Times New Roman" w:eastAsia="Times New Roman" w:hAnsi="Times New Roman"/>
          <w:sz w:val="18"/>
          <w:szCs w:val="18"/>
          <w:i w:val="1"/>
          <w:iCs w:val="1"/>
          <w:u w:val="single" w:color="auto"/>
          <w:color w:val="auto"/>
        </w:rPr>
        <w:t>Action by Administration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18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174" w:lineRule="exact"/>
        <w:rPr>
          <w:sz w:val="20"/>
          <w:szCs w:val="20"/>
          <w:color w:val="auto"/>
        </w:rPr>
      </w:pPr>
    </w:p>
    <w:p>
      <w:pPr>
        <w:ind w:right="1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5-4. </w:t>
      </w:r>
      <w:r>
        <w:rPr>
          <w:rFonts w:ascii="Times New Roman" w:cs="Times New Roman" w:eastAsia="Times New Roman" w:hAnsi="Times New Roman"/>
          <w:sz w:val="18"/>
          <w:szCs w:val="18"/>
          <w:i w:val="1"/>
          <w:iCs w:val="1"/>
          <w:u w:val="single" w:color="auto"/>
          <w:color w:val="auto"/>
        </w:rPr>
        <w:t>Accounts of Participants</w:t>
      </w:r>
      <w:r>
        <w:rPr>
          <w:rFonts w:ascii="Times New Roman" w:cs="Times New Roman" w:eastAsia="Times New Roman" w:hAnsi="Times New Roman"/>
          <w:sz w:val="18"/>
          <w:szCs w:val="18"/>
          <w:color w:val="auto"/>
        </w:rPr>
        <w:t xml:space="preserve"> . The Administration Committee shall maintain records of all Accounts of Participants and such other records and data as may be necessary and appropriate for the proper administration of the Plan and to determine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81" w:name="page82"/>
    <w:bookmarkEnd w:id="81"/>
    <w:p>
      <w:pPr>
        <w:ind w:right="340"/>
        <w:spacing w:after="0" w:line="266" w:lineRule="auto"/>
        <w:rPr>
          <w:sz w:val="20"/>
          <w:szCs w:val="20"/>
          <w:color w:val="auto"/>
        </w:rPr>
      </w:pPr>
      <w:r>
        <w:rPr>
          <w:rFonts w:ascii="Times New Roman" w:cs="Times New Roman" w:eastAsia="Times New Roman" w:hAnsi="Times New Roman"/>
          <w:sz w:val="18"/>
          <w:szCs w:val="18"/>
          <w:color w:val="auto"/>
        </w:rPr>
        <w:t>distributable to Participants and Beneficiaries. The Administration Committee in its discretion shall determine whether, and to what extent, Participant Accounts will be charged with the expenses of administration of the Plan. Expenses charged against Participant Accounts shall be charged as adjustments under Section 3-4 and Section 3-7, as applicable. Expenses of the Plan not charged to Participant Accounts shall be paid by TI.</w:t>
      </w:r>
    </w:p>
    <w:p>
      <w:pPr>
        <w:spacing w:after="0" w:line="174" w:lineRule="exact"/>
        <w:rPr>
          <w:sz w:val="20"/>
          <w:szCs w:val="20"/>
          <w:color w:val="auto"/>
        </w:rPr>
      </w:pPr>
    </w:p>
    <w:p>
      <w:pPr>
        <w:jc w:val="both"/>
        <w:ind w:right="72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5-5. </w:t>
      </w:r>
      <w:r>
        <w:rPr>
          <w:rFonts w:ascii="Times New Roman" w:cs="Times New Roman" w:eastAsia="Times New Roman" w:hAnsi="Times New Roman"/>
          <w:sz w:val="18"/>
          <w:szCs w:val="18"/>
          <w:i w:val="1"/>
          <w:iCs w:val="1"/>
          <w:u w:val="single" w:color="auto"/>
          <w:color w:val="auto"/>
        </w:rPr>
        <w:t>Rules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Administration Committee may adopt and promulgate such rules and regulations as it may deem appropriate for the administration of the Plan. The Administration Committee shall adopt and promulgate written rules governing claims procedures reasonably calculated to:</w:t>
      </w:r>
    </w:p>
    <w:p>
      <w:pPr>
        <w:spacing w:after="0" w:line="176" w:lineRule="exact"/>
        <w:rPr>
          <w:sz w:val="20"/>
          <w:szCs w:val="20"/>
          <w:color w:val="auto"/>
        </w:rPr>
      </w:pPr>
    </w:p>
    <w:p>
      <w:pPr>
        <w:ind w:left="1020" w:hanging="499"/>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written notice to any Participant or other person whose claim under the Plan has been denied, setting forth the specific reasons for such denial; and</w:t>
      </w:r>
    </w:p>
    <w:p>
      <w:pPr>
        <w:spacing w:after="0" w:line="161"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a reasonable opportunity to such Participant or other person for a full and fair review by the Administration Committee of the decision denying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determination of the Administration Committee upon such review shall be final and conclusive.</w:t>
      </w:r>
    </w:p>
    <w:p>
      <w:pPr>
        <w:spacing w:after="0" w:line="223" w:lineRule="exact"/>
        <w:rPr>
          <w:sz w:val="20"/>
          <w:szCs w:val="20"/>
          <w:color w:val="auto"/>
        </w:rPr>
      </w:pPr>
    </w:p>
    <w:p>
      <w:pPr>
        <w:jc w:val="both"/>
        <w:ind w:right="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5-6. </w:t>
      </w:r>
      <w:r>
        <w:rPr>
          <w:rFonts w:ascii="Times New Roman" w:cs="Times New Roman" w:eastAsia="Times New Roman" w:hAnsi="Times New Roman"/>
          <w:sz w:val="18"/>
          <w:szCs w:val="18"/>
          <w:i w:val="1"/>
          <w:iCs w:val="1"/>
          <w:u w:val="single" w:color="auto"/>
          <w:color w:val="auto"/>
        </w:rPr>
        <w:t>Reliance on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74" w:lineRule="exact"/>
        <w:rPr>
          <w:sz w:val="20"/>
          <w:szCs w:val="20"/>
          <w:color w:val="auto"/>
        </w:rPr>
      </w:pPr>
    </w:p>
    <w:p>
      <w:pPr>
        <w:ind w:right="5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5-7. </w:t>
      </w:r>
      <w:r>
        <w:rPr>
          <w:rFonts w:ascii="Times New Roman" w:cs="Times New Roman" w:eastAsia="Times New Roman" w:hAnsi="Times New Roman"/>
          <w:sz w:val="18"/>
          <w:szCs w:val="18"/>
          <w:i w:val="1"/>
          <w:iCs w:val="1"/>
          <w:u w:val="single" w:color="auto"/>
          <w:color w:val="auto"/>
        </w:rPr>
        <w:t>Non-Liability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member of the Board of Directors, Compensation Committee or Administration Committee, or any officer or employee of TI shall be liable for any act done or omitted by him with respect to the Plan except for his own willful misconduct.</w:t>
      </w:r>
    </w:p>
    <w:p>
      <w:pPr>
        <w:spacing w:after="0" w:line="158" w:lineRule="exact"/>
        <w:rPr>
          <w:sz w:val="20"/>
          <w:szCs w:val="20"/>
          <w:color w:val="auto"/>
        </w:rPr>
      </w:pPr>
    </w:p>
    <w:p>
      <w:pPr>
        <w:jc w:val="both"/>
        <w:ind w:right="140" w:firstLine="518"/>
        <w:spacing w:after="0" w:line="290" w:lineRule="auto"/>
        <w:rPr>
          <w:sz w:val="20"/>
          <w:szCs w:val="20"/>
          <w:color w:val="auto"/>
        </w:rPr>
      </w:pPr>
      <w:r>
        <w:rPr>
          <w:rFonts w:ascii="Times New Roman" w:cs="Times New Roman" w:eastAsia="Times New Roman" w:hAnsi="Times New Roman"/>
          <w:sz w:val="17"/>
          <w:szCs w:val="17"/>
          <w:color w:val="auto"/>
        </w:rPr>
        <w:t xml:space="preserve">Sec. 5-8. </w:t>
      </w:r>
      <w:r>
        <w:rPr>
          <w:rFonts w:ascii="Times New Roman" w:cs="Times New Roman" w:eastAsia="Times New Roman" w:hAnsi="Times New Roman"/>
          <w:sz w:val="17"/>
          <w:szCs w:val="17"/>
          <w:i w:val="1"/>
          <w:iCs w:val="1"/>
          <w:u w:val="single" w:color="auto"/>
          <w:color w:val="auto"/>
        </w:rPr>
        <w:t>Resignation or Removal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 Administration Committee member may resign by giving written notice to the Chief 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56"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5-9. </w:t>
      </w:r>
      <w:r>
        <w:rPr>
          <w:rFonts w:ascii="Times New Roman" w:cs="Times New Roman" w:eastAsia="Times New Roman" w:hAnsi="Times New Roman"/>
          <w:sz w:val="18"/>
          <w:szCs w:val="18"/>
          <w:i w:val="1"/>
          <w:iCs w:val="1"/>
          <w:u w:val="single" w:color="auto"/>
          <w:color w:val="auto"/>
        </w:rPr>
        <w:t>Information; Overpayment or Underpayment of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18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Administration Committee may adopt, in its sole discretion, whatever rules, procedures and accounting practices it determines to be appropriate in providing for the collection of any overpayment or the distribution of any underpayment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86"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5-10. </w:t>
      </w:r>
      <w:r>
        <w:rPr>
          <w:rFonts w:ascii="Times New Roman" w:cs="Times New Roman" w:eastAsia="Times New Roman" w:hAnsi="Times New Roman"/>
          <w:sz w:val="18"/>
          <w:szCs w:val="18"/>
          <w:i w:val="1"/>
          <w:iCs w:val="1"/>
          <w:u w:val="single" w:color="auto"/>
          <w:color w:val="auto"/>
        </w:rPr>
        <w:t>Notice</w:t>
      </w:r>
      <w:r>
        <w:rPr>
          <w:rFonts w:ascii="Times New Roman" w:cs="Times New Roman" w:eastAsia="Times New Roman" w:hAnsi="Times New Roman"/>
          <w:sz w:val="18"/>
          <w:szCs w:val="18"/>
          <w:color w:val="auto"/>
        </w:rPr>
        <w:t xml:space="preserve"> . Any notice required or permitted to be given to the Administration Committee under this Plan shall be sufficient if in writing and hand-delivered, or sent by registered or certified mail, to the address below:</w:t>
      </w:r>
    </w:p>
    <w:p>
      <w:pPr>
        <w:spacing w:after="0" w:line="1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Texas Instruments</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Attn: Deferred Compensation Plan</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Administration Committee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7839 Churchill Way, MS 3905</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Dallas, Texas 75251-1901</w:t>
      </w:r>
    </w:p>
    <w:p>
      <w:pPr>
        <w:spacing w:after="0" w:line="207"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6-1.</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Amendment, Termination </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ind w:left="1040" w:right="160" w:firstLine="474"/>
        <w:spacing w:after="0" w:line="258" w:lineRule="auto"/>
        <w:tabs>
          <w:tab w:leader="none" w:pos="21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may change, amend, modify, alter, or terminate the Plan at any time and in any manner, prospectively or retroactively (or may delegate such authority), except that no such amendment, modification, or alteration shall divest any Participant of any deferral made prior to the amendment. In addition, no such amendment shall modify the Plan in any way that would violate Section 409A of the Code. The Company intends to continue this Plan indefinitely, but nevertheless assumes no contractual obligation to continue this Plan or makes any promise to pay benefits other than as provided under this Plan.</w:t>
      </w:r>
    </w:p>
    <w:p>
      <w:pPr>
        <w:spacing w:after="0" w:line="183" w:lineRule="exact"/>
        <w:rPr>
          <w:rFonts w:ascii="Times New Roman" w:cs="Times New Roman" w:eastAsia="Times New Roman" w:hAnsi="Times New Roman"/>
          <w:sz w:val="18"/>
          <w:szCs w:val="18"/>
          <w:color w:val="auto"/>
        </w:rPr>
      </w:pPr>
    </w:p>
    <w:p>
      <w:pPr>
        <w:ind w:left="1040" w:firstLine="474"/>
        <w:spacing w:after="0" w:line="252" w:lineRule="auto"/>
        <w:tabs>
          <w:tab w:leader="none" w:pos="21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reserves to its Compensation Committee the right to discontinue deferrals under a Deferred Compensation Agreement at any time. Following a termination of the Plan, the Participants’ Accounts shall continue to be credited with amounts attributable to a deferral election that was in effect prior to the Plan termination to the extent deemed necessary to comply with Section 409A of the Code and related Treasury Regulations, and additional amounts earned prior to Plan termination shall continue to be credited or debited to such Participants’ Accounts pursuant to Section 3-3. The investment funds available to Participants following the termination of the Plan shall be comparable in number and type to those investment funds available to Participants under the TI Contribution and 401(k) Savings Plan, excluding the TI Stock Fund and the Self Directed Brokerage Account. In addition, following a Plan termination, Participant Accounts shall remain in the Plan and shall not be distributed until such amounts become eligible for distribution in accordance with the other applicable provisions of the Plan. Notwithstanding the preceding sentence, to the extent permitted by Treas. Reg. §1.409A-3(j)(4)(ix), the Employer may provide that upon termination of the Plan, all Account balances of the Participants shall be distributed, subject to and in accordance with any rules established by such Employer deemed necessary to comply with the applicable requirements and limitations of Treas. Reg. §1.409A-3(j)</w:t>
      </w:r>
    </w:p>
    <w:p>
      <w:pPr>
        <w:spacing w:after="0" w:line="4"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(4)(ix).</w:t>
      </w:r>
    </w:p>
    <w:p>
      <w:pPr>
        <w:spacing w:after="0" w:line="205"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6-2. </w:t>
      </w:r>
      <w:r>
        <w:rPr>
          <w:rFonts w:ascii="Times New Roman" w:cs="Times New Roman" w:eastAsia="Times New Roman" w:hAnsi="Times New Roman"/>
          <w:sz w:val="18"/>
          <w:szCs w:val="18"/>
          <w:i w:val="1"/>
          <w:iCs w:val="1"/>
          <w:u w:val="single" w:color="auto"/>
          <w:color w:val="auto"/>
        </w:rPr>
        <w:t>Plan Not an Employment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the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compensation for employees.</w:t>
      </w:r>
    </w:p>
    <w:p>
      <w:pPr>
        <w:spacing w:after="0" w:line="183" w:lineRule="exact"/>
        <w:rPr>
          <w:sz w:val="20"/>
          <w:szCs w:val="20"/>
          <w:color w:val="auto"/>
        </w:rPr>
      </w:pPr>
    </w:p>
    <w:p>
      <w:pPr>
        <w:ind w:right="3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6-3. </w:t>
      </w:r>
      <w:r>
        <w:rPr>
          <w:rFonts w:ascii="Times New Roman" w:cs="Times New Roman" w:eastAsia="Times New Roman" w:hAnsi="Times New Roman"/>
          <w:sz w:val="18"/>
          <w:szCs w:val="18"/>
          <w:i w:val="1"/>
          <w:iCs w:val="1"/>
          <w:u w:val="single" w:color="auto"/>
          <w:color w:val="auto"/>
        </w:rPr>
        <w:t>Rights of Persons Making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Employee, Designated Employee or Participant, or any person or entity claiming through an Employee, Designated Employee or Participant, shall have any rights whatsoever other than the rights and benefits specifically granted under this Plan.</w:t>
      </w:r>
    </w:p>
    <w:p>
      <w:pPr>
        <w:spacing w:after="0" w:line="158" w:lineRule="exact"/>
        <w:rPr>
          <w:sz w:val="20"/>
          <w:szCs w:val="20"/>
          <w:color w:val="auto"/>
        </w:rPr>
      </w:pPr>
    </w:p>
    <w:p>
      <w:pPr>
        <w:ind w:right="8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6-4. </w:t>
      </w:r>
      <w:r>
        <w:rPr>
          <w:rFonts w:ascii="Times New Roman" w:cs="Times New Roman" w:eastAsia="Times New Roman" w:hAnsi="Times New Roman"/>
          <w:sz w:val="18"/>
          <w:szCs w:val="18"/>
          <w:i w:val="1"/>
          <w:iCs w:val="1"/>
          <w:u w:val="single" w:color="auto"/>
          <w:color w:val="auto"/>
        </w:rPr>
        <w:t>Status of Benefits in this Plan.</w:t>
      </w:r>
      <w:r>
        <w:rPr>
          <w:rFonts w:ascii="Times New Roman" w:cs="Times New Roman" w:eastAsia="Times New Roman" w:hAnsi="Times New Roman"/>
          <w:sz w:val="18"/>
          <w:szCs w:val="18"/>
          <w:color w:val="auto"/>
        </w:rPr>
        <w:t xml:space="preserve"> No benefits accrued under, credited to Accounts under, or paid under this Plan shall constitute “earnings” or “compensation” for purposes of any other benefit plan sponsored by the Employers.</w:t>
      </w:r>
    </w:p>
    <w:p>
      <w:pPr>
        <w:spacing w:after="0" w:line="158" w:lineRule="exact"/>
        <w:rPr>
          <w:sz w:val="20"/>
          <w:szCs w:val="20"/>
          <w:color w:val="auto"/>
        </w:rPr>
      </w:pPr>
    </w:p>
    <w:p>
      <w:pPr>
        <w:ind w:right="1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6-5.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xml:space="preserve"> . This Plan shall be governed by the laws of the State of Texas, except to the extent preempted by ERISA and shall be governed by and subject to the Defense of Marriage Act (Public Law 104-199).</w:t>
      </w:r>
    </w:p>
    <w:p>
      <w:pPr>
        <w:spacing w:after="0" w:line="158"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Sec. 6-6. </w:t>
      </w: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color w:val="auto"/>
        </w:rPr>
        <w:t xml:space="preserve"> .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construed in accordance with the laws of the State of Texas, except to the extent otherwise required by applicable federal law, and shall be construed in accordance with Section 409A of the Code and the applicable guidance thereunder. Heading and subheadings are for the purpose of reference only and are not to be considered in the construction of this Plan. Where this Plan supplements benefits under the TI 401(k) Savings Plan or the TI Contribution and 401(k) Savings Plan, this Plan is functionally and operationally related to such plans, and is to be interpreted in a manner consistent with the TI 401(k) Savings Plan and the TI Contribution and 401(k) Savings Plan to provide the benefits contemplated hereunder in a comprehensive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3" w:name="page84"/>
    <w:bookmarkEnd w:id="83"/>
    <w:p>
      <w:pPr>
        <w:ind w:firstLine="518"/>
        <w:spacing w:after="0" w:line="282" w:lineRule="auto"/>
        <w:rPr>
          <w:sz w:val="20"/>
          <w:szCs w:val="20"/>
          <w:color w:val="auto"/>
        </w:rPr>
      </w:pPr>
      <w:r>
        <w:rPr>
          <w:rFonts w:ascii="Times New Roman" w:cs="Times New Roman" w:eastAsia="Times New Roman" w:hAnsi="Times New Roman"/>
          <w:sz w:val="18"/>
          <w:szCs w:val="18"/>
          <w:color w:val="auto"/>
        </w:rPr>
        <w:t>IN WITNESS WHEREOF, Texas Instruments Incorporated has caused this instrument to be executed by its duly authorized officer this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October, 2008.</w:t>
      </w:r>
    </w:p>
    <w:p>
      <w:pPr>
        <w:spacing w:after="0" w:line="18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DARLA WHITAKER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7" w:right="6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DEFERRED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1, 2009)</w:t>
      </w:r>
    </w:p>
    <w:p>
      <w:pPr>
        <w:spacing w:after="0" w:line="20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Deferred Compensation Plan (Effective January 1, 2009) (the “Plan”), does hereby amend the Plan effective as of January 1, 2010, except as otherwise provided herein, as follows:</w:t>
      </w:r>
    </w:p>
    <w:p>
      <w:pPr>
        <w:spacing w:after="0" w:line="203" w:lineRule="exact"/>
        <w:rPr>
          <w:sz w:val="20"/>
          <w:szCs w:val="20"/>
          <w:color w:val="auto"/>
        </w:rPr>
      </w:pPr>
    </w:p>
    <w:p>
      <w:pPr>
        <w:ind w:left="1040" w:hanging="519"/>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Plan is amended by adding the following new Section 1-6A:</w:t>
      </w:r>
    </w:p>
    <w:p>
      <w:pPr>
        <w:spacing w:after="0" w:line="223" w:lineRule="exact"/>
        <w:rPr>
          <w:sz w:val="20"/>
          <w:szCs w:val="20"/>
          <w:color w:val="auto"/>
        </w:rPr>
      </w:pPr>
    </w:p>
    <w:p>
      <w:pPr>
        <w:ind w:left="1520"/>
        <w:spacing w:after="0"/>
        <w:tabs>
          <w:tab w:leader="none" w:pos="2700" w:val="left"/>
        </w:tabs>
        <w:rPr>
          <w:sz w:val="20"/>
          <w:szCs w:val="20"/>
          <w:color w:val="auto"/>
        </w:rPr>
      </w:pPr>
      <w:r>
        <w:rPr>
          <w:rFonts w:ascii="Times New Roman" w:cs="Times New Roman" w:eastAsia="Times New Roman" w:hAnsi="Times New Roman"/>
          <w:sz w:val="18"/>
          <w:szCs w:val="18"/>
          <w:color w:val="auto"/>
        </w:rPr>
        <w:t>Sec. 1-6A.</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Change in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“Change in Control” means an event that will be deemed to have occurred:</w:t>
      </w:r>
    </w:p>
    <w:p>
      <w:pPr>
        <w:spacing w:after="0" w:line="254" w:lineRule="exact"/>
        <w:rPr>
          <w:sz w:val="20"/>
          <w:szCs w:val="20"/>
          <w:color w:val="auto"/>
        </w:rPr>
      </w:pPr>
    </w:p>
    <w:p>
      <w:pPr>
        <w:ind w:left="1540" w:right="120" w:hanging="506"/>
        <w:spacing w:after="0" w:line="255"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fifty percent (50%) of the total fair market value or total voting power of the stock of the Company. However, if any Person is considered to own more than fifty percent (50%) of the total fair market value or total voting power of the stock of the Company, the acquisition of additional stock by the same Person is not considered to be a Change in Control;</w:t>
      </w:r>
    </w:p>
    <w:p>
      <w:pPr>
        <w:spacing w:after="0" w:line="189" w:lineRule="exact"/>
        <w:rPr>
          <w:rFonts w:ascii="Times New Roman" w:cs="Times New Roman" w:eastAsia="Times New Roman" w:hAnsi="Times New Roman"/>
          <w:sz w:val="18"/>
          <w:szCs w:val="18"/>
          <w:color w:val="auto"/>
        </w:rPr>
      </w:pPr>
    </w:p>
    <w:p>
      <w:pPr>
        <w:ind w:left="1540" w:right="200" w:hanging="506"/>
        <w:spacing w:after="0" w:line="282"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61" w:lineRule="exact"/>
        <w:rPr>
          <w:rFonts w:ascii="Times New Roman" w:cs="Times New Roman" w:eastAsia="Times New Roman" w:hAnsi="Times New Roman"/>
          <w:sz w:val="18"/>
          <w:szCs w:val="18"/>
          <w:color w:val="auto"/>
        </w:rPr>
      </w:pPr>
    </w:p>
    <w:p>
      <w:pPr>
        <w:ind w:left="1540" w:right="120" w:hanging="506"/>
        <w:spacing w:after="0" w:line="253"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any Person acquires (or has acquired during the 12-month period ending on the date of the most recent acquisition by such Person or group) assets from the Company that have a total gross fair market value equal to or more than eighty percent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fifty percent (50%) of the total value or voting power of the stock of which is owned, directly or indirectly, by the Company; (iii) a Person that owns, directly or indirectly, at least fifty percent (50%) of the total value or voting power of the outstanding stock of the Company; or (iv) an entity, at least fifty percent (50%) of the total value or voting power of the stock of which is owned, directly or indirectly, by a Person that owns, directly or indirectly, at least fifty percent (50%) of the total value or voting power of the outstanding stock of the Company.</w:t>
      </w:r>
    </w:p>
    <w:p>
      <w:pPr>
        <w:spacing w:after="0" w:line="192"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 (ii) and (iii) above,</w:t>
      </w:r>
    </w:p>
    <w:p>
      <w:pPr>
        <w:spacing w:after="0" w:line="225" w:lineRule="exact"/>
        <w:rPr>
          <w:rFonts w:ascii="Times New Roman" w:cs="Times New Roman" w:eastAsia="Times New Roman" w:hAnsi="Times New Roman"/>
          <w:sz w:val="18"/>
          <w:szCs w:val="18"/>
          <w:color w:val="auto"/>
        </w:rPr>
      </w:pPr>
    </w:p>
    <w:p>
      <w:pPr>
        <w:ind w:left="2080" w:right="60" w:hanging="519"/>
        <w:spacing w:after="0" w:line="282" w:lineRule="auto"/>
        <w:tabs>
          <w:tab w:leader="none" w:pos="20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shall have the meaning set forth in Rule 12b-2 promulgated under Section 12 of the Securities Exchange Act of 1934, as amended;</w:t>
      </w:r>
    </w:p>
    <w:p>
      <w:pPr>
        <w:spacing w:after="0" w:line="161" w:lineRule="exact"/>
        <w:rPr>
          <w:rFonts w:ascii="Times New Roman" w:cs="Times New Roman" w:eastAsia="Times New Roman" w:hAnsi="Times New Roman"/>
          <w:sz w:val="18"/>
          <w:szCs w:val="18"/>
          <w:color w:val="auto"/>
        </w:rPr>
      </w:pPr>
    </w:p>
    <w:p>
      <w:pPr>
        <w:ind w:left="2080" w:hanging="519"/>
        <w:spacing w:after="0"/>
        <w:tabs>
          <w:tab w:leader="none" w:pos="20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2080" w:right="120" w:hanging="519"/>
        <w:spacing w:after="0" w:line="282" w:lineRule="auto"/>
        <w:tabs>
          <w:tab w:leader="none" w:pos="20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61" w:lineRule="exact"/>
        <w:rPr>
          <w:rFonts w:ascii="Times New Roman" w:cs="Times New Roman" w:eastAsia="Times New Roman" w:hAnsi="Times New Roman"/>
          <w:sz w:val="18"/>
          <w:szCs w:val="18"/>
          <w:color w:val="auto"/>
        </w:rPr>
      </w:pPr>
    </w:p>
    <w:p>
      <w:pPr>
        <w:ind w:left="2080" w:right="20" w:hanging="519"/>
        <w:spacing w:after="0" w:line="282" w:lineRule="auto"/>
        <w:tabs>
          <w:tab w:leader="none" w:pos="20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61" w:lineRule="exact"/>
        <w:rPr>
          <w:rFonts w:ascii="Times New Roman" w:cs="Times New Roman" w:eastAsia="Times New Roman" w:hAnsi="Times New Roman"/>
          <w:sz w:val="18"/>
          <w:szCs w:val="18"/>
          <w:color w:val="auto"/>
        </w:rPr>
      </w:pPr>
    </w:p>
    <w:p>
      <w:pPr>
        <w:ind w:left="1540" w:hanging="506"/>
        <w:spacing w:after="0" w:line="266"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case will an event in (i), (ii) or (iii) be treated as a Change in Control unless such event also constitutes a “change in control event” with respect to the Company within the meaning of Treas. Reg. § 1.409A-3(i)(5) or any successor provision.</w:t>
      </w:r>
    </w:p>
    <w:p>
      <w:pPr>
        <w:spacing w:after="0" w:line="1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Plan is amended further by adding the following new Section 1-18A:</w:t>
      </w:r>
    </w:p>
    <w:p>
      <w:pPr>
        <w:spacing w:after="0" w:line="223" w:lineRule="exact"/>
        <w:rPr>
          <w:sz w:val="20"/>
          <w:szCs w:val="20"/>
          <w:color w:val="auto"/>
        </w:rPr>
      </w:pPr>
    </w:p>
    <w:p>
      <w:pPr>
        <w:ind w:left="1040" w:right="160" w:firstLine="471"/>
        <w:spacing w:after="0" w:line="284" w:lineRule="auto"/>
        <w:rPr>
          <w:sz w:val="20"/>
          <w:szCs w:val="20"/>
          <w:color w:val="auto"/>
        </w:rPr>
      </w:pPr>
      <w:r>
        <w:rPr>
          <w:rFonts w:ascii="Times New Roman" w:cs="Times New Roman" w:eastAsia="Times New Roman" w:hAnsi="Times New Roman"/>
          <w:sz w:val="18"/>
          <w:szCs w:val="18"/>
          <w:color w:val="auto"/>
        </w:rPr>
        <w:t xml:space="preserve">Sec. 1-18A. </w:t>
      </w:r>
      <w:r>
        <w:rPr>
          <w:rFonts w:ascii="Times New Roman" w:cs="Times New Roman" w:eastAsia="Times New Roman" w:hAnsi="Times New Roman"/>
          <w:sz w:val="18"/>
          <w:szCs w:val="18"/>
          <w:i w:val="1"/>
          <w:iCs w:val="1"/>
          <w:u w:val="single" w:color="auto"/>
          <w:color w:val="auto"/>
        </w:rPr>
        <w:t>Involuntary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“Involuntary Termination” shall mean a Termination of Employment, other than for cause due to the independent exercise of unilateral authority of TI to terminate the Participant’s services,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ind w:left="1040" w:right="760"/>
        <w:spacing w:after="0" w:line="282" w:lineRule="auto"/>
        <w:rPr>
          <w:sz w:val="20"/>
          <w:szCs w:val="20"/>
          <w:color w:val="auto"/>
        </w:rPr>
      </w:pPr>
      <w:r>
        <w:rPr>
          <w:rFonts w:ascii="Times New Roman" w:cs="Times New Roman" w:eastAsia="Times New Roman" w:hAnsi="Times New Roman"/>
          <w:sz w:val="18"/>
          <w:szCs w:val="18"/>
          <w:color w:val="auto"/>
        </w:rPr>
        <w:t>than due to the Participant’s implicit or explicit request, where the Participant was willing and able to continue to perform services, in accordance with Treas. Reg. § 1.409A-1(n)(1) or any successor provision.</w:t>
      </w:r>
    </w:p>
    <w:p>
      <w:pPr>
        <w:spacing w:after="0" w:line="189" w:lineRule="exact"/>
        <w:rPr>
          <w:sz w:val="20"/>
          <w:szCs w:val="20"/>
          <w:color w:val="auto"/>
        </w:rPr>
      </w:pPr>
    </w:p>
    <w:p>
      <w:pPr>
        <w:ind w:left="1040" w:hanging="519"/>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Plan is amended further by adding the following new Section 1-22A:</w:t>
      </w:r>
    </w:p>
    <w:p>
      <w:pPr>
        <w:spacing w:after="0" w:line="223" w:lineRule="exact"/>
        <w:rPr>
          <w:sz w:val="20"/>
          <w:szCs w:val="20"/>
          <w:color w:val="auto"/>
        </w:rPr>
      </w:pPr>
    </w:p>
    <w:p>
      <w:pPr>
        <w:ind w:left="1040" w:right="40" w:firstLine="471"/>
        <w:spacing w:after="0" w:line="267" w:lineRule="auto"/>
        <w:rPr>
          <w:sz w:val="20"/>
          <w:szCs w:val="20"/>
          <w:color w:val="auto"/>
        </w:rPr>
      </w:pPr>
      <w:r>
        <w:rPr>
          <w:rFonts w:ascii="Times New Roman" w:cs="Times New Roman" w:eastAsia="Times New Roman" w:hAnsi="Times New Roman"/>
          <w:sz w:val="18"/>
          <w:szCs w:val="18"/>
          <w:color w:val="auto"/>
        </w:rPr>
        <w:t xml:space="preserve">Sec. 1-22A.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“Specified Employee” shall mean an employee who is a “specified employee” (as defined in Section 409A(2)(B)(i) of the Code) for the applicable period, as determined by the Committee in accordance with Treas. Reg. § 1.409A-1(i), or any successor provision.</w:t>
      </w:r>
    </w:p>
    <w:p>
      <w:pPr>
        <w:spacing w:after="0" w:line="203" w:lineRule="exact"/>
        <w:rPr>
          <w:sz w:val="20"/>
          <w:szCs w:val="20"/>
          <w:color w:val="auto"/>
        </w:rPr>
      </w:pPr>
    </w:p>
    <w:p>
      <w:pPr>
        <w:ind w:left="1040" w:hanging="519"/>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Plan is amended further by adding the following new Section 1-23A:</w:t>
      </w:r>
    </w:p>
    <w:p>
      <w:pPr>
        <w:spacing w:after="0" w:line="223" w:lineRule="exact"/>
        <w:rPr>
          <w:sz w:val="20"/>
          <w:szCs w:val="20"/>
          <w:color w:val="auto"/>
        </w:rPr>
      </w:pPr>
    </w:p>
    <w:p>
      <w:pPr>
        <w:ind w:left="1040" w:right="20" w:firstLine="471"/>
        <w:spacing w:after="0" w:line="284" w:lineRule="auto"/>
        <w:rPr>
          <w:sz w:val="20"/>
          <w:szCs w:val="20"/>
          <w:color w:val="auto"/>
        </w:rPr>
      </w:pPr>
      <w:r>
        <w:rPr>
          <w:rFonts w:ascii="Times New Roman" w:cs="Times New Roman" w:eastAsia="Times New Roman" w:hAnsi="Times New Roman"/>
          <w:sz w:val="18"/>
          <w:szCs w:val="18"/>
          <w:color w:val="auto"/>
        </w:rPr>
        <w:t xml:space="preserve">Sec. 1-23A. </w:t>
      </w:r>
      <w:r>
        <w:rPr>
          <w:rFonts w:ascii="Times New Roman" w:cs="Times New Roman" w:eastAsia="Times New Roman" w:hAnsi="Times New Roman"/>
          <w:sz w:val="18"/>
          <w:szCs w:val="18"/>
          <w:i w:val="1"/>
          <w:iCs w:val="1"/>
          <w:u w:val="single" w:color="auto"/>
          <w:color w:val="auto"/>
        </w:rPr>
        <w:t>Termination of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“Termination of Employment” shall mean the date on which the Participant has incurred a “separation from service” within the meaning of Treasury Regulation section 1.409A-1(h) or any successor provision.</w:t>
      </w:r>
    </w:p>
    <w:p>
      <w:pPr>
        <w:spacing w:after="0" w:line="187" w:lineRule="exact"/>
        <w:rPr>
          <w:sz w:val="20"/>
          <w:szCs w:val="20"/>
          <w:color w:val="auto"/>
        </w:rPr>
      </w:pPr>
    </w:p>
    <w:p>
      <w:pPr>
        <w:ind w:left="520" w:right="140" w:firstLine="6"/>
        <w:spacing w:after="0" w:line="282" w:lineRule="auto"/>
        <w:tabs>
          <w:tab w:leader="none" w:pos="10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of the Plan is amended, effective as of January 1, 2009, by striking said Section and substituting in lieu thereof the following new Section 2-3:</w:t>
      </w:r>
    </w:p>
    <w:p>
      <w:pPr>
        <w:spacing w:after="0" w:line="160" w:lineRule="exact"/>
        <w:rPr>
          <w:sz w:val="20"/>
          <w:szCs w:val="20"/>
          <w:color w:val="auto"/>
        </w:rPr>
      </w:pPr>
    </w:p>
    <w:p>
      <w:pPr>
        <w:ind w:left="1520"/>
        <w:spacing w:after="0"/>
        <w:tabs>
          <w:tab w:leader="none" w:pos="2600" w:val="left"/>
        </w:tabs>
        <w:rPr>
          <w:sz w:val="20"/>
          <w:szCs w:val="20"/>
          <w:color w:val="auto"/>
        </w:rPr>
      </w:pPr>
      <w:r>
        <w:rPr>
          <w:rFonts w:ascii="Times New Roman" w:cs="Times New Roman" w:eastAsia="Times New Roman" w:hAnsi="Times New Roman"/>
          <w:sz w:val="18"/>
          <w:szCs w:val="18"/>
          <w:color w:val="auto"/>
        </w:rPr>
        <w:t>Sec. 2-3.</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Participation in a Benefit Restoration Account for Participants in the TI Contribution and 401(k) Savings Plan </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ind w:left="1540" w:right="240" w:hanging="506"/>
        <w:spacing w:after="0" w:line="282"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will become a Participant in this Plan, and a Benefit Restoration Account in the name of the Participant will be credited with the excess of:</w:t>
      </w:r>
    </w:p>
    <w:p>
      <w:pPr>
        <w:spacing w:after="0" w:line="161" w:lineRule="exact"/>
        <w:rPr>
          <w:rFonts w:ascii="Times New Roman" w:cs="Times New Roman" w:eastAsia="Times New Roman" w:hAnsi="Times New Roman"/>
          <w:sz w:val="18"/>
          <w:szCs w:val="18"/>
          <w:color w:val="auto"/>
        </w:rPr>
      </w:pPr>
    </w:p>
    <w:p>
      <w:pPr>
        <w:ind w:left="1040" w:right="20" w:firstLine="944"/>
        <w:spacing w:after="0" w:line="255" w:lineRule="auto"/>
        <w:tabs>
          <w:tab w:leader="none" w:pos="261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if any, of (1) the contributions which would have been credited to such Participant’s “Contribution Account” under the TI Contribution and 401(k) Savings Plan for that Plan Year if the Employee’s “Compensation,” as defined in the TI Contribution and 401(k) Savings Plan, was not subject to the limitations under Section401(a)(17) of the Code and/or Section 415 of the Code for such Plan Year, and (2) if the Eligible Employee is a Designated Employee, the contributions which would have been credited to such Participant’s “Contribution Account” under the TI Contribution and 401(k) Savings Plan for that Plan Year, if the Employee’s “Compensation,” as defined in the TI Contribution and 401(k) Savings Plan, had not been reduced during that Plan Year because the Participant deferred Regular Compensation or deferred a Year-End Performance Bonus under this Plan which was paid in that Plan Year; over</w:t>
      </w:r>
    </w:p>
    <w:p>
      <w:pPr>
        <w:spacing w:after="0" w:line="189" w:lineRule="exact"/>
        <w:rPr>
          <w:rFonts w:ascii="Times New Roman" w:cs="Times New Roman" w:eastAsia="Times New Roman" w:hAnsi="Times New Roman"/>
          <w:sz w:val="18"/>
          <w:szCs w:val="18"/>
          <w:color w:val="auto"/>
        </w:rPr>
      </w:pPr>
    </w:p>
    <w:p>
      <w:pPr>
        <w:ind w:left="2620" w:hanging="636"/>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actually credited to such Participant’s “Contribution Account” for such Plan Year.</w:t>
      </w:r>
    </w:p>
    <w:p>
      <w:pPr>
        <w:spacing w:after="0" w:line="252" w:lineRule="exact"/>
        <w:rPr>
          <w:sz w:val="20"/>
          <w:szCs w:val="20"/>
          <w:color w:val="auto"/>
        </w:rPr>
      </w:pPr>
    </w:p>
    <w:p>
      <w:pPr>
        <w:ind w:left="1540" w:right="120" w:hanging="506"/>
        <w:spacing w:after="0" w:line="282"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will become a Participant in this Plan, and a Benefit Restoration Account in the name of such Participant will be credited with an amount equal to the excess of:</w:t>
      </w:r>
    </w:p>
    <w:p>
      <w:pPr>
        <w:spacing w:after="0" w:line="188" w:lineRule="exact"/>
        <w:rPr>
          <w:rFonts w:ascii="Times New Roman" w:cs="Times New Roman" w:eastAsia="Times New Roman" w:hAnsi="Times New Roman"/>
          <w:sz w:val="18"/>
          <w:szCs w:val="18"/>
          <w:color w:val="auto"/>
        </w:rPr>
      </w:pPr>
    </w:p>
    <w:p>
      <w:pPr>
        <w:ind w:left="1040" w:right="160" w:firstLine="944"/>
        <w:spacing w:after="0" w:line="276" w:lineRule="auto"/>
        <w:tabs>
          <w:tab w:leader="none" w:pos="2613"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lesser of (1) four percent (4%) of the Eligible Employee’s “Compensation,” as defined in the TI Contribution and 401(k) Savings Plan for that Plan Year if the Eligible Employee’s “Compensation” (A) was not subject to the limitations under Section 401(a)</w:t>
      </w:r>
    </w:p>
    <w:p>
      <w:pPr>
        <w:ind w:left="1040" w:right="80" w:firstLine="3"/>
        <w:spacing w:after="0" w:line="252" w:lineRule="auto"/>
        <w:tabs>
          <w:tab w:leader="none" w:pos="138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Section 415 of the Code for such Plan Year and, (B) in the case of an Eligible Employee who is a Designated Employee, had not been reduced during that Plan Year because the Eligible Employee deferred Regular Compensation or deferred a Year-End Performance Bonus under this Plan which was paid in that Plan Year, or (2) the sum of (A) the “Employer 401(k) Contributions actually credited to such Eligible Employee’s “401(k) Account” pursuant to Section 4-1(a) of the TI Contribution and 401(k) Savings Plan, plus (B) the amount of the Regular Compensation and/or a Year-End Performance Bonus which was paid in such Plan Year deferred by the Eligible Employee under this Plan for such Plan Year; over</w:t>
      </w:r>
    </w:p>
    <w:p>
      <w:pPr>
        <w:spacing w:after="0" w:line="190" w:lineRule="exact"/>
        <w:rPr>
          <w:rFonts w:ascii="Times New Roman" w:cs="Times New Roman" w:eastAsia="Times New Roman" w:hAnsi="Times New Roman"/>
          <w:sz w:val="18"/>
          <w:szCs w:val="18"/>
          <w:color w:val="auto"/>
        </w:rPr>
      </w:pPr>
    </w:p>
    <w:p>
      <w:pPr>
        <w:ind w:left="1040" w:right="60" w:firstLine="944"/>
        <w:spacing w:after="0" w:line="282" w:lineRule="auto"/>
        <w:tabs>
          <w:tab w:leader="none" w:pos="262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401(m) Contributions” actually credited to such Participant’s “401(k) Account” under the TI Contribution and 401(k) Savings Plan for that Plan Year;</w:t>
      </w:r>
    </w:p>
    <w:p>
      <w:pPr>
        <w:spacing w:after="0" w:line="162" w:lineRule="exact"/>
        <w:rPr>
          <w:sz w:val="20"/>
          <w:szCs w:val="20"/>
          <w:color w:val="auto"/>
        </w:rPr>
      </w:pPr>
    </w:p>
    <w:p>
      <w:pPr>
        <w:ind w:left="1520"/>
        <w:spacing w:after="0" w:line="261" w:lineRule="auto"/>
        <w:rPr>
          <w:sz w:val="20"/>
          <w:szCs w:val="20"/>
          <w:color w:val="auto"/>
        </w:rPr>
      </w:pPr>
      <w:r>
        <w:rPr>
          <w:rFonts w:ascii="Times New Roman" w:cs="Times New Roman" w:eastAsia="Times New Roman" w:hAnsi="Times New Roman"/>
          <w:sz w:val="18"/>
          <w:szCs w:val="18"/>
          <w:color w:val="auto"/>
        </w:rPr>
        <w:t>provided that no benefit restoration shall be made pursuant to this Section 2-3(ii) unless the Eligible Employee has made an election under the TI Contribution and 401(k) Savings Plan to defer the maximum amount of compensation permitted under Section 402(g) of the Code, including, in the case of any Participant eligible to make catch-up contributions, the maximum amount of catch-up contributions permitted under Section 414(v) of the Code.</w:t>
      </w:r>
    </w:p>
    <w:p>
      <w:pPr>
        <w:spacing w:after="0" w:line="180" w:lineRule="exact"/>
        <w:rPr>
          <w:sz w:val="20"/>
          <w:szCs w:val="20"/>
          <w:color w:val="auto"/>
        </w:rPr>
      </w:pPr>
    </w:p>
    <w:p>
      <w:pPr>
        <w:ind w:left="1100" w:hanging="574"/>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of the Plan is amended, effective as of January 1, 2009, by striking said Section and substituting in lieu thereof the following new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w:t>
      </w:r>
    </w:p>
    <w:p>
      <w:pPr>
        <w:spacing w:after="0" w:line="205" w:lineRule="exact"/>
        <w:rPr>
          <w:sz w:val="20"/>
          <w:szCs w:val="20"/>
          <w:color w:val="auto"/>
        </w:rPr>
      </w:pPr>
    </w:p>
    <w:p>
      <w:pPr>
        <w:ind w:left="1040" w:right="200" w:firstLine="471"/>
        <w:spacing w:after="0" w:line="284" w:lineRule="auto"/>
        <w:rPr>
          <w:sz w:val="20"/>
          <w:szCs w:val="20"/>
          <w:color w:val="auto"/>
        </w:rPr>
      </w:pPr>
      <w:r>
        <w:rPr>
          <w:rFonts w:ascii="Times New Roman" w:cs="Times New Roman" w:eastAsia="Times New Roman" w:hAnsi="Times New Roman"/>
          <w:sz w:val="18"/>
          <w:szCs w:val="18"/>
          <w:color w:val="auto"/>
        </w:rPr>
        <w:t xml:space="preserve">Sec. 2-4. </w:t>
      </w:r>
      <w:r>
        <w:rPr>
          <w:rFonts w:ascii="Times New Roman" w:cs="Times New Roman" w:eastAsia="Times New Roman" w:hAnsi="Times New Roman"/>
          <w:sz w:val="18"/>
          <w:szCs w:val="18"/>
          <w:i w:val="1"/>
          <w:iCs w:val="1"/>
          <w:u w:val="single" w:color="auto"/>
          <w:color w:val="auto"/>
        </w:rPr>
        <w:t>Participation in a Benefit Restoration Account for Participants in the TI 401(k) Savings Plan</w:t>
      </w:r>
      <w:r>
        <w:rPr>
          <w:rFonts w:ascii="Times New Roman" w:cs="Times New Roman" w:eastAsia="Times New Roman" w:hAnsi="Times New Roman"/>
          <w:sz w:val="18"/>
          <w:szCs w:val="18"/>
          <w:color w:val="auto"/>
        </w:rPr>
        <w:t xml:space="preserve"> . A Designated Employee who otherwise is an Eligible Employee will become a Participant in this Plan, and a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left="1040" w:right="60"/>
        <w:spacing w:after="0" w:line="255" w:lineRule="auto"/>
        <w:rPr>
          <w:sz w:val="20"/>
          <w:szCs w:val="20"/>
          <w:color w:val="auto"/>
        </w:rPr>
      </w:pPr>
      <w:r>
        <w:rPr>
          <w:rFonts w:ascii="Times New Roman" w:cs="Times New Roman" w:eastAsia="Times New Roman" w:hAnsi="Times New Roman"/>
          <w:sz w:val="18"/>
          <w:szCs w:val="18"/>
          <w:color w:val="auto"/>
        </w:rPr>
        <w:t>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a Year-End Performance Bonus under this Plan which was paid in that Plan Year, as of the earliest date the Regular Compensation or Year-End Performance Bonus is credited to the Participant’s Deferred Compensation Account pursuant to Section 3-2 below;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185" w:lineRule="exact"/>
        <w:rPr>
          <w:sz w:val="20"/>
          <w:szCs w:val="20"/>
          <w:color w:val="auto"/>
        </w:rPr>
      </w:pPr>
    </w:p>
    <w:p>
      <w:pPr>
        <w:ind w:left="1100" w:hanging="574"/>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of the Plan is amended by adding the following new Section 3-7(iii) and renumbering current Sections 3-7(iii) and (iv) as Sections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3-7(iv) and (v):</w:t>
      </w:r>
    </w:p>
    <w:p>
      <w:pPr>
        <w:sectPr>
          <w:pgSz w:w="11900" w:h="16838" w:orient="portrait"/>
          <w:cols w:equalWidth="0" w:num="1">
            <w:col w:w="11400"/>
          </w:cols>
          <w:pgMar w:left="240" w:top="337" w:right="259" w:bottom="1440" w:gutter="0" w:footer="0" w:header="0"/>
        </w:sectPr>
      </w:pPr>
    </w:p>
    <w:p>
      <w:pPr>
        <w:spacing w:after="0" w:line="2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(iii)(a)</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the event a Participant experiences an Involuntary Termination within 24 months after a Change in Control, such Participant shall receive a distribution of the balances credited to the Participant’s Accounts which are attributable to amounts credited to those Accounts in Plan Years beginning on and after January 1, 2010, except that with respect to amounts credited to a Participant’s Account attributable to deferred Year-End Performance Bonuses and deferred Cash Profit Sharing Compensation, the provisions of this Section 3-7(iii)(a) shall only apply to such amounts credited to the Participant’s Accounts beginning on and after January 1, 2011.</w:t>
      </w:r>
    </w:p>
    <w:p>
      <w:pPr>
        <w:spacing w:after="0" w:line="188" w:lineRule="exact"/>
        <w:rPr>
          <w:sz w:val="20"/>
          <w:szCs w:val="20"/>
          <w:color w:val="auto"/>
        </w:rPr>
      </w:pPr>
    </w:p>
    <w:p>
      <w:pPr>
        <w:sectPr>
          <w:pgSz w:w="11900" w:h="16838" w:orient="portrait"/>
          <w:cols w:equalWidth="0" w:num="2">
            <w:col w:w="1500" w:space="560"/>
            <w:col w:w="9340"/>
          </w:cols>
          <w:pgMar w:left="240" w:top="337" w:right="259" w:bottom="1440" w:gutter="0" w:footer="0" w:header="0"/>
          <w:type w:val="continuous"/>
        </w:sectPr>
      </w:pPr>
    </w:p>
    <w:p>
      <w:pPr>
        <w:ind w:left="2080" w:hanging="519"/>
        <w:spacing w:after="0" w:line="256" w:lineRule="auto"/>
        <w:tabs>
          <w:tab w:leader="none" w:pos="2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without additional tax or penalty by Section 409A of the Code, the amounts to be distributed pursuant to this Section 3-7(iii) shall be paid in a lump sum on, or as soon as practicable (but no later than ninety (90) days) after, the Participant’s Involuntary Termination, provided, however, that if the Participant is a Specified Employee upon such Involuntary Termination, and the limitations set forth in Section 409A(a)(2)(B)(i) of the Code are applicable to such Participant, said amounts shall be distributed in a lump sum as soon as practicable (but no more than ten (10) days) after, the earlier of (1) the first day of the seventh month following such Participant’s Involuntary Termination, or, (2) the date of death of such Participant; and</w:t>
      </w:r>
    </w:p>
    <w:p>
      <w:pPr>
        <w:spacing w:after="0" w:line="187" w:lineRule="exact"/>
        <w:rPr>
          <w:rFonts w:ascii="Times New Roman" w:cs="Times New Roman" w:eastAsia="Times New Roman" w:hAnsi="Times New Roman"/>
          <w:sz w:val="18"/>
          <w:szCs w:val="18"/>
          <w:color w:val="auto"/>
        </w:rPr>
      </w:pPr>
    </w:p>
    <w:p>
      <w:pPr>
        <w:jc w:val="both"/>
        <w:ind w:left="2080" w:right="80" w:hanging="519"/>
        <w:spacing w:after="0" w:line="289" w:lineRule="auto"/>
        <w:tabs>
          <w:tab w:leader="none" w:pos="2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distributions of amounts pursuant to this Section 3-7(iii) are not permitted without additional tax or penalty by Section 409A of the Code, the affected Participants shall receive distribution of the amounts referred to in this Section 3-7(iii) at the appropriate Scheduled Distribution Dates and in the appropriate forms of payment otherwise elected by such Participants.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hereby adopts this AMENDMENT NO. 1 TO THE TI DEFERRED COMPENSATION PLAN on this 22 day of December, 2009, effective as of the dates set forth above, reflecting amendments approved by the Compensation Committee of the Board of Directors of Texas Instruments Incorporated on September 17, 2009 and amendments adopted pursuant to authority delegated by the Board of Directors of Texas Instruments Incorporated.</w:t>
      </w:r>
    </w:p>
    <w:p>
      <w:pPr>
        <w:spacing w:after="0" w:line="203"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DARLA WHITAKER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333333"/>
        </w:rPr>
        <w:t>Senior 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 DEFERRED COMPENSATION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(EFFECTIVE JANUARY 1, 2009)</w:t>
      </w:r>
    </w:p>
    <w:p>
      <w:pPr>
        <w:spacing w:after="0" w:line="207" w:lineRule="exact"/>
        <w:rPr>
          <w:sz w:val="20"/>
          <w:szCs w:val="20"/>
          <w:color w:val="auto"/>
        </w:rPr>
      </w:pPr>
    </w:p>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Deferred Compensation Plan (Effective January 1, 2009) (the "Plan"), does hereby amend the Plan, effective as of August 1, 2012, as follows:</w:t>
      </w:r>
    </w:p>
    <w:p>
      <w:pPr>
        <w:spacing w:after="0" w:line="162" w:lineRule="exact"/>
        <w:rPr>
          <w:sz w:val="20"/>
          <w:szCs w:val="20"/>
          <w:color w:val="auto"/>
        </w:rPr>
      </w:pPr>
    </w:p>
    <w:p>
      <w:pPr>
        <w:ind w:left="1100" w:hanging="574"/>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3-6(v) of the Plan is amended by striking the first sentence of said Section and substituting in lieu thereof the following new sentence:</w:t>
      </w:r>
    </w:p>
    <w:p>
      <w:pPr>
        <w:spacing w:after="0" w:line="225" w:lineRule="exact"/>
        <w:rPr>
          <w:sz w:val="20"/>
          <w:szCs w:val="20"/>
          <w:color w:val="auto"/>
        </w:rPr>
      </w:pPr>
    </w:p>
    <w:p>
      <w:pPr>
        <w:jc w:val="both"/>
        <w:ind w:left="520" w:right="40"/>
        <w:spacing w:after="0" w:line="261" w:lineRule="auto"/>
        <w:rPr>
          <w:sz w:val="20"/>
          <w:szCs w:val="20"/>
          <w:color w:val="auto"/>
        </w:rPr>
      </w:pPr>
      <w:r>
        <w:rPr>
          <w:rFonts w:ascii="Times New Roman" w:cs="Times New Roman" w:eastAsia="Times New Roman" w:hAnsi="Times New Roman"/>
          <w:sz w:val="18"/>
          <w:szCs w:val="18"/>
          <w:color w:val="auto"/>
        </w:rPr>
        <w:t>Any Scheduled Distribution Date and/or form of distribution from Accounts, whether previously elected or otherwise specified, may be revoked by a Participant and a new election substituted therefore as permitted by the Administration Committee, but in no event may a new election with respect to a specific amount subject to a Scheduled Distribution Date provided for in Section 3-6(i)(a) and/or form of distribution provided for in Section 3-6(ii) be made more often than once in any twelve (12)-month period.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adopts this AMENDMENT NO. 2 TO THE TI DEFERRED COMPENSATION PLAN on this 30th day of July, 2012, effective as of the date set forth above, reflecting an amendment adopted pursuant to authority delegated by the Board of Directors of Texas Instruments Incorporated.</w:t>
      </w:r>
    </w:p>
    <w:p>
      <w:pPr>
        <w:spacing w:after="0" w:line="18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DARLA WHITAKER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 DEFERRED COMPENSATION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JANUARY 1, 2009)</w:t>
      </w:r>
    </w:p>
    <w:p>
      <w:pPr>
        <w:spacing w:after="0" w:line="207"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Deferred Compensation Plan (Effective January 1, 2009) (the "Plan"), does hereby amend the Plan, effective as of June 26, 2013, to conform the terms of the Plan to the administration of the Plan, as follows:</w:t>
      </w:r>
    </w:p>
    <w:p>
      <w:pPr>
        <w:spacing w:after="0" w:line="176" w:lineRule="exact"/>
        <w:rPr>
          <w:sz w:val="20"/>
          <w:szCs w:val="20"/>
          <w:color w:val="auto"/>
        </w:rPr>
      </w:pPr>
    </w:p>
    <w:p>
      <w:pPr>
        <w:ind w:left="1100" w:hanging="574"/>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of the Plan is amended by striking the second sentence of said Section and substituting in lieu thereof the following new sentence:</w:t>
      </w:r>
    </w:p>
    <w:p>
      <w:pPr>
        <w:spacing w:after="0" w:line="225"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“Beneficiary” means, in the case of a married Participant, the spouse (as defined, for all purposes under the Plan, by U.S. federal tax law) of the Participant at the time of his death, provided that a married Participant shall be entitled to designate one or more of the types of Beneficiaries or contingent Beneficiaries that an unmarried Participant may select, other than the Participant’s spouse, to receive any amount payable under the Plan in the event of his death and from time to time to change such designation.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hereby adopts this AMENDMENT NO. 3 TO THE TI DEFERRED COMPENSATION PLAN on this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2015, effective as of the date set forth above, pursuant to authority delegated by the Board of Directors of Texas Instruments Incorporated.</w:t>
      </w:r>
    </w:p>
    <w:p>
      <w:pPr>
        <w:spacing w:after="0" w:line="189" w:lineRule="exact"/>
        <w:rPr>
          <w:sz w:val="20"/>
          <w:szCs w:val="20"/>
          <w:color w:val="auto"/>
        </w:rPr>
      </w:pPr>
    </w:p>
    <w:p>
      <w:pPr>
        <w:ind w:left="628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DARLA WHITAKER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333333"/>
        </w:rPr>
        <w:t>Senior Vice President - Human Resources</w:t>
      </w:r>
    </w:p>
    <w:p>
      <w:pPr>
        <w:sectPr>
          <w:pgSz w:w="11900" w:h="16838" w:orient="portrait"/>
          <w:cols w:equalWidth="0" w:num="1">
            <w:col w:w="11420"/>
          </w:cols>
          <w:pgMar w:left="240" w:top="117"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TI EMPLOYEES NON-QUALIFIED PENSION PLAN</w:t>
      </w:r>
    </w:p>
    <w:p>
      <w:pPr>
        <w:spacing w:after="0" w:line="24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3879215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w:t>
            </w:r>
          </w:p>
        </w:tc>
        <w:tc>
          <w:tcPr>
            <w:tcW w:w="738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Borders>
              <w:bottom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Administration Committee</w:t>
            </w:r>
          </w:p>
        </w:tc>
        <w:tc>
          <w:tcPr>
            <w:tcW w:w="482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1-1A.</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Affected Participant</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Beneficiar</w:t>
            </w:r>
            <w:r>
              <w:rPr>
                <w:rFonts w:ascii="Times New Roman" w:cs="Times New Roman" w:eastAsia="Times New Roman" w:hAnsi="Times New Roman"/>
                <w:sz w:val="18"/>
                <w:szCs w:val="18"/>
                <w:b w:val="1"/>
                <w:bCs w:val="1"/>
                <w:i w:val="1"/>
                <w:iCs w:val="1"/>
                <w:color w:val="auto"/>
                <w:w w:val="98"/>
              </w:rPr>
              <w:t>y</w:t>
            </w:r>
          </w:p>
        </w:tc>
        <w:tc>
          <w:tcPr>
            <w:tcW w:w="620" w:type="dxa"/>
            <w:vAlign w:val="bottom"/>
            <w:tcBorders>
              <w:top w:val="single" w:sz="8" w:color="auto"/>
            </w:tcBorders>
            <w:gridSpan w:val="13"/>
          </w:tcPr>
          <w:p>
            <w:pPr>
              <w:spacing w:after="0"/>
              <w:rPr>
                <w:sz w:val="17"/>
                <w:szCs w:val="17"/>
                <w:color w:val="auto"/>
              </w:rPr>
            </w:pPr>
          </w:p>
        </w:tc>
        <w:tc>
          <w:tcPr>
            <w:tcW w:w="5280" w:type="dxa"/>
            <w:vAlign w:val="bottom"/>
            <w:gridSpan w:val="1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1-3.</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Board of Directors</w:t>
            </w:r>
          </w:p>
        </w:tc>
        <w:tc>
          <w:tcPr>
            <w:tcW w:w="5360" w:type="dxa"/>
            <w:vAlign w:val="bottom"/>
            <w:gridSpan w:val="1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1-3A.</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Change of Control</w:t>
            </w:r>
          </w:p>
        </w:tc>
        <w:tc>
          <w:tcPr>
            <w:tcW w:w="5380" w:type="dxa"/>
            <w:vAlign w:val="bottom"/>
            <w:gridSpan w:val="2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1-4.</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Code</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1-5.</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Borders>
              <w:bottom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Compensation Committee</w:t>
            </w:r>
          </w:p>
        </w:tc>
        <w:tc>
          <w:tcPr>
            <w:tcW w:w="4860" w:type="dxa"/>
            <w:vAlign w:val="bottom"/>
            <w:gridSpan w:val="1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1-6.</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[Reserved]</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1-7.</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Employee</w:t>
            </w:r>
          </w:p>
        </w:tc>
        <w:tc>
          <w:tcPr>
            <w:tcW w:w="60" w:type="dxa"/>
            <w:vAlign w:val="bottom"/>
            <w:tcBorders>
              <w:top w:val="single" w:sz="8" w:color="auto"/>
            </w:tcBorders>
            <w:gridSpan w:val="2"/>
          </w:tcPr>
          <w:p>
            <w:pPr>
              <w:spacing w:after="0"/>
              <w:rPr>
                <w:sz w:val="17"/>
                <w:szCs w:val="17"/>
                <w:color w:val="auto"/>
              </w:rPr>
            </w:pPr>
          </w:p>
        </w:tc>
        <w:tc>
          <w:tcPr>
            <w:tcW w:w="5940" w:type="dxa"/>
            <w:vAlign w:val="bottom"/>
            <w:gridSpan w:val="3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1-8.</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Employer</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1-9.</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ERISA</w:t>
            </w:r>
          </w:p>
        </w:tc>
        <w:tc>
          <w:tcPr>
            <w:tcW w:w="200" w:type="dxa"/>
            <w:vAlign w:val="bottom"/>
            <w:tcBorders>
              <w:top w:val="single" w:sz="8" w:color="auto"/>
            </w:tcBorders>
            <w:gridSpan w:val="2"/>
          </w:tcPr>
          <w:p>
            <w:pPr>
              <w:spacing w:after="0"/>
              <w:rPr>
                <w:sz w:val="17"/>
                <w:szCs w:val="17"/>
                <w:color w:val="auto"/>
              </w:rPr>
            </w:pPr>
          </w:p>
        </w:tc>
        <w:tc>
          <w:tcPr>
            <w:tcW w:w="6040" w:type="dxa"/>
            <w:vAlign w:val="bottom"/>
            <w:gridSpan w:val="3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1-9A.</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Frozen Accrued Benefit</w:t>
            </w:r>
          </w:p>
        </w:tc>
        <w:tc>
          <w:tcPr>
            <w:tcW w:w="502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1-10.</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Participant</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6"/>
              </w:rPr>
              <w:t>Plan Year</w:t>
            </w:r>
          </w:p>
        </w:tc>
        <w:tc>
          <w:tcPr>
            <w:tcW w:w="100" w:type="dxa"/>
            <w:vAlign w:val="bottom"/>
            <w:tcBorders>
              <w:top w:val="single" w:sz="8" w:color="auto"/>
            </w:tcBorders>
            <w:gridSpan w:val="4"/>
          </w:tcPr>
          <w:p>
            <w:pPr>
              <w:spacing w:after="0"/>
              <w:rPr>
                <w:sz w:val="17"/>
                <w:szCs w:val="17"/>
                <w:color w:val="auto"/>
              </w:rPr>
            </w:pPr>
          </w:p>
        </w:tc>
        <w:tc>
          <w:tcPr>
            <w:tcW w:w="5920" w:type="dxa"/>
            <w:vAlign w:val="bottom"/>
            <w:gridSpan w:val="3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20" w:type="dxa"/>
            <w:vAlign w:val="bottom"/>
            <w:gridSpan w:val="3"/>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1-11A.</w:t>
            </w:r>
          </w:p>
        </w:tc>
        <w:tc>
          <w:tcPr>
            <w:tcW w:w="100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6"/>
              </w:rPr>
              <w:t>Present Value</w:t>
            </w:r>
          </w:p>
        </w:tc>
        <w:tc>
          <w:tcPr>
            <w:tcW w:w="5740" w:type="dxa"/>
            <w:vAlign w:val="bottom"/>
            <w:gridSpan w:val="2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w w:val="96"/>
              </w:rPr>
              <w:t>Sec. 1-11B.</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Sale of Assets</w:t>
            </w:r>
          </w:p>
        </w:tc>
        <w:tc>
          <w:tcPr>
            <w:tcW w:w="5740" w:type="dxa"/>
            <w:vAlign w:val="bottom"/>
            <w:gridSpan w:val="2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Subsidiary</w:t>
            </w:r>
          </w:p>
        </w:tc>
        <w:tc>
          <w:tcPr>
            <w:tcW w:w="5960" w:type="dxa"/>
            <w:vAlign w:val="bottom"/>
            <w:gridSpan w:val="3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1-13.</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Borders>
              <w:bottom w:val="single" w:sz="8" w:color="auto"/>
            </w:tcBorders>
            <w:gridSpan w:val="35"/>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Termination of Employment</w:t>
            </w:r>
          </w:p>
        </w:tc>
        <w:tc>
          <w:tcPr>
            <w:tcW w:w="4720" w:type="dxa"/>
            <w:vAlign w:val="bottom"/>
            <w:gridSpan w:val="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II</w:t>
            </w:r>
          </w:p>
        </w:tc>
        <w:tc>
          <w:tcPr>
            <w:tcW w:w="738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ARTICIPATION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2-1.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Eligibility and Participation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III</w:t>
            </w:r>
          </w:p>
        </w:tc>
        <w:tc>
          <w:tcPr>
            <w:tcW w:w="738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UPPLEMENTAL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Borders>
              <w:bottom w:val="single" w:sz="8" w:color="auto"/>
            </w:tcBorders>
            <w:gridSpan w:val="29"/>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Supplemental Benefits</w:t>
            </w:r>
          </w:p>
        </w:tc>
        <w:tc>
          <w:tcPr>
            <w:tcW w:w="5120" w:type="dxa"/>
            <w:vAlign w:val="bottom"/>
            <w:gridSpan w:val="1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Payment of Supplemental Benefit</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3-3.</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Borders>
              <w:top w:val="single" w:sz="8" w:color="auto"/>
            </w:tcBorders>
            <w:gridSpan w:val="38"/>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Restrictions</w:t>
            </w:r>
          </w:p>
        </w:tc>
        <w:tc>
          <w:tcPr>
            <w:tcW w:w="434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3-4.</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5"/>
              </w:rPr>
              <w:t>Taxes</w:t>
            </w:r>
          </w:p>
        </w:tc>
        <w:tc>
          <w:tcPr>
            <w:tcW w:w="440" w:type="dxa"/>
            <w:vAlign w:val="bottom"/>
            <w:tcBorders>
              <w:top w:val="single" w:sz="8" w:color="auto"/>
            </w:tcBorders>
            <w:gridSpan w:val="11"/>
          </w:tcPr>
          <w:p>
            <w:pPr>
              <w:spacing w:after="0"/>
              <w:rPr>
                <w:sz w:val="17"/>
                <w:szCs w:val="17"/>
                <w:color w:val="auto"/>
              </w:rPr>
            </w:pPr>
          </w:p>
        </w:tc>
        <w:tc>
          <w:tcPr>
            <w:tcW w:w="5880" w:type="dxa"/>
            <w:vAlign w:val="bottom"/>
            <w:gridSpan w:val="2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3-5.</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Assignment</w:t>
            </w:r>
          </w:p>
        </w:tc>
        <w:tc>
          <w:tcPr>
            <w:tcW w:w="5900" w:type="dxa"/>
            <w:vAlign w:val="bottom"/>
            <w:gridSpan w:val="3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3-6.</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Alternate Payee Claims</w:t>
            </w:r>
          </w:p>
        </w:tc>
        <w:tc>
          <w:tcPr>
            <w:tcW w:w="502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i w:val="1"/>
                <w:iCs w:val="1"/>
                <w:color w:val="auto"/>
              </w:rPr>
              <w:t>Sec. 3-7.</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Incompetent</w:t>
            </w:r>
          </w:p>
        </w:tc>
        <w:tc>
          <w:tcPr>
            <w:tcW w:w="5800" w:type="dxa"/>
            <w:vAlign w:val="bottom"/>
            <w:gridSpan w:val="2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IV</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UNDING</w:t>
            </w:r>
          </w:p>
        </w:tc>
        <w:tc>
          <w:tcPr>
            <w:tcW w:w="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i w:val="1"/>
                <w:iCs w:val="1"/>
                <w:color w:val="auto"/>
                <w:w w:val="98"/>
              </w:rPr>
              <w:t>Funding</w:t>
            </w:r>
          </w:p>
        </w:tc>
        <w:tc>
          <w:tcPr>
            <w:tcW w:w="6120" w:type="dxa"/>
            <w:vAlign w:val="bottom"/>
            <w:gridSpan w:val="37"/>
            <w:vMerge w:val="restart"/>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1"/>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4-1.</w:t>
            </w: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gridSpan w:val="6"/>
            <w:vMerge w:val="continue"/>
          </w:tcPr>
          <w:p>
            <w:pPr>
              <w:spacing w:after="0"/>
              <w:rPr>
                <w:sz w:val="17"/>
                <w:szCs w:val="17"/>
                <w:color w:val="auto"/>
              </w:rPr>
            </w:pPr>
          </w:p>
        </w:tc>
        <w:tc>
          <w:tcPr>
            <w:tcW w:w="6120" w:type="dxa"/>
            <w:vAlign w:val="bottom"/>
            <w:gridSpan w:val="37"/>
            <w:vMerge w:val="continue"/>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4-2.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Creditor Status</w:t>
            </w:r>
          </w:p>
        </w:tc>
        <w:tc>
          <w:tcPr>
            <w:tcW w:w="5620" w:type="dxa"/>
            <w:vAlign w:val="bottom"/>
            <w:gridSpan w:val="2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V</w:t>
            </w:r>
          </w:p>
        </w:tc>
        <w:tc>
          <w:tcPr>
            <w:tcW w:w="738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5-1.</w:t>
            </w: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Administration</w:t>
            </w:r>
          </w:p>
        </w:tc>
        <w:tc>
          <w:tcPr>
            <w:tcW w:w="320" w:type="dxa"/>
            <w:vAlign w:val="bottom"/>
            <w:tcBorders>
              <w:top w:val="single" w:sz="8" w:color="auto"/>
            </w:tcBorders>
            <w:gridSpan w:val="5"/>
          </w:tcPr>
          <w:p>
            <w:pPr>
              <w:spacing w:after="0"/>
              <w:rPr>
                <w:sz w:val="17"/>
                <w:szCs w:val="17"/>
                <w:color w:val="auto"/>
              </w:rPr>
            </w:pPr>
          </w:p>
        </w:tc>
        <w:tc>
          <w:tcPr>
            <w:tcW w:w="5320" w:type="dxa"/>
            <w:vAlign w:val="bottom"/>
            <w:gridSpan w:val="1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Number and Selection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60" w:type="dxa"/>
            <w:vAlign w:val="bottom"/>
            <w:gridSpan w:val="9"/>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5-3.</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Action by Administration Committee</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5-4.</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top w:val="single" w:sz="8" w:color="auto"/>
            </w:tcBorders>
            <w:gridSpan w:val="41"/>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Recordkeeping</w:t>
            </w:r>
          </w:p>
        </w:tc>
        <w:tc>
          <w:tcPr>
            <w:tcW w:w="410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60" w:type="dxa"/>
            <w:vAlign w:val="bottom"/>
            <w:gridSpan w:val="9"/>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5-5.</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Rules and Regulations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60" w:type="dxa"/>
            <w:vAlign w:val="bottom"/>
            <w:gridSpan w:val="9"/>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6"/>
            <w:shd w:val="clear" w:color="auto" w:fill="000000"/>
          </w:tcPr>
          <w:p>
            <w:pPr>
              <w:spacing w:after="0" w:line="20" w:lineRule="exact"/>
              <w:rPr>
                <w:sz w:val="1"/>
                <w:szCs w:val="1"/>
                <w:color w:val="auto"/>
              </w:rPr>
            </w:pPr>
          </w:p>
        </w:tc>
        <w:tc>
          <w:tcPr>
            <w:tcW w:w="480" w:type="dxa"/>
            <w:vAlign w:val="bottom"/>
            <w:gridSpan w:val="7"/>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5-6.</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auto"/>
            </w:tcBorders>
            <w:gridSpan w:val="30"/>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Reliance on Documents</w:t>
            </w:r>
          </w:p>
        </w:tc>
        <w:tc>
          <w:tcPr>
            <w:tcW w:w="502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5-7.</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Non-Liability</w:t>
            </w:r>
          </w:p>
        </w:tc>
        <w:tc>
          <w:tcPr>
            <w:tcW w:w="5760" w:type="dxa"/>
            <w:vAlign w:val="bottom"/>
            <w:gridSpan w:val="2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5-8.</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Resignation or Removal</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60" w:type="dxa"/>
            <w:vAlign w:val="bottom"/>
            <w:gridSpan w:val="9"/>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7"/>
            <w:shd w:val="clear" w:color="auto" w:fill="000000"/>
          </w:tcPr>
          <w:p>
            <w:pPr>
              <w:spacing w:after="0" w:line="20" w:lineRule="exact"/>
              <w:rPr>
                <w:sz w:val="1"/>
                <w:szCs w:val="1"/>
                <w:color w:val="auto"/>
              </w:rPr>
            </w:pPr>
          </w:p>
        </w:tc>
        <w:tc>
          <w:tcPr>
            <w:tcW w:w="600" w:type="dxa"/>
            <w:vAlign w:val="bottom"/>
            <w:gridSpan w:val="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5-9.</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tcBorders>
              <w:bottom w:val="single" w:sz="8" w:color="auto"/>
            </w:tcBorders>
            <w:gridSpan w:val="42"/>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Information: Overpayment or Underpayment of Benefits</w:t>
            </w:r>
          </w:p>
        </w:tc>
        <w:tc>
          <w:tcPr>
            <w:tcW w:w="266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5-10.</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7"/>
              </w:rPr>
              <w:t>Notice</w:t>
            </w:r>
          </w:p>
        </w:tc>
        <w:tc>
          <w:tcPr>
            <w:tcW w:w="6260" w:type="dxa"/>
            <w:vAlign w:val="bottom"/>
            <w:gridSpan w:val="3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VI</w:t>
            </w:r>
          </w:p>
        </w:tc>
        <w:tc>
          <w:tcPr>
            <w:tcW w:w="738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gridSpan w:val="1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Amendment, Termination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auto"/>
            </w:tcBorders>
            <w:gridSpan w:val="15"/>
            <w:shd w:val="clear" w:color="auto" w:fill="000000"/>
          </w:tcPr>
          <w:p>
            <w:pPr>
              <w:spacing w:after="0" w:line="20" w:lineRule="exact"/>
              <w:rPr>
                <w:sz w:val="1"/>
                <w:szCs w:val="1"/>
                <w:color w:val="auto"/>
              </w:rPr>
            </w:pPr>
          </w:p>
        </w:tc>
        <w:tc>
          <w:tcPr>
            <w:tcW w:w="200" w:type="dxa"/>
            <w:vAlign w:val="bottom"/>
            <w:gridSpan w:val="7"/>
            <w:shd w:val="clear" w:color="auto" w:fill="000000"/>
          </w:tcPr>
          <w:p>
            <w:pPr>
              <w:spacing w:after="0" w:line="20" w:lineRule="exact"/>
              <w:rPr>
                <w:sz w:val="1"/>
                <w:szCs w:val="1"/>
                <w:color w:val="auto"/>
              </w:rPr>
            </w:pPr>
          </w:p>
        </w:tc>
        <w:tc>
          <w:tcPr>
            <w:tcW w:w="680" w:type="dxa"/>
            <w:vAlign w:val="bottom"/>
            <w:gridSpan w:val="10"/>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6-2.</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Plan Not an Employment Contract</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6-3.</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top w:val="single" w:sz="8" w:color="auto"/>
            </w:tcBorders>
            <w:gridSpan w:val="40"/>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Rights of Persons Making Claims</w:t>
            </w:r>
          </w:p>
        </w:tc>
        <w:tc>
          <w:tcPr>
            <w:tcW w:w="42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6-4.</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Borders>
              <w:top w:val="single" w:sz="8" w:color="auto"/>
              <w:bottom w:val="single" w:sz="8" w:color="auto"/>
            </w:tcBorders>
            <w:gridSpan w:val="37"/>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Status of Benefits in this Plan</w:t>
            </w:r>
          </w:p>
        </w:tc>
        <w:tc>
          <w:tcPr>
            <w:tcW w:w="280" w:type="dxa"/>
            <w:vAlign w:val="bottom"/>
            <w:tcBorders>
              <w:top w:val="single" w:sz="8" w:color="auto"/>
            </w:tcBorders>
            <w:gridSpan w:val="2"/>
          </w:tcPr>
          <w:p>
            <w:pPr>
              <w:spacing w:after="0"/>
              <w:rPr>
                <w:sz w:val="17"/>
                <w:szCs w:val="17"/>
                <w:color w:val="auto"/>
              </w:rPr>
            </w:pPr>
          </w:p>
        </w:tc>
        <w:tc>
          <w:tcPr>
            <w:tcW w:w="432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6-5.</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Governing Law</w:t>
            </w:r>
          </w:p>
        </w:tc>
        <w:tc>
          <w:tcPr>
            <w:tcW w:w="5600" w:type="dxa"/>
            <w:vAlign w:val="bottom"/>
            <w:gridSpan w:val="2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48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Sec. 6-6.</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Construction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1" w:name="page92"/>
    <w:bookmarkEnd w:id="9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 EMPLOYEES NON-QUALIFIED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TEXAS INSTRUMENTS INCORPORATED, a Delaware corporation with its principal offices in Dallas, Texas (hereinafter referred to as “TI” or “the Company”) established the TI Supplemental Pension Plan in order to provide a select group of management or highly compensated employees described in Section 201(2) of the Employee Retirement Income Security Act of 1974, as amended (“ERISA”) with the opportunity to restore certain benefits which cannot be provided under the TI Employees Pension Plan as a result of (i) deferral of compensation under the TI Deferred Compensation Plan or (ii) the application of Section 401(a)(17) and/or Section 415 of the Internal Revenue Code of 1986, as amended (the “Code”). With respect to benefits or contributions lost under the TI Employees Pension Plan by reason of the operation of Section 415 of the Code, the TI Supplement Pension Plan is intended to constitute an “excess benefit plan”, as defined in Section 3 of ERISA, that is exempt from the provisions of ERISA by reason of Section 4(b)(5) of ERISA. The benefits provided under the TI Supplemental Pension Plan are unfunded with the result that the participants in the Plan are general unsecured creditors of TI.</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TI Employees Pension Plan was amended so that as of January 1, 1998, no Employee of any Employer who was not a participant in the TI Employees Pension Plan on December 31, 1997 is eligible to become a participant in that plan. Therefore, on and after January 1, 1998, no Employee of any Employer who was not a participant in the TI Employees Pension Plan on December 31, 1997 was eligible to become a participant in the TI Supplemental Pension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Effective as of December 31, 2004, the TI Supplement Pension Plan was frozen so that it does not apply to any benefits which were not earned and vested on December 31, 2004. Effective as of November 8, 2006, the name of the TI Supplement Pension Plan was changed to the “TI Employees Non-Qualified Pension Plan.” Any benefits earned and/or vested after December 31, 2004 are provided under the new non-qualified pension plan which was established by TI effective as of January 1, 2005 and is subject to Section 409A of the Code.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set forth herein constitute the TI Employees Non-Qualified Pension Plan from and after January 1, 2009 (the “Plan”), to the extent application of such provisions will not cause Section 409A of the Code to apply to the Plan, and such provisions shall continue to apply to benefits earned and vested as of December 31, 2004 which were not paid out of the Plan prior to January 1, 2009.</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92" w:name="page93"/>
    <w:bookmarkEnd w:id="92"/>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31"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EFINITIONS</w:t>
      </w:r>
    </w:p>
    <w:p>
      <w:pPr>
        <w:spacing w:after="0" w:line="207"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Administration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Committee” means the person or persons from time to time acting under the</w:t>
            </w: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provisions of Article V hereof.</w:t>
            </w: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40" w:type="dxa"/>
            <w:vAlign w:val="bottom"/>
          </w:tcPr>
          <w:p>
            <w:pPr>
              <w:spacing w:after="0"/>
              <w:rPr>
                <w:sz w:val="20"/>
                <w:szCs w:val="20"/>
                <w:color w:val="auto"/>
              </w:rPr>
            </w:pP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1-1A.</w:t>
            </w:r>
          </w:p>
        </w:tc>
        <w:tc>
          <w:tcPr>
            <w:tcW w:w="120" w:type="dxa"/>
            <w:vAlign w:val="bottom"/>
          </w:tcPr>
          <w:p>
            <w:pPr>
              <w:spacing w:after="0"/>
              <w:rPr>
                <w:sz w:val="24"/>
                <w:szCs w:val="24"/>
                <w:color w:val="auto"/>
              </w:rPr>
            </w:pP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Affected Participant</w:t>
            </w:r>
            <w:r>
              <w:rPr>
                <w:rFonts w:ascii="Times New Roman" w:cs="Times New Roman" w:eastAsia="Times New Roman" w:hAnsi="Times New Roman"/>
                <w:sz w:val="18"/>
                <w:szCs w:val="18"/>
                <w:color w:val="auto"/>
              </w:rPr>
              <w:t>. “Affected Participant” means a Participant who experiences a Termination of Employment as a</w:t>
            </w:r>
          </w:p>
        </w:tc>
      </w:tr>
      <w:tr>
        <w:trPr>
          <w:trHeight w:val="20"/>
        </w:trPr>
        <w:tc>
          <w:tcPr>
            <w:tcW w:w="2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r>
      <w:tr>
        <w:trPr>
          <w:trHeight w:val="237"/>
        </w:trPr>
        <w:tc>
          <w:tcPr>
            <w:tcW w:w="11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result of a Sale of Assets, and who following the Sale of Assets continues in the employ of the entity that acquired such assets from the Employer.</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1-2.</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w w:val="99"/>
              </w:rPr>
              <w:t>Beneficiar</w:t>
            </w:r>
            <w:r>
              <w:rPr>
                <w:rFonts w:ascii="Times New Roman" w:cs="Times New Roman" w:eastAsia="Times New Roman" w:hAnsi="Times New Roman"/>
                <w:sz w:val="18"/>
                <w:szCs w:val="18"/>
                <w:b w:val="1"/>
                <w:bCs w:val="1"/>
                <w:i w:val="1"/>
                <w:iCs w:val="1"/>
                <w:color w:val="auto"/>
                <w:w w:val="99"/>
              </w:rPr>
              <w:t>y</w:t>
            </w:r>
            <w:r>
              <w:rPr>
                <w:rFonts w:ascii="Times New Roman" w:cs="Times New Roman" w:eastAsia="Times New Roman" w:hAnsi="Times New Roman"/>
                <w:sz w:val="18"/>
                <w:szCs w:val="18"/>
                <w:color w:val="auto"/>
                <w:w w:val="99"/>
              </w:rPr>
              <w:t>. “Beneficiary” means the person or persons, entity or entities, trust or trusts, or the Participant’s estate, including</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one or more organizations described in each of Sections 170(c), 2055(a), and 2522(a) of the Code (or any substitute provisions), named by a Participant who is not married as his Beneficiary or contingent Beneficiary under the TI Employees Pension Plan. “Beneficiary” means, in the case of a married Participant, the spouse (as defined in the Defense of Marriage Act) of the Participant at the time of his death, unless the Participant has designated another joint annuitant, contingent annuitant, Beneficiary, or contingent Beneficiary under the TI Employees Pension Plan, in which case such persons or person, entity or entities, trust or trusts, or the Participant’s estate shall be the Beneficiary(ies) under this Plan.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person who is an alternate payee under a qualified domestic relations order may be considered a Beneficiary for purposes of this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1-3.</w:t>
            </w: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Board of Directors</w:t>
            </w:r>
            <w:r>
              <w:rPr>
                <w:rFonts w:ascii="Times New Roman" w:cs="Times New Roman" w:eastAsia="Times New Roman" w:hAnsi="Times New Roman"/>
                <w:sz w:val="18"/>
                <w:szCs w:val="18"/>
                <w:color w:val="auto"/>
                <w:w w:val="99"/>
              </w:rPr>
              <w:t>. “Board of Directors” means the Board of Directors of TI or of any Subsidiary which has adopted this</w:t>
            </w: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1-3A.</w:t>
            </w:r>
          </w:p>
        </w:tc>
        <w:tc>
          <w:tcPr>
            <w:tcW w:w="1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“Change of Control” means an event which shall be deemed to have occurred when:</w:t>
            </w: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right="200" w:hanging="519"/>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alone or together with its Affiliates and Associates or otherwise, shall become an Acquiring Person (otherwise than pursuant to a transaction or agreement approved by the Board of Directors of TI prior to the time the Acquiring Person became such); or</w:t>
      </w:r>
    </w:p>
    <w:p>
      <w:pPr>
        <w:spacing w:after="0" w:line="161" w:lineRule="exact"/>
        <w:rPr>
          <w:rFonts w:ascii="Times New Roman" w:cs="Times New Roman" w:eastAsia="Times New Roman" w:hAnsi="Times New Roman"/>
          <w:sz w:val="18"/>
          <w:szCs w:val="18"/>
          <w:color w:val="auto"/>
        </w:rPr>
      </w:pPr>
    </w:p>
    <w:p>
      <w:pPr>
        <w:ind w:left="1040" w:right="80" w:hanging="519"/>
        <w:spacing w:after="0" w:line="256"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of TI shall change within any twenty-four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“Persons”, “Affiliates”, “Associates”, “Acquiring Person” and “Period” shall have the meanings given to such terms in the Rights Agreement dated as of June 17, 1988, between the Company and Harris Trust and Savings Bank, successor in interest to First Chicago Trust Company of New York (formerly Morgan Shareholder Services Trust Company), as in effect on October 3, 2004.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1-4.</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“Code” means the Internal Revenue Code of 1986, as amended.</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41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1-5.</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“Compensation Committee” means the Compensation Committee of the Board of Directors of</w:t>
            </w: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TI.</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120" w:type="dxa"/>
            <w:vAlign w:val="bottom"/>
          </w:tcPr>
          <w:p>
            <w:pPr>
              <w:spacing w:after="0"/>
              <w:rPr>
                <w:sz w:val="20"/>
                <w:szCs w:val="20"/>
                <w:color w:val="auto"/>
              </w:rPr>
            </w:pP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1-6.</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41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1-7.</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“Employee” means any employee of TI or its Subsidiaries, whether full or part-time, other than an employee</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237"/>
        </w:trPr>
        <w:tc>
          <w:tcPr>
            <w:tcW w:w="11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who is defined as a “Tucson Participant” in Appendix E of the TI Employees Pension Plan.</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1-8.</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Employer</w:t>
            </w:r>
            <w:r>
              <w:rPr>
                <w:rFonts w:ascii="Times New Roman" w:cs="Times New Roman" w:eastAsia="Times New Roman" w:hAnsi="Times New Roman"/>
                <w:sz w:val="18"/>
                <w:szCs w:val="18"/>
                <w:color w:val="auto"/>
              </w:rPr>
              <w:t>. “Employer” means Texas Instruments Incorporated and any other entity which adopted this Plan with the</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237"/>
        </w:trPr>
        <w:tc>
          <w:tcPr>
            <w:tcW w:w="11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approval of the Company; provided that TI shall have sole power to amend or terminate this Plan.</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1-9.</w:t>
            </w:r>
          </w:p>
        </w:tc>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“ERISA” means the Employee Retirement Income Security Act of 1974, as amended.</w:t>
            </w: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41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1-9A.</w:t>
            </w:r>
          </w:p>
        </w:tc>
        <w:tc>
          <w:tcPr>
            <w:tcW w:w="120" w:type="dxa"/>
            <w:vAlign w:val="bottom"/>
          </w:tcPr>
          <w:p>
            <w:pPr>
              <w:spacing w:after="0"/>
              <w:rPr>
                <w:sz w:val="24"/>
                <w:szCs w:val="24"/>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Frozen Accrued Benefit</w:t>
            </w:r>
            <w:r>
              <w:rPr>
                <w:rFonts w:ascii="Times New Roman" w:cs="Times New Roman" w:eastAsia="Times New Roman" w:hAnsi="Times New Roman"/>
                <w:sz w:val="18"/>
                <w:szCs w:val="18"/>
                <w:color w:val="auto"/>
              </w:rPr>
              <w:t>. “Frozen Accrued Benefit” means the benefit calculated and payable in accordance with Section</w:t>
            </w: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3-1 on and after January 1, 2009.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32"/>
        </w:trPr>
        <w:tc>
          <w:tcPr>
            <w:tcW w:w="2460" w:type="dxa"/>
            <w:vAlign w:val="bottom"/>
          </w:tcPr>
          <w:p>
            <w:pPr>
              <w:spacing w:after="0"/>
              <w:rPr>
                <w:sz w:val="24"/>
                <w:szCs w:val="24"/>
                <w:color w:val="auto"/>
              </w:rPr>
            </w:pPr>
          </w:p>
        </w:tc>
        <w:tc>
          <w:tcPr>
            <w:tcW w:w="8980" w:type="dxa"/>
            <w:vAlign w:val="bottom"/>
            <w:gridSpan w:val="8"/>
          </w:tcPr>
          <w:p>
            <w:pPr>
              <w:ind w:left="320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1-10.</w:t>
            </w:r>
          </w:p>
        </w:tc>
        <w:tc>
          <w:tcPr>
            <w:tcW w:w="600" w:type="dxa"/>
            <w:vAlign w:val="bottom"/>
          </w:tcPr>
          <w:p>
            <w:pPr>
              <w:spacing w:after="0"/>
              <w:rPr>
                <w:sz w:val="17"/>
                <w:szCs w:val="17"/>
                <w:color w:val="auto"/>
              </w:rPr>
            </w:pPr>
          </w:p>
        </w:tc>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“Participant” means a Participant who has accrued a vested supplemental pension pursuant to the provisions</w:t>
            </w:r>
          </w:p>
        </w:tc>
      </w:tr>
      <w:tr>
        <w:trPr>
          <w:trHeight w:val="20"/>
        </w:trPr>
        <w:tc>
          <w:tcPr>
            <w:tcW w:w="256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37"/>
        </w:trPr>
        <w:tc>
          <w:tcPr>
            <w:tcW w:w="11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Article III. After December 31, 2004, there shall be no Participant who is accruing or vesting in a benefit pursuant to Article III.</w:t>
            </w:r>
          </w:p>
        </w:tc>
      </w:tr>
      <w:tr>
        <w:trPr>
          <w:trHeight w:val="392"/>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1-11.</w:t>
            </w:r>
          </w:p>
        </w:tc>
        <w:tc>
          <w:tcPr>
            <w:tcW w:w="60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Plan Year</w:t>
            </w:r>
            <w:r>
              <w:rPr>
                <w:rFonts w:ascii="Times New Roman" w:cs="Times New Roman" w:eastAsia="Times New Roman" w:hAnsi="Times New Roman"/>
                <w:sz w:val="18"/>
                <w:szCs w:val="18"/>
                <w:color w:val="auto"/>
              </w:rPr>
              <w:t>. “Plan Year” means a calendar year.</w:t>
            </w:r>
          </w:p>
        </w:tc>
      </w:tr>
      <w:tr>
        <w:trPr>
          <w:trHeight w:val="20"/>
        </w:trPr>
        <w:tc>
          <w:tcPr>
            <w:tcW w:w="19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12"/>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1.11A.</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Present Value</w:t>
            </w:r>
            <w:r>
              <w:rPr>
                <w:rFonts w:ascii="Times New Roman" w:cs="Times New Roman" w:eastAsia="Times New Roman" w:hAnsi="Times New Roman"/>
                <w:sz w:val="18"/>
                <w:szCs w:val="18"/>
                <w:color w:val="auto"/>
              </w:rPr>
              <w:t>. “Present Value” means, at any time, the actuarial lump sum value determined at such time of the</w:t>
            </w:r>
          </w:p>
        </w:tc>
      </w:tr>
      <w:tr>
        <w:trPr>
          <w:trHeight w:val="20"/>
        </w:trPr>
        <w:tc>
          <w:tcPr>
            <w:tcW w:w="2680" w:type="dxa"/>
            <w:vAlign w:val="bottom"/>
            <w:tcBorders>
              <w:right w:val="single" w:sz="8" w:color="auto"/>
            </w:tcBorders>
            <w:gridSpan w:val="3"/>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8"/>
        </w:trPr>
        <w:tc>
          <w:tcPr>
            <w:tcW w:w="11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applicable benefit, based on the actuarial assumptions used to determine single sum payments as set forth in Section 1.2(b)(2)(B) of the TI Employees</w:t>
            </w:r>
          </w:p>
        </w:tc>
      </w:tr>
      <w:tr>
        <w:trPr>
          <w:trHeight w:val="234"/>
        </w:trPr>
        <w:tc>
          <w:tcPr>
            <w:tcW w:w="11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Pension Plan as in effect on December 31, 2004.</w:t>
            </w:r>
          </w:p>
        </w:tc>
      </w:tr>
      <w:tr>
        <w:trPr>
          <w:trHeight w:val="392"/>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1-11B.</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w w:val="99"/>
              </w:rPr>
              <w:t>Sale of Assets</w:t>
            </w:r>
            <w:r>
              <w:rPr>
                <w:rFonts w:ascii="Times New Roman" w:cs="Times New Roman" w:eastAsia="Times New Roman" w:hAnsi="Times New Roman"/>
                <w:sz w:val="18"/>
                <w:szCs w:val="18"/>
                <w:color w:val="auto"/>
                <w:w w:val="99"/>
              </w:rPr>
              <w:t>. “Sale of Assets” means the sale or disposition by the Employer of all or substantially all of the assets used</w:t>
            </w:r>
          </w:p>
        </w:tc>
      </w:tr>
      <w:tr>
        <w:trPr>
          <w:trHeight w:val="20"/>
        </w:trPr>
        <w:tc>
          <w:tcPr>
            <w:tcW w:w="2680" w:type="dxa"/>
            <w:vAlign w:val="bottom"/>
            <w:gridSpan w:val="3"/>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37"/>
        </w:trPr>
        <w:tc>
          <w:tcPr>
            <w:tcW w:w="11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the Employer in a trade or business to an entity not related to the Employer.</w:t>
            </w:r>
          </w:p>
        </w:tc>
      </w:tr>
      <w:tr>
        <w:trPr>
          <w:trHeight w:val="392"/>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1-12.</w:t>
            </w:r>
          </w:p>
        </w:tc>
        <w:tc>
          <w:tcPr>
            <w:tcW w:w="60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“Subsidiary” means any entity whose assets and net income are included in the consolidated financial</w:t>
            </w:r>
          </w:p>
        </w:tc>
      </w:tr>
      <w:tr>
        <w:trPr>
          <w:trHeight w:val="20"/>
        </w:trPr>
        <w:tc>
          <w:tcPr>
            <w:tcW w:w="256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37"/>
        </w:trPr>
        <w:tc>
          <w:tcPr>
            <w:tcW w:w="11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statements of TI and its Subsidiaries audited by TI’s independent auditors and reported to shareholders in the published annual report to shareholders.</w:t>
            </w:r>
          </w:p>
        </w:tc>
      </w:tr>
      <w:tr>
        <w:trPr>
          <w:trHeight w:val="392"/>
        </w:trPr>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1-13.</w:t>
            </w:r>
          </w:p>
        </w:tc>
        <w:tc>
          <w:tcPr>
            <w:tcW w:w="600" w:type="dxa"/>
            <w:vAlign w:val="bottom"/>
          </w:tcPr>
          <w:p>
            <w:pPr>
              <w:spacing w:after="0"/>
              <w:rPr>
                <w:sz w:val="24"/>
                <w:szCs w:val="24"/>
                <w:color w:val="auto"/>
              </w:rPr>
            </w:pPr>
          </w:p>
        </w:tc>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“Termination of Employment” means the complete cessation of the employer-employee</w:t>
            </w:r>
          </w:p>
        </w:tc>
      </w:t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relationship between TI or any Subsidiary and a Participant, including a leave of absence from which the Administration Committee, in its sole discretion, determines that the Participant is not expected to return.</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II</w:t>
            </w:r>
          </w:p>
        </w:tc>
      </w:tr>
      <w:tr>
        <w:trPr>
          <w:trHeight w:val="198"/>
        </w:trPr>
        <w:tc>
          <w:tcPr>
            <w:tcW w:w="1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ARTICIPATION</w:t>
            </w:r>
          </w:p>
        </w:tc>
        <w:tc>
          <w:tcPr>
            <w:tcW w:w="4120" w:type="dxa"/>
            <w:vAlign w:val="bottom"/>
          </w:tcPr>
          <w:p>
            <w:pPr>
              <w:spacing w:after="0"/>
              <w:rPr>
                <w:sz w:val="17"/>
                <w:szCs w:val="17"/>
                <w:color w:val="auto"/>
              </w:rPr>
            </w:pPr>
          </w:p>
        </w:tc>
      </w:tr>
      <w:tr>
        <w:trPr>
          <w:trHeight w:val="4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2-1.</w:t>
            </w: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Eligibility and Participation</w:t>
            </w:r>
            <w:r>
              <w:rPr>
                <w:rFonts w:ascii="Times New Roman" w:cs="Times New Roman" w:eastAsia="Times New Roman" w:hAnsi="Times New Roman"/>
                <w:sz w:val="18"/>
                <w:szCs w:val="18"/>
                <w:color w:val="auto"/>
                <w:w w:val="99"/>
              </w:rPr>
              <w:t>. Any Employee who is a Participant in this Plan on January 1, 2009 shall remain a Participant</w:t>
            </w:r>
          </w:p>
        </w:tc>
      </w:tr>
      <w:tr>
        <w:trPr>
          <w:trHeight w:val="20"/>
        </w:trPr>
        <w:tc>
          <w:tcPr>
            <w:tcW w:w="19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the Plan. No other Employees shall be eligible for participation in the Plan. On and after January 1, 1998, no Employee who was not otherwise a participant in the TI Employees Pension Plan on December 31, 1997, was eligible to become a Participant in the Plan.</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60" w:type="dxa"/>
            <w:vAlign w:val="bottom"/>
            <w:gridSpan w:val="2"/>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A</w:t>
            </w:r>
            <w:r>
              <w:rPr>
                <w:rFonts w:ascii="Times New Roman" w:cs="Times New Roman" w:eastAsia="Times New Roman" w:hAnsi="Times New Roman"/>
                <w:sz w:val="12"/>
                <w:szCs w:val="12"/>
                <w:b w:val="1"/>
                <w:bCs w:val="1"/>
                <w:color w:val="auto"/>
                <w:w w:val="99"/>
              </w:rPr>
              <w:t>RTICLE</w:t>
            </w:r>
            <w:r>
              <w:rPr>
                <w:rFonts w:ascii="Times New Roman" w:cs="Times New Roman" w:eastAsia="Times New Roman" w:hAnsi="Times New Roman"/>
                <w:sz w:val="18"/>
                <w:szCs w:val="18"/>
                <w:b w:val="1"/>
                <w:bCs w:val="1"/>
                <w:color w:val="auto"/>
                <w:w w:val="99"/>
              </w:rPr>
              <w:t xml:space="preserve"> III</w:t>
            </w:r>
          </w:p>
        </w:tc>
      </w:tr>
      <w:tr>
        <w:trPr>
          <w:trHeight w:val="198"/>
        </w:trPr>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760" w:type="dxa"/>
            <w:vAlign w:val="bottom"/>
            <w:gridSpan w:val="2"/>
          </w:tcPr>
          <w:p>
            <w:pPr>
              <w:jc w:val="center"/>
              <w:ind w:right="4060"/>
              <w:spacing w:after="0" w:line="198"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UPPLEMENTAL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w:t>
            </w:r>
          </w:p>
        </w:tc>
      </w:tr>
      <w:tr>
        <w:trPr>
          <w:trHeight w:val="20"/>
        </w:trPr>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3-1.</w:t>
            </w:r>
          </w:p>
        </w:tc>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 xml:space="preserve">Supplemental Benefits. </w:t>
            </w:r>
            <w:r>
              <w:rPr>
                <w:rFonts w:ascii="Times New Roman" w:cs="Times New Roman" w:eastAsia="Times New Roman" w:hAnsi="Times New Roman"/>
                <w:sz w:val="18"/>
                <w:szCs w:val="18"/>
                <w:color w:val="auto"/>
              </w:rPr>
              <w:t>The benefit payable under this Plan to a Participant shall be the difference between the Present</w:t>
            </w:r>
          </w:p>
        </w:tc>
      </w:tr>
      <w:tr>
        <w:trPr>
          <w:trHeight w:val="20"/>
        </w:trPr>
        <w:tc>
          <w:tcPr>
            <w:tcW w:w="19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Value of the benefit actually payable under the TI Employees Pension Plan at the time of computation (and in the form of benefit for which the computation is made) and the Present Value of the benefit that would be payable under the TI Employees Pension Plan at such time of computation (in the same form as provided above) if:</w:t>
      </w:r>
    </w:p>
    <w:p>
      <w:pPr>
        <w:spacing w:after="0" w:line="176" w:lineRule="exact"/>
        <w:rPr>
          <w:sz w:val="20"/>
          <w:szCs w:val="20"/>
          <w:color w:val="auto"/>
        </w:rPr>
      </w:pPr>
    </w:p>
    <w:p>
      <w:pPr>
        <w:ind w:left="1040" w:right="360" w:hanging="519"/>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Employees Pension Plan contained no limit on the Compensation that may be considered under Section 401(a)(17) of the Code (for purposes of the calculation and accrual of benefits under the TI Employees Pension Plan);</w:t>
      </w:r>
    </w:p>
    <w:p>
      <w:pPr>
        <w:spacing w:after="0" w:line="161" w:lineRule="exact"/>
        <w:rPr>
          <w:rFonts w:ascii="Times New Roman" w:cs="Times New Roman" w:eastAsia="Times New Roman" w:hAnsi="Times New Roman"/>
          <w:sz w:val="18"/>
          <w:szCs w:val="18"/>
          <w:color w:val="auto"/>
        </w:rPr>
      </w:pPr>
    </w:p>
    <w:p>
      <w:pPr>
        <w:ind w:left="1040" w:right="120" w:hanging="519"/>
        <w:spacing w:after="0" w:line="261"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each plan year under the TI Employees Pension Plan included amounts electively deferred, if any, by a Participant under the Deferred Compensation Plan from earnings that would have constituted Compensation for such plan year under the TI Employees Pension Plan, had such amounts not be electively deferred and/or, if applicable, had Section 401(a)(17) of the Code not precluded the consideration of such earnings as Compensation (in the absence of such deferral); and</w:t>
      </w:r>
    </w:p>
    <w:p>
      <w:pPr>
        <w:spacing w:after="0" w:line="180"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Employees Pension Plan contained no limit pursuant to Section 415 of the Code upon the maximum amount of pension that be paid by the TI Employees Pension Plan (such as the limits in effect on October 3, 2004 under the TI Employees Pension Plan).</w:t>
      </w:r>
    </w:p>
    <w:p>
      <w:pPr>
        <w:spacing w:after="0" w:line="162"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Notwithstanding the foregoing, from and after January 1, 2005, the benefit payable under the Plan to a Participant shall be the difference between the vested benefit actually payable under the TI Employees Pension Plan as of December 31, 2004 (and in the form of benefit for which the computation is made) and the vested benefit that would be payable under the TI Employees Pension Plan as of December 31, 2004 as determined in accordance with (i), (ii), and</w:t>
      </w:r>
    </w:p>
    <w:p>
      <w:pPr>
        <w:spacing w:after="0" w:line="2" w:lineRule="exact"/>
        <w:rPr>
          <w:sz w:val="20"/>
          <w:szCs w:val="20"/>
          <w:color w:val="auto"/>
        </w:rPr>
      </w:pPr>
    </w:p>
    <w:p>
      <w:pPr>
        <w:ind w:right="260" w:firstLine="8"/>
        <w:spacing w:after="0" w:line="255" w:lineRule="auto"/>
        <w:tabs>
          <w:tab w:leader="none" w:pos="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the same may be increased to equal the Present Value of the benefit the Participant actually becomes entitled to, at the time actually paid, determined under the terms of the Plan (including applicable limits under the Code), as in effect on October 3, 2004, without regard to any further services rendered by the Participant after December 31, 2004, or any other events affecting the amount of or the entitlement to benefits (other than 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94" w:name="page95"/>
    <w:bookmarkEnd w:id="94"/>
    <w:p>
      <w:pPr>
        <w:ind w:right="200"/>
        <w:spacing w:after="0" w:line="282" w:lineRule="auto"/>
        <w:rPr>
          <w:sz w:val="20"/>
          <w:szCs w:val="20"/>
          <w:color w:val="auto"/>
        </w:rPr>
      </w:pPr>
      <w:r>
        <w:rPr>
          <w:rFonts w:ascii="Times New Roman" w:cs="Times New Roman" w:eastAsia="Times New Roman" w:hAnsi="Times New Roman"/>
          <w:sz w:val="18"/>
          <w:szCs w:val="18"/>
          <w:color w:val="auto"/>
        </w:rPr>
        <w:t>Participant election with respect to the time of payment of an available benefit). The benefit calculated and payable in accordance with this paragraph from and after January 1, 2009 is sometimes referred to as the “Frozen Accrued Benefit”.</w:t>
      </w:r>
    </w:p>
    <w:p>
      <w:pPr>
        <w:spacing w:after="0" w:line="16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3-2. </w:t>
      </w:r>
      <w:r>
        <w:rPr>
          <w:rFonts w:ascii="Times New Roman" w:cs="Times New Roman" w:eastAsia="Times New Roman" w:hAnsi="Times New Roman"/>
          <w:sz w:val="18"/>
          <w:szCs w:val="18"/>
          <w:i w:val="1"/>
          <w:iCs w:val="1"/>
          <w:u w:val="single" w:color="auto"/>
          <w:color w:val="auto"/>
        </w:rPr>
        <w:t>Payment of Supplemental Benefit</w:t>
      </w:r>
      <w:r>
        <w:rPr>
          <w:rFonts w:ascii="Times New Roman" w:cs="Times New Roman" w:eastAsia="Times New Roman" w:hAnsi="Times New Roman"/>
          <w:sz w:val="18"/>
          <w:szCs w:val="18"/>
          <w:color w:val="auto"/>
        </w:rPr>
        <w:t>. Except as provided below in the case of a Change of Control or a Sale of Assets, and subject to Section 3-3, the benefit determined pursuant to Section 3-1 shall be paid to the person entitled thereto as though it were a part of the benefit being paid to such person under the TI Employees Pension Plan, so that it is subject to the same limits and restrictions (other than the limitations referenced in subparagraphs (i), (ii) and (iii) of Section 3-1) as such person’s benefits are subject to under the TI Employees Pension Plan; provided however, that any Frozen Accrued Benefit payable under this Plan shall only be distributed in the form of a lump sum distribution at such time as is administratively practicable. Notwithstanding the above, for periods prior to January 1, 2009 the benefits that are payable under this Plan may be deferred pursuant to the terms and provisions of the TI Deferred Compensation Plan as frozen and in effect as of December 31, 2004.</w:t>
      </w:r>
    </w:p>
    <w:p>
      <w:pPr>
        <w:spacing w:after="0" w:line="18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the Present Value of each Participant’s benefits accrued under this Plan as of the date of the Change of Control, or if the Change of Control occurs on or after January 1, 2009, the Present Value of each Participant’s Frozen Accrued Benefit, shall be distributed in a lump sum not later than the month following the month in which such Change of Control occurred. In the event of a Sale of Assets, the Present Value of each Affected Participant’s accrued benefit under this Plan as of the date of the Sale of Assets, or if the Sale of Assets occurs on or after January 1, 2009, the Present Value of each Affected Participant’s Frozen Accrued Benefit as of the date of the Sale of Assets, shall be distributed in a lump sum, as soon as administratively practicable following such Sale of Assets.</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Prior to January 1, 2005, following the Change of Control or Sale of Assets (as applicable), the Plan shall thereafter continue to be administered in accordance with its terms as though the Change of Control or Sale of Assets (as applicable) had not occurred (provided that the benefits accrued subsequent to the Change of Control or Sale of Assets (as applicable) shall be adjusted to reflect the cash-out of previously accrued benefits). In computing the Present Value of such accrued benefits, the Administration Committee shall utilize the actuarial assumptions utilized under the TI Employees Pension Plan prior to the Change of Control or Sale of Assets (as applicable), in consultation with the firm of consulting actuaries engaged to perform annual actuarial valuations under the TI Employees Pension Plan prior to the date of the Change of Control or Sale of Assets (as applicable).</w:t>
      </w:r>
    </w:p>
    <w:p>
      <w:pPr>
        <w:spacing w:after="0" w:line="18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Sec. 3-3. </w:t>
      </w:r>
      <w:r>
        <w:rPr>
          <w:rFonts w:ascii="Times New Roman" w:cs="Times New Roman" w:eastAsia="Times New Roman" w:hAnsi="Times New Roman"/>
          <w:sz w:val="18"/>
          <w:szCs w:val="18"/>
          <w:i w:val="1"/>
          <w:iCs w:val="1"/>
          <w:u w:val="single" w:color="auto"/>
          <w:color w:val="auto"/>
        </w:rPr>
        <w:t>Restrictions</w:t>
      </w:r>
      <w:r>
        <w:rPr>
          <w:rFonts w:ascii="Times New Roman" w:cs="Times New Roman" w:eastAsia="Times New Roman" w:hAnsi="Times New Roman"/>
          <w:sz w:val="18"/>
          <w:szCs w:val="18"/>
          <w:color w:val="auto"/>
        </w:rPr>
        <w:t>. Except as provided in Section 3-2 in the case of a Change of Control, no benefits accrued under this Plan may be distributed to, a Participant while the Participant remains employed by the Company or an Affiliate. No loans may be made to any Participant with respect to benefits accrued under this Plan. Except to the extent deferred prior to January 1, 2009, pursuant to the terms and provisions of the TI Deferred Compensation Plan as frozen and in effect as of December 31, 2004, benefits payable under this Plan may not be rolled over or transferred to an individual retirement account or to any other employee benefit plan. No distribution shall be made under this Plan by reason of a distribution under the TI Employees Pension Plan that is made pursuant to Section 401(a)(9) of the Code. In the event that payment of benefits under the TI Employees Pension Plan is suspended, payment of corresponding benefits under this Plan will be similarly suspended. Benefits provided under this Plan shall not constitute earnings or compensation for purposes of determining contributions or benefits under any other employee benefit plan of the Employers.</w:t>
      </w:r>
    </w:p>
    <w:p>
      <w:pPr>
        <w:spacing w:after="0" w:line="185"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3-4. </w:t>
      </w: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TI makes no guarantees and assumes no obligation or responsibility with respect to a Participant’s or payee’s federal, state, or local income, estate, inheritance or gift tax obligations, if any, under this Plan. Any taxes required to be withheld from payments hereunder shall be deducted and withheld by the Company, benefit provider or funding agent appointed under the Plan.</w:t>
      </w:r>
    </w:p>
    <w:p>
      <w:pPr>
        <w:spacing w:after="0" w:line="17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3-5. </w:t>
      </w:r>
      <w:r>
        <w:rPr>
          <w:rFonts w:ascii="Times New Roman" w:cs="Times New Roman" w:eastAsia="Times New Roman" w:hAnsi="Times New Roman"/>
          <w:sz w:val="18"/>
          <w:szCs w:val="18"/>
          <w:i w:val="1"/>
          <w:iCs w:val="1"/>
          <w:u w:val="single" w:color="auto"/>
          <w:color w:val="auto"/>
        </w:rPr>
        <w:t>Assignment</w:t>
      </w:r>
      <w:r>
        <w:rPr>
          <w:rFonts w:ascii="Times New Roman" w:cs="Times New Roman" w:eastAsia="Times New Roman" w:hAnsi="Times New Roman"/>
          <w:sz w:val="18"/>
          <w:szCs w:val="18"/>
          <w:color w:val="auto"/>
        </w:rPr>
        <w:t>. Except as provided in Section 3-6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pacing w:after="0" w:line="180" w:lineRule="exact"/>
        <w:rPr>
          <w:sz w:val="20"/>
          <w:szCs w:val="20"/>
          <w:color w:val="auto"/>
        </w:rPr>
      </w:pPr>
    </w:p>
    <w:p>
      <w:pPr>
        <w:ind w:left="520"/>
        <w:spacing w:after="0"/>
        <w:tabs>
          <w:tab w:leader="none" w:pos="2440" w:val="left"/>
        </w:tabs>
        <w:rPr>
          <w:sz w:val="20"/>
          <w:szCs w:val="20"/>
          <w:color w:val="auto"/>
        </w:rPr>
      </w:pPr>
      <w:r>
        <w:rPr>
          <w:rFonts w:ascii="Times New Roman" w:cs="Times New Roman" w:eastAsia="Times New Roman" w:hAnsi="Times New Roman"/>
          <w:sz w:val="18"/>
          <w:szCs w:val="18"/>
          <w:color w:val="auto"/>
        </w:rPr>
        <w:t>Sec. 3-6.</w:t>
      </w:r>
      <w:r>
        <w:rPr>
          <w:sz w:val="20"/>
          <w:szCs w:val="20"/>
          <w:color w:val="auto"/>
        </w:rPr>
        <w:tab/>
      </w:r>
      <w:r>
        <w:rPr>
          <w:rFonts w:ascii="Times New Roman" w:cs="Times New Roman" w:eastAsia="Times New Roman" w:hAnsi="Times New Roman"/>
          <w:sz w:val="17"/>
          <w:szCs w:val="17"/>
          <w:i w:val="1"/>
          <w:iCs w:val="1"/>
          <w:u w:val="single" w:color="auto"/>
          <w:color w:val="auto"/>
        </w:rPr>
        <w:t>Alternate Payee Claims</w:t>
      </w:r>
      <w:r>
        <w:rPr>
          <w:rFonts w:ascii="Times New Roman" w:cs="Times New Roman" w:eastAsia="Times New Roman" w:hAnsi="Times New Roman"/>
          <w:sz w:val="17"/>
          <w:szCs w:val="17"/>
          <w:color w:val="auto"/>
        </w:rPr>
        <w:t>. Any claim against any benefits hereunder for child support, spousal maintenance, property</w:t>
      </w:r>
    </w:p>
    <w:p>
      <w:pPr>
        <w:spacing w:after="0" w:line="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settlement or alimony (an “Alternate Payee Claim”) shall be treated in the same manner as would a claim for corresponding benefits under the TI Employees Pension Plan and shall be subject to all claims provisions and restrictions of the TI Employees Pension Plan.</w:t>
      </w:r>
    </w:p>
    <w:p>
      <w:pPr>
        <w:spacing w:after="0" w:line="178"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3-7. </w:t>
      </w:r>
      <w:r>
        <w:rPr>
          <w:rFonts w:ascii="Times New Roman" w:cs="Times New Roman" w:eastAsia="Times New Roman" w:hAnsi="Times New Roman"/>
          <w:sz w:val="18"/>
          <w:szCs w:val="18"/>
          <w:i w:val="1"/>
          <w:iCs w:val="1"/>
          <w:u w:val="single" w:color="auto"/>
          <w:color w:val="auto"/>
        </w:rPr>
        <w:t>Incompetent</w:t>
      </w:r>
      <w:r>
        <w:rPr>
          <w:rFonts w:ascii="Times New Roman" w:cs="Times New Roman" w:eastAsia="Times New Roman" w:hAnsi="Times New Roman"/>
          <w:sz w:val="18"/>
          <w:szCs w:val="18"/>
          <w:color w:val="auto"/>
        </w:rPr>
        <w:t>.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tbl>
      <w:tblPr>
        <w:tblLayout w:type="fixed"/>
        <w:tblInd w:w="5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IV</w:t>
            </w:r>
          </w:p>
        </w:tc>
      </w:tr>
      <w:tr>
        <w:trPr>
          <w:trHeight w:val="198"/>
        </w:trPr>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UNDING</w:t>
            </w:r>
          </w:p>
        </w:tc>
        <w:tc>
          <w:tcPr>
            <w:tcW w:w="4800" w:type="dxa"/>
            <w:vAlign w:val="bottom"/>
          </w:tcPr>
          <w:p>
            <w:pPr>
              <w:spacing w:after="0"/>
              <w:rPr>
                <w:sz w:val="17"/>
                <w:szCs w:val="17"/>
                <w:color w:val="auto"/>
              </w:rPr>
            </w:pPr>
          </w:p>
        </w:tc>
      </w:tr>
      <w:tr>
        <w:trPr>
          <w:trHeight w:val="4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4-1.</w:t>
            </w: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Funding</w:t>
            </w:r>
            <w:r>
              <w:rPr>
                <w:rFonts w:ascii="Times New Roman" w:cs="Times New Roman" w:eastAsia="Times New Roman" w:hAnsi="Times New Roman"/>
                <w:sz w:val="18"/>
                <w:szCs w:val="18"/>
                <w:color w:val="auto"/>
                <w:w w:val="99"/>
              </w:rPr>
              <w:t>. Benefits under this Plan shall be funded solely by the Employers. Benefits payable under this Plan shall be paid</w:t>
            </w: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4-2.</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Creditor Status</w:t>
            </w:r>
            <w:r>
              <w:rPr>
                <w:rFonts w:ascii="Times New Roman" w:cs="Times New Roman" w:eastAsia="Times New Roman" w:hAnsi="Times New Roman"/>
                <w:sz w:val="18"/>
                <w:szCs w:val="18"/>
                <w:color w:val="auto"/>
                <w:w w:val="99"/>
              </w:rPr>
              <w:t>. A Participant and his Beneficiary or Beneficiaries shall be general creditors of the Employers with respect</w:t>
            </w:r>
          </w:p>
        </w:tc>
      </w:tr>
      <w:tr>
        <w:trPr>
          <w:trHeight w:val="20"/>
        </w:trPr>
        <w:tc>
          <w:tcPr>
            <w:tcW w:w="2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7"/>
        </w:trPr>
        <w:tc>
          <w:tcPr>
            <w:tcW w:w="1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the payment of any benefit under this Plan.</w:t>
            </w:r>
          </w:p>
        </w:tc>
      </w:tr>
      <w:tr>
        <w:trPr>
          <w:trHeight w:val="518"/>
        </w:trPr>
        <w:tc>
          <w:tcPr>
            <w:tcW w:w="2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A</w:t>
            </w:r>
            <w:r>
              <w:rPr>
                <w:rFonts w:ascii="Times New Roman" w:cs="Times New Roman" w:eastAsia="Times New Roman" w:hAnsi="Times New Roman"/>
                <w:sz w:val="12"/>
                <w:szCs w:val="12"/>
                <w:b w:val="1"/>
                <w:bCs w:val="1"/>
                <w:color w:val="auto"/>
                <w:w w:val="99"/>
              </w:rPr>
              <w:t>RTICLE</w:t>
            </w:r>
            <w:r>
              <w:rPr>
                <w:rFonts w:ascii="Times New Roman" w:cs="Times New Roman" w:eastAsia="Times New Roman" w:hAnsi="Times New Roman"/>
                <w:sz w:val="18"/>
                <w:szCs w:val="18"/>
                <w:b w:val="1"/>
                <w:bCs w:val="1"/>
                <w:color w:val="auto"/>
                <w:w w:val="99"/>
              </w:rPr>
              <w:t xml:space="preserve"> V</w:t>
            </w:r>
          </w:p>
        </w:tc>
      </w:tr>
      <w:tr>
        <w:trPr>
          <w:trHeight w:val="198"/>
        </w:trPr>
        <w:tc>
          <w:tcPr>
            <w:tcW w:w="2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20" w:type="dxa"/>
            <w:vAlign w:val="bottom"/>
            <w:gridSpan w:val="2"/>
          </w:tcPr>
          <w:p>
            <w:pPr>
              <w:jc w:val="center"/>
              <w:ind w:right="4160"/>
              <w:spacing w:after="0" w:line="198" w:lineRule="exact"/>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tc>
      </w:tr>
      <w:tr>
        <w:trPr>
          <w:trHeight w:val="20"/>
        </w:trPr>
        <w:tc>
          <w:tcPr>
            <w:tcW w:w="2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1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5-1.</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Plan shall be administered by the Administration Committee and its designees. The duties of the</w:t>
            </w:r>
          </w:p>
        </w:tc>
      </w:tr>
      <w:tr>
        <w:trPr>
          <w:trHeight w:val="20"/>
        </w:trPr>
        <w:tc>
          <w:tcPr>
            <w:tcW w:w="2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Administration Committee and its designees include (but not by way of limitation) (i) the defense of lawsuits and conduct of litigation in the name of the Plan (subject to the approval of the General Counsel of TI), (ii) the full power and discretion to interpret and construe this Plan where it concerns (a) questions of eligibility or status, (b) subject to the opportunity for review of denied claims pursuant to Section 5-5 below, the rights of Participants and others hereunder, and (c) the power in general to decide any dispute arising under this Plan. In all such cases the determination of the Administration Committee shall be final, conclusive and binding with respect to Participants and Beneficiaries.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5-2.</w:t>
            </w:r>
          </w:p>
        </w:tc>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Number and Selection</w:t>
            </w:r>
            <w:r>
              <w:rPr>
                <w:rFonts w:ascii="Times New Roman" w:cs="Times New Roman" w:eastAsia="Times New Roman" w:hAnsi="Times New Roman"/>
                <w:sz w:val="18"/>
                <w:szCs w:val="18"/>
                <w:color w:val="auto"/>
                <w:w w:val="99"/>
              </w:rPr>
              <w:t>. The Administration Committee shall be appointed by the Compensation Committee or its delegate.</w:t>
            </w:r>
          </w:p>
        </w:tc>
      </w:tr>
      <w:tr>
        <w:trPr>
          <w:trHeight w:val="20"/>
        </w:trPr>
        <w:tc>
          <w:tcPr>
            <w:tcW w:w="19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5-3.</w:t>
            </w:r>
          </w:p>
        </w:tc>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Action by Administration Committee. </w:t>
            </w:r>
            <w:r>
              <w:rPr>
                <w:rFonts w:ascii="Times New Roman" w:cs="Times New Roman" w:eastAsia="Times New Roman" w:hAnsi="Times New Roman"/>
                <w:sz w:val="18"/>
                <w:szCs w:val="18"/>
                <w:color w:val="auto"/>
                <w:w w:val="99"/>
              </w:rPr>
              <w:t>All actions of the Administration Committee shall be by a majority of the persons so</w:t>
            </w:r>
          </w:p>
        </w:tc>
      </w:tr>
      <w:tr>
        <w:trPr>
          <w:trHeight w:val="20"/>
        </w:trPr>
        <w:tc>
          <w:tcPr>
            <w:tcW w:w="19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5-4.</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Recordkeeping</w:t>
            </w:r>
            <w:r>
              <w:rPr>
                <w:rFonts w:ascii="Times New Roman" w:cs="Times New Roman" w:eastAsia="Times New Roman" w:hAnsi="Times New Roman"/>
                <w:sz w:val="18"/>
                <w:szCs w:val="18"/>
                <w:color w:val="auto"/>
                <w:w w:val="99"/>
              </w:rPr>
              <w:t>. The Administration Committee shall maintain records and data as may be necessary and appropriate for the</w:t>
            </w:r>
          </w:p>
        </w:tc>
      </w:tr>
      <w:tr>
        <w:trPr>
          <w:trHeight w:val="20"/>
        </w:trPr>
        <w:tc>
          <w:tcPr>
            <w:tcW w:w="2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1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 administration of the Plan and to determine the amounts distributable to Participants and Beneficiaries.</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5-5.</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The Administration Committee may adopt and promulgate such rules and regulations as it may</w:t>
            </w:r>
          </w:p>
        </w:tc>
      </w:tr>
      <w:tr>
        <w:trPr>
          <w:trHeight w:val="20"/>
        </w:trPr>
        <w:tc>
          <w:tcPr>
            <w:tcW w:w="2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bl>
    <w:p>
      <w:pPr>
        <w:spacing w:after="0" w:line="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deem appropriate for the administration of the Plan and to determine the amounts distributable to Participants and Beneficiaries. The Administration Committee shall adopt and promulgate written rules governing claims procedures reasonably calculated to:</w:t>
      </w:r>
    </w:p>
    <w:p>
      <w:pPr>
        <w:spacing w:after="0" w:line="54" w:lineRule="exact"/>
        <w:rPr>
          <w:sz w:val="20"/>
          <w:szCs w:val="20"/>
          <w:color w:val="auto"/>
        </w:rPr>
      </w:pPr>
    </w:p>
    <w:p>
      <w:pPr>
        <w:ind w:left="1040" w:hanging="519"/>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written notice to any Participant or other person whose claim under the Plan has been denied, setting forth the specific reasons for such denial; and</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a reasonable opportunity to such Participant or other person for a full and fair review by the Administration Committee of the decision denying the claim.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determination of the Administration Committee upon such review shall be final and conclusive.</w:t>
      </w:r>
    </w:p>
    <w:p>
      <w:pPr>
        <w:spacing w:after="0" w:line="223" w:lineRule="exact"/>
        <w:rPr>
          <w:sz w:val="20"/>
          <w:szCs w:val="20"/>
          <w:color w:val="auto"/>
        </w:rPr>
      </w:pPr>
    </w:p>
    <w:p>
      <w:pPr>
        <w:jc w:val="both"/>
        <w:ind w:right="8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5-6. </w:t>
      </w:r>
      <w:r>
        <w:rPr>
          <w:rFonts w:ascii="Times New Roman" w:cs="Times New Roman" w:eastAsia="Times New Roman" w:hAnsi="Times New Roman"/>
          <w:sz w:val="18"/>
          <w:szCs w:val="18"/>
          <w:i w:val="1"/>
          <w:iCs w:val="1"/>
          <w:u w:val="single" w:color="auto"/>
          <w:color w:val="auto"/>
        </w:rPr>
        <w:t>Reliance on Documents</w:t>
      </w:r>
      <w:r>
        <w:rPr>
          <w:rFonts w:ascii="Times New Roman" w:cs="Times New Roman" w:eastAsia="Times New Roman" w:hAnsi="Times New Roman"/>
          <w:sz w:val="18"/>
          <w:szCs w:val="18"/>
          <w:color w:val="auto"/>
        </w:rPr>
        <w:t>.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74"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5-7. </w:t>
      </w:r>
      <w:r>
        <w:rPr>
          <w:rFonts w:ascii="Times New Roman" w:cs="Times New Roman" w:eastAsia="Times New Roman" w:hAnsi="Times New Roman"/>
          <w:sz w:val="18"/>
          <w:szCs w:val="18"/>
          <w:i w:val="1"/>
          <w:iCs w:val="1"/>
          <w:u w:val="single" w:color="auto"/>
          <w:color w:val="auto"/>
        </w:rPr>
        <w:t>Non-Liability</w:t>
      </w:r>
      <w:r>
        <w:rPr>
          <w:rFonts w:ascii="Times New Roman" w:cs="Times New Roman" w:eastAsia="Times New Roman" w:hAnsi="Times New Roman"/>
          <w:sz w:val="18"/>
          <w:szCs w:val="18"/>
          <w:color w:val="auto"/>
        </w:rPr>
        <w:t>. No member of the Board of Directors, Compensation Committee or Administration Committee or any officer or employee of TI shall be liable for any act done or omitted by him with respect to the Plan except for his own willful misconduct.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96" w:name="page97"/>
    <w:bookmarkEnd w:id="96"/>
    <w:p>
      <w:pPr>
        <w:jc w:val="both"/>
        <w:ind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5-8. </w:t>
      </w:r>
      <w:r>
        <w:rPr>
          <w:rFonts w:ascii="Times New Roman" w:cs="Times New Roman" w:eastAsia="Times New Roman" w:hAnsi="Times New Roman"/>
          <w:sz w:val="18"/>
          <w:szCs w:val="18"/>
          <w:i w:val="1"/>
          <w:iCs w:val="1"/>
          <w:u w:val="single" w:color="auto"/>
          <w:color w:val="auto"/>
        </w:rPr>
        <w:t>Resignation or Removal</w:t>
      </w:r>
      <w:r>
        <w:rPr>
          <w:rFonts w:ascii="Times New Roman" w:cs="Times New Roman" w:eastAsia="Times New Roman" w:hAnsi="Times New Roman"/>
          <w:sz w:val="18"/>
          <w:szCs w:val="18"/>
          <w:color w:val="auto"/>
        </w:rPr>
        <w:t>. Any Administration Committee member may resign by giving written notice to the Chief 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74"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5-9. </w:t>
      </w:r>
      <w:r>
        <w:rPr>
          <w:rFonts w:ascii="Times New Roman" w:cs="Times New Roman" w:eastAsia="Times New Roman" w:hAnsi="Times New Roman"/>
          <w:sz w:val="18"/>
          <w:szCs w:val="18"/>
          <w:i w:val="1"/>
          <w:iCs w:val="1"/>
          <w:u w:val="single" w:color="auto"/>
          <w:color w:val="auto"/>
        </w:rPr>
        <w:t>Information: Overpayment or Underpayment of Benefits</w:t>
      </w:r>
      <w:r>
        <w:rPr>
          <w:rFonts w:ascii="Times New Roman" w:cs="Times New Roman" w:eastAsia="Times New Roman" w:hAnsi="Times New Roman"/>
          <w:sz w:val="18"/>
          <w:szCs w:val="18"/>
          <w:color w:val="auto"/>
        </w:rPr>
        <w:t>.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Administrator such information as may be necessary to determine eligibility for and amount of benefit, as a condition of claim to and receipt of such benefit.</w:t>
      </w:r>
    </w:p>
    <w:p>
      <w:pPr>
        <w:spacing w:after="0" w:line="18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Administration Committee may adopt, in its sole discretion, whatever rules, procedures and accounting practices it determines to be appropriate in providing for the collection of any overpayment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82" w:lineRule="exact"/>
        <w:rPr>
          <w:sz w:val="20"/>
          <w:szCs w:val="20"/>
          <w:color w:val="auto"/>
        </w:rPr>
      </w:pPr>
    </w:p>
    <w:p>
      <w:pPr>
        <w:ind w:right="1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5-10. </w:t>
      </w:r>
      <w:r>
        <w:rPr>
          <w:rFonts w:ascii="Times New Roman" w:cs="Times New Roman" w:eastAsia="Times New Roman" w:hAnsi="Times New Roman"/>
          <w:sz w:val="18"/>
          <w:szCs w:val="18"/>
          <w:i w:val="1"/>
          <w:iCs w:val="1"/>
          <w:u w:val="single" w:color="auto"/>
          <w:color w:val="auto"/>
        </w:rPr>
        <w:t>Notice</w:t>
      </w:r>
      <w:r>
        <w:rPr>
          <w:rFonts w:ascii="Times New Roman" w:cs="Times New Roman" w:eastAsia="Times New Roman" w:hAnsi="Times New Roman"/>
          <w:sz w:val="18"/>
          <w:szCs w:val="18"/>
          <w:color w:val="auto"/>
        </w:rPr>
        <w:t>. Any notice required or permitted to be given to the Administration Committee under this Plan shall be sufficient if in writing and hand-delivered, or sent by registered or certified mail, to the address below:</w:t>
      </w:r>
    </w:p>
    <w:p>
      <w:pPr>
        <w:spacing w:after="0" w:line="16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Texas Instruments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Attn: Non-Qualified Pension Plan</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Administration Committee</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7839 Churchill Way, MS 3905</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Dallas, Texas 75251-1901</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60" w:type="dxa"/>
            <w:vAlign w:val="bottom"/>
            <w:gridSpan w:val="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VI</w:t>
            </w:r>
          </w:p>
        </w:tc>
      </w:tr>
      <w:tr>
        <w:trPr>
          <w:trHeight w:val="198"/>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tc>
        <w:tc>
          <w:tcPr>
            <w:tcW w:w="4280" w:type="dxa"/>
            <w:vAlign w:val="bottom"/>
          </w:tcPr>
          <w:p>
            <w:pPr>
              <w:spacing w:after="0"/>
              <w:rPr>
                <w:sz w:val="17"/>
                <w:szCs w:val="17"/>
                <w:color w:val="auto"/>
              </w:rPr>
            </w:pPr>
          </w:p>
        </w:tc>
      </w:tr>
      <w:tr>
        <w:trPr>
          <w:trHeight w:val="41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Sec. 6-1.</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Amendment, Termination</w:t>
            </w:r>
            <w:r>
              <w:rPr>
                <w:rFonts w:ascii="Times New Roman" w:cs="Times New Roman" w:eastAsia="Times New Roman" w:hAnsi="Times New Roman"/>
                <w:sz w:val="18"/>
                <w:szCs w:val="18"/>
                <w:color w:val="auto"/>
                <w:w w:val="99"/>
              </w:rPr>
              <w:t>. The Compensation Committee may change, amend, modify, alter, or terminate the Plan at any</w:t>
            </w:r>
          </w:p>
        </w:tc>
      </w:tr>
      <w:tr>
        <w:trPr>
          <w:trHeight w:val="20"/>
        </w:trPr>
        <w:tc>
          <w:tcPr>
            <w:tcW w:w="19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time and in any manner, prospectively or retroactively (or may delegate such authority), except that no such amendment, modification, alteration or termination shall be exercised retroactively to reduce or eliminate the benefit accrued by a Participant to the date of amendment, modification or termination, nor shall any such amendment constitute a “material modification” of the terms of this Plan as of October 3, 2004, as defined in the guidance issued under Section 409A of the Code, so as to cause this Plan to be subject to the provisions of said Section 409A. The Company intends to continue this Plan indefinitely, but nevertheless assumes no contractual obligation to continue this Plan and makes no promise to pay benefits other than as provided in this Plan determined at the time of any Plan discontinuance.</w:t>
      </w:r>
    </w:p>
    <w:p>
      <w:pPr>
        <w:spacing w:after="0" w:line="186"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6-2. </w:t>
      </w:r>
      <w:r>
        <w:rPr>
          <w:rFonts w:ascii="Times New Roman" w:cs="Times New Roman" w:eastAsia="Times New Roman" w:hAnsi="Times New Roman"/>
          <w:sz w:val="18"/>
          <w:szCs w:val="18"/>
          <w:i w:val="1"/>
          <w:iCs w:val="1"/>
          <w:u w:val="single" w:color="auto"/>
          <w:color w:val="auto"/>
        </w:rPr>
        <w:t>Plan Not an Employment Contract</w:t>
      </w:r>
      <w:r>
        <w:rPr>
          <w:rFonts w:ascii="Times New Roman" w:cs="Times New Roman" w:eastAsia="Times New Roman" w:hAnsi="Times New Roman"/>
          <w:sz w:val="18"/>
          <w:szCs w:val="18"/>
          <w:color w:val="auto"/>
        </w:rPr>
        <w: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supplemental compensation for employees.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6-3.</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Rights of Persons Making Claims</w:t>
            </w:r>
            <w:r>
              <w:rPr>
                <w:rFonts w:ascii="Times New Roman" w:cs="Times New Roman" w:eastAsia="Times New Roman" w:hAnsi="Times New Roman"/>
                <w:sz w:val="18"/>
                <w:szCs w:val="18"/>
                <w:color w:val="auto"/>
              </w:rPr>
              <w:t>. No Employee, or Participant, or any person or entity claiming through an Employee or</w:t>
            </w:r>
          </w:p>
        </w:tc>
      </w:t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37"/>
        </w:trPr>
        <w:tc>
          <w:tcPr>
            <w:tcW w:w="11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Participant, shall have any rights whatsoever other than the rights and benefits specifically granted under this Plan.</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6-4.</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Status of Benefits in this Plan. </w:t>
            </w:r>
            <w:r>
              <w:rPr>
                <w:rFonts w:ascii="Times New Roman" w:cs="Times New Roman" w:eastAsia="Times New Roman" w:hAnsi="Times New Roman"/>
                <w:sz w:val="18"/>
                <w:szCs w:val="18"/>
                <w:color w:val="auto"/>
                <w:w w:val="99"/>
              </w:rPr>
              <w:t>No benefits accrued or paid under this Plan shall constitute “earnings” or “compensation” for</w:t>
            </w:r>
          </w:p>
        </w:tc>
      </w:t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r>
      <w:tr>
        <w:trPr>
          <w:trHeight w:val="237"/>
        </w:trPr>
        <w:tc>
          <w:tcPr>
            <w:tcW w:w="11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purposes of any other benefit plan sponsored by the Employers.</w:t>
            </w:r>
          </w:p>
        </w:tc>
      </w:tr>
      <w:tr>
        <w:trPr>
          <w:trHeight w:val="392"/>
        </w:trPr>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6-5.</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Plan shall be governed by the laws of the State of Texas, except to the extent preempted by ERISA</w:t>
            </w:r>
          </w:p>
        </w:tc>
      </w:t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governed by and subject to the Defense of Marriage Act (Public Law 104–199).</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97" w:name="page98"/>
    <w:bookmarkEnd w:id="97"/>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Sec. 6-6. </w:t>
      </w: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color w:val="auto"/>
        </w:rPr>
        <w:t>.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governing construed in accordance with the laws of the State of Texas, except to the extent otherwise required by applicable federal law. Heading and subheadings are for the purpose of reference only and are not to be considered in the construction of this Plan. This Plan is functionally and operationally related to the TI Employees Pension Plan, and is to be interpreted in a manner consistent with the TI Employees Pension Plan to provide the benefits contemplated hereunder in a comprehensive manner.</w:t>
      </w:r>
    </w:p>
    <w:p>
      <w:pPr>
        <w:spacing w:after="0" w:line="19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IN WITNESS WHEREOF, Texas Instruments Incorporated has caused this instrument to be executed by its duly authorized officer this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October, 2008.</w:t>
      </w:r>
    </w:p>
    <w:p>
      <w:pPr>
        <w:spacing w:after="0" w:line="162"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Darla Whitaker</w:t>
            </w:r>
          </w:p>
        </w:tc>
      </w:tr>
      <w:tr>
        <w:trPr>
          <w:trHeight w:val="191"/>
        </w:trPr>
        <w:tc>
          <w:tcPr>
            <w:tcW w:w="68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Darla Whitaker</w:t>
            </w:r>
          </w:p>
        </w:tc>
      </w:tr>
      <w:tr>
        <w:trPr>
          <w:trHeight w:val="234"/>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 EMPLOYEES NON-QUALIFIED PENSION PLAN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(EFFECTIVE JANUARY 1, 2009)</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Employees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Pension Plan (Effective January 1, 2009) (the “Plan”), does hereby amend the Plan effective on and after January 1, 2009, as follows:</w:t>
      </w:r>
    </w:p>
    <w:p>
      <w:pPr>
        <w:spacing w:after="0" w:line="207" w:lineRule="exact"/>
        <w:rPr>
          <w:sz w:val="20"/>
          <w:szCs w:val="20"/>
          <w:color w:val="auto"/>
        </w:rPr>
      </w:pPr>
    </w:p>
    <w:p>
      <w:pPr>
        <w:ind w:left="1560" w:hanging="1034"/>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 of the Plan is amended by deleting the last paragraph of said Section and substituting in lieu thereof the following:</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Notwithstanding the foregoing, from and after January 1, 2005, the benefit payable under the Plan to a Participant shall be the lesser of:</w:t>
      </w:r>
    </w:p>
    <w:p>
      <w:pPr>
        <w:spacing w:after="0" w:line="27" w:lineRule="exact"/>
        <w:rPr>
          <w:sz w:val="20"/>
          <w:szCs w:val="20"/>
          <w:color w:val="auto"/>
        </w:rPr>
      </w:pPr>
    </w:p>
    <w:p>
      <w:pPr>
        <w:ind w:left="1040" w:right="80" w:firstLine="3"/>
        <w:spacing w:after="0" w:line="251" w:lineRule="auto"/>
        <w:tabs>
          <w:tab w:leader="none" w:pos="1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determined in the prior paragraph, (2) if the benefits under the Plan are not determined at the same time as the benefits payable under the TI Employees Non-Qualified Pension Plan II (“Plan II”), the amount determined in the prior paragraph reduced by any benefit paid under Plan II, or (3) the difference between the vested benefit that would be payable under the TI Employees Pension Plan as of December 31, 2004 as determined in accordance with (i), (ii), and (iii) above and the vested benefit actually payable under the TI Employees Pension Plan as of December 31, 2004 (and in the form of benefit for which the computation is made), as the same may be increased to equal the Present Value of the benefit the Participant actually becomes entitled to, at the time actually paid, determined under the terms of the Plan (including applicable limits under the Code), as in effect on October 3, 2004, without regard to any further services rendered by the Participant after December 31, 2004, or any other events affecting the amount of or the entitlement to benefits (other than any Participant election with respect to the time of payment of an available benefit). The benefit calculated and payable in accordance with this paragraph from and after January 1, 2009 is sometimes referred to as the “Frozen Accrued Benefit”.</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hereby adopts this AMENDMENT NO. 1 TO THE TI EMPLOYEES NON-QUALIFIED PENSION PLAN on this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2008, effective as of the date set forth above, pursuant to authority delegated by the Board of Directors of Texas Instruments Incorporated.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Darla Whitaker</w:t>
            </w:r>
          </w:p>
        </w:tc>
        <w:tc>
          <w:tcPr>
            <w:tcW w:w="20" w:type="dxa"/>
            <w:vAlign w:val="bottom"/>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Darla Whitaker</w:t>
            </w:r>
          </w:p>
        </w:tc>
        <w:tc>
          <w:tcPr>
            <w:tcW w:w="2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Human Resources</w:t>
            </w:r>
          </w:p>
        </w:tc>
        <w:tc>
          <w:tcPr>
            <w:tcW w:w="20" w:type="dxa"/>
            <w:vAlign w:val="bottom"/>
          </w:tcPr>
          <w:p>
            <w:pPr>
              <w:spacing w:after="0"/>
              <w:rPr>
                <w:sz w:val="20"/>
                <w:szCs w:val="20"/>
                <w:color w:val="auto"/>
              </w:rPr>
            </w:pPr>
          </w:p>
        </w:tc>
      </w:tr>
      <w:tr>
        <w:trPr>
          <w:trHeight w:val="1195"/>
        </w:trPr>
        <w:tc>
          <w:tcPr>
            <w:tcW w:w="64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EMPLOYEES NON-QUALIFIED PENSION PLAN</w:t>
      </w:r>
    </w:p>
    <w:p>
      <w:pPr>
        <w:spacing w:after="0" w:line="20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Employees Non-Qualified Pension Plan (Effective January 1, 2009) (the “Plan”), does hereby amend the Plan, effective as of July 26, 2013, to conform the terms of the Plan to the administration of the Plan, as follows: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Section 1-2 of the Plan is amended by deleting said Section and substituting in lieu thereof the following:</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 1-2.</w:t>
            </w:r>
          </w:p>
        </w:tc>
        <w:tc>
          <w:tcPr>
            <w:tcW w:w="8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Beneficiar</w:t>
            </w:r>
            <w:r>
              <w:rPr>
                <w:rFonts w:ascii="Times New Roman" w:cs="Times New Roman" w:eastAsia="Times New Roman" w:hAnsi="Times New Roman"/>
                <w:sz w:val="18"/>
                <w:szCs w:val="18"/>
                <w:b w:val="1"/>
                <w:bCs w:val="1"/>
                <w:i w:val="1"/>
                <w:iCs w:val="1"/>
                <w:color w:val="auto"/>
                <w:w w:val="99"/>
              </w:rPr>
              <w:t>y</w:t>
            </w:r>
            <w:r>
              <w:rPr>
                <w:rFonts w:ascii="Times New Roman" w:cs="Times New Roman" w:eastAsia="Times New Roman" w:hAnsi="Times New Roman"/>
                <w:sz w:val="18"/>
                <w:szCs w:val="18"/>
                <w:color w:val="auto"/>
                <w:w w:val="99"/>
              </w:rPr>
              <w:t>. “Beneficiary” means the same person or persons, entity or entities, trust or trusts, or the Participant’s estate, as</w:t>
            </w:r>
          </w:p>
        </w:tc>
      </w:tr>
      <w:tr>
        <w:trPr>
          <w:trHeight w:val="20"/>
        </w:trPr>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Beneficiary or contingent Beneficiary under the TI Employees Pension Plan.</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undersigned hereby adopts this AMENDMENT NO. 2 TO THE TI EMPLOYEES NON-QUALIFIED PENSION PLAN on this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2015, effective as of the date set forth above, pursuant to authority delegated by the Board of Directors of Texas Instruments, Incorporated.</w:t>
      </w:r>
    </w:p>
    <w:p>
      <w:pPr>
        <w:spacing w:after="0" w:line="162"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Darla Whitaker</w:t>
            </w:r>
          </w:p>
        </w:tc>
      </w:tr>
      <w:tr>
        <w:trPr>
          <w:trHeight w:val="191"/>
        </w:trPr>
        <w:tc>
          <w:tcPr>
            <w:tcW w:w="62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Darla Whitaker</w:t>
            </w:r>
          </w:p>
        </w:tc>
      </w:tr>
      <w:tr>
        <w:trPr>
          <w:trHeight w:val="234"/>
        </w:trPr>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Human Resources</w:t>
            </w:r>
          </w:p>
        </w:tc>
      </w:tr>
    </w:tbl>
    <w:p>
      <w:pPr>
        <w:sectPr>
          <w:pgSz w:w="11900" w:h="16838" w:orient="portrait"/>
          <w:cols w:equalWidth="0" w:num="1">
            <w:col w:w="11420"/>
          </w:cols>
          <w:pgMar w:left="240" w:top="333"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TI EMPLOYEES NON-QUALIFIED PENSION PLAN II</w:t>
      </w:r>
    </w:p>
    <w:p>
      <w:pPr>
        <w:spacing w:after="0" w:line="2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4054475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 EMPLOYEES NON-QUALIFIED PENSION PLAN II</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a Delaware corporation with its principal offices in Dallas, Texas (hereinafter referred to as “TI” or “the Company”), froze the TI Employees Supplemental Pension Plan (the “Frozen Plan”), effective as of December 31, 2004, to the extent benefits under that plan were earned and vested as of that date, and continued said plan in accordance with its terms, to provide for the payment of the benefits which were earned, vested and frozen as of December 31, 2004. Subsequently, TI changed the name of the Frozen Plan to the TI Employees Non-Qualified Pension Plan.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as of January 1, 2005, TI established a new non-qualified pension plan (the “New Plan”) in order to provide (i) for the payment of the frozen earned benefits under the Frozen Plan which were not vested as of January 1, 2005, and (ii) to provide a select group of management or highly compensated employees described in Section 201(2) of the Employee Retirement Income Security Act of 1974, as amended (“ERISA”) with the opportunity to restore certain benefits which cannot be provided under the TI Employees Pension Plan from and after January 1, 2005 as a result of (a) deferral of compensation under a new deferred compensation plan established effective as of January 1, 2005 (known from and after January 1, 2009 as the “TI Deferred Compensation Plan”), or (b) the application of Section 401(a)(17) and/or Section 415 of the Internal Revenue Code of 1986, as amended (the “Code”). TI maintained the New Plan in accordance with the interim guidance promulgated under Section 409A of the Code. In addition, for periods prior to January 1, 2009 the benefits payable under the New Plan may be deferred pursuant to the terms and provisions of the new deferred compensation plan established effective as of January 1, 2005. The benefits provided under the New Plan are unfunded with the result that the participants in the Plan are general unsecured creditors of TI.</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TI hereby amends and restates the New Plan, effective as of January 1, 2009 (the “Plan”), in the form provided herein in order to remove the option of deferring payment of the benefits under this Plan, to remove the entitlement to benefits upon a Change in Control, as defined in the New Plan, to comply with the Final Treasury Regulations under Section 409A of the Code and to name the New Plan the “TI Non-Qualified Pension Plan II.” With respect to benefits or contributions lost under the TI Employees Pension Plan by reason of the operation of Section 415 of the Code, this Plan is intended to constitute an “excess benefit plan”, as defined in Section 3 of ERISA, that is exempt from the provisions of ERISA by reason of Section 4(b)(5) of ERISA.</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otherwise provided herein, the earning of benefits and payment of those benefits under the New Plan shall be governed by the applicable interim guidance under Section 409A of the Code in effect prior to January 1, 2009, and the earning of benefits and payment of those benefits from and after January 1, 2009 shall be governed by the terms and conditions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74" w:lineRule="exact"/>
        <w:rPr>
          <w:sz w:val="20"/>
          <w:szCs w:val="20"/>
          <w:color w:val="auto"/>
        </w:rPr>
      </w:pPr>
    </w:p>
    <w:p>
      <w:pPr>
        <w:ind w:right="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1-1. </w:t>
      </w:r>
      <w:r>
        <w:rPr>
          <w:rFonts w:ascii="Times New Roman" w:cs="Times New Roman" w:eastAsia="Times New Roman" w:hAnsi="Times New Roman"/>
          <w:sz w:val="18"/>
          <w:szCs w:val="18"/>
          <w:i w:val="1"/>
          <w:iCs w:val="1"/>
          <w:u w:val="single" w:color="auto"/>
          <w:color w:val="auto"/>
        </w:rPr>
        <w:t>Administration Committee</w:t>
      </w:r>
      <w:r>
        <w:rPr>
          <w:rFonts w:ascii="Times New Roman" w:cs="Times New Roman" w:eastAsia="Times New Roman" w:hAnsi="Times New Roman"/>
          <w:sz w:val="18"/>
          <w:szCs w:val="18"/>
          <w:color w:val="auto"/>
        </w:rPr>
        <w:t xml:space="preserve"> . “Administration Committee” means the person or persons from time to time acting under the provisions of Article V hereof.</w:t>
      </w:r>
    </w:p>
    <w:p>
      <w:pPr>
        <w:spacing w:after="0" w:line="158"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1-2. </w:t>
      </w:r>
      <w:r>
        <w:rPr>
          <w:rFonts w:ascii="Times New Roman" w:cs="Times New Roman" w:eastAsia="Times New Roman" w:hAnsi="Times New Roman"/>
          <w:sz w:val="18"/>
          <w:szCs w:val="18"/>
          <w:i w:val="1"/>
          <w:iCs w:val="1"/>
          <w:u w:val="single" w:color="auto"/>
          <w:color w:val="auto"/>
        </w:rPr>
        <w:t>Beneficiary</w:t>
      </w:r>
      <w:r>
        <w:rPr>
          <w:rFonts w:ascii="Times New Roman" w:cs="Times New Roman" w:eastAsia="Times New Roman" w:hAnsi="Times New Roman"/>
          <w:sz w:val="18"/>
          <w:szCs w:val="18"/>
          <w:color w:val="auto"/>
        </w:rPr>
        <w:t xml:space="preserve"> .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under the TI Employees Pension Plan. “Beneficiary” means, in the case of a married Participant, the spouse (as defined in the Defense of Marriage Act) of the Participant at the time of his death, unless the Participant has designated another joint annuitant, contingent annuitant, Beneficiary, or contingent Beneficiary under the TI Employees Pension Plan, in which case such persons or person, entity or entities, trust or trusts, or the Participant’s estate shall be the Beneficiary(ies) under this Plan.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person who is an alternate payee under a qualified domestic relations order may be considered a Beneficiary for purposes of this Plan.</w:t>
      </w:r>
    </w:p>
    <w:p>
      <w:pPr>
        <w:spacing w:after="0" w:line="223"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1-3.</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Board of Directors </w:t>
      </w:r>
      <w:r>
        <w:rPr>
          <w:rFonts w:ascii="Times New Roman" w:cs="Times New Roman" w:eastAsia="Times New Roman" w:hAnsi="Times New Roman"/>
          <w:sz w:val="17"/>
          <w:szCs w:val="17"/>
          <w:color w:val="auto"/>
        </w:rPr>
        <w:t>. “Board of Directors” means the Board of Directors of TI or of any Subsidiary which has adopted this Plan.</w:t>
      </w:r>
    </w:p>
    <w:p>
      <w:pPr>
        <w:spacing w:after="0" w:line="22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1-4.</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Code </w:t>
      </w:r>
      <w:r>
        <w:rPr>
          <w:rFonts w:ascii="Times New Roman" w:cs="Times New Roman" w:eastAsia="Times New Roman" w:hAnsi="Times New Roman"/>
          <w:sz w:val="17"/>
          <w:szCs w:val="17"/>
          <w:color w:val="auto"/>
        </w:rPr>
        <w:t>. “Code” means the Internal Revenue Code of 1986, as amended.</w:t>
      </w:r>
    </w:p>
    <w:p>
      <w:pPr>
        <w:spacing w:after="0" w:line="22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1-5.</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Compensation Committee </w:t>
      </w:r>
      <w:r>
        <w:rPr>
          <w:rFonts w:ascii="Times New Roman" w:cs="Times New Roman" w:eastAsia="Times New Roman" w:hAnsi="Times New Roman"/>
          <w:sz w:val="17"/>
          <w:szCs w:val="17"/>
          <w:color w:val="auto"/>
        </w:rPr>
        <w:t>. “Compensation Committee” means the Compensation Committee of the Board of Directors of TI.</w:t>
      </w:r>
    </w:p>
    <w:p>
      <w:pPr>
        <w:spacing w:after="0" w:line="225"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1-6. </w:t>
      </w:r>
      <w:r>
        <w:rPr>
          <w:rFonts w:ascii="Times New Roman" w:cs="Times New Roman" w:eastAsia="Times New Roman" w:hAnsi="Times New Roman"/>
          <w:sz w:val="18"/>
          <w:szCs w:val="18"/>
          <w:i w:val="1"/>
          <w:iCs w:val="1"/>
          <w:u w:val="single" w:color="auto"/>
          <w:color w:val="auto"/>
        </w:rPr>
        <w:t>Employee</w:t>
      </w:r>
      <w:r>
        <w:rPr>
          <w:rFonts w:ascii="Times New Roman" w:cs="Times New Roman" w:eastAsia="Times New Roman" w:hAnsi="Times New Roman"/>
          <w:sz w:val="18"/>
          <w:szCs w:val="18"/>
          <w:color w:val="auto"/>
        </w:rPr>
        <w:t xml:space="preserve"> . “Employee” means any employee of TI or its Subsidiaries, whether full or part-time, other than an employee who is defined as a “Tucson Participant” in Appendix E of the TI Employees Pension Plan.</w:t>
      </w:r>
    </w:p>
    <w:p>
      <w:pPr>
        <w:spacing w:after="0" w:line="158"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1-7.</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Employer </w:t>
      </w:r>
      <w:r>
        <w:rPr>
          <w:rFonts w:ascii="Times New Roman" w:cs="Times New Roman" w:eastAsia="Times New Roman" w:hAnsi="Times New Roman"/>
          <w:sz w:val="17"/>
          <w:szCs w:val="17"/>
          <w:color w:val="auto"/>
        </w:rPr>
        <w:t>. “Employer” means Texas Instruments Incorporated.</w:t>
      </w:r>
    </w:p>
    <w:p>
      <w:pPr>
        <w:spacing w:after="0" w:line="22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1-8.</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ERISA </w:t>
      </w:r>
      <w:r>
        <w:rPr>
          <w:rFonts w:ascii="Times New Roman" w:cs="Times New Roman" w:eastAsia="Times New Roman" w:hAnsi="Times New Roman"/>
          <w:sz w:val="18"/>
          <w:szCs w:val="18"/>
          <w:color w:val="auto"/>
        </w:rPr>
        <w:t>. “ERISA” means the Employee Retirement Income Security Act of 1974, as amended.</w:t>
      </w:r>
    </w:p>
    <w:p>
      <w:pPr>
        <w:spacing w:after="0" w:line="22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1-9.</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Participant </w:t>
      </w:r>
      <w:r>
        <w:rPr>
          <w:rFonts w:ascii="Times New Roman" w:cs="Times New Roman" w:eastAsia="Times New Roman" w:hAnsi="Times New Roman"/>
          <w:sz w:val="17"/>
          <w:szCs w:val="17"/>
          <w:color w:val="auto"/>
        </w:rPr>
        <w:t>. “Participant” means an individual entitled to a supplemental pension pursuant to the provisions of Article III.</w:t>
      </w:r>
    </w:p>
    <w:p>
      <w:pPr>
        <w:spacing w:after="0" w:line="225" w:lineRule="exact"/>
        <w:rPr>
          <w:sz w:val="20"/>
          <w:szCs w:val="20"/>
          <w:color w:val="auto"/>
        </w:rPr>
      </w:pPr>
    </w:p>
    <w:p>
      <w:pPr>
        <w:ind w:left="520"/>
        <w:spacing w:after="0"/>
        <w:tabs>
          <w:tab w:leader="none" w:pos="1660" w:val="left"/>
        </w:tabs>
        <w:rPr>
          <w:sz w:val="20"/>
          <w:szCs w:val="20"/>
          <w:color w:val="auto"/>
        </w:rPr>
      </w:pPr>
      <w:r>
        <w:rPr>
          <w:rFonts w:ascii="Times New Roman" w:cs="Times New Roman" w:eastAsia="Times New Roman" w:hAnsi="Times New Roman"/>
          <w:sz w:val="18"/>
          <w:szCs w:val="18"/>
          <w:color w:val="auto"/>
        </w:rPr>
        <w:t>Sec. 1-10.</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Plan Year </w:t>
      </w:r>
      <w:r>
        <w:rPr>
          <w:rFonts w:ascii="Times New Roman" w:cs="Times New Roman" w:eastAsia="Times New Roman" w:hAnsi="Times New Roman"/>
          <w:sz w:val="17"/>
          <w:szCs w:val="17"/>
          <w:color w:val="auto"/>
        </w:rPr>
        <w:t>. “Plan Year” means a calendar year.</w:t>
      </w:r>
    </w:p>
    <w:p>
      <w:pPr>
        <w:spacing w:after="0" w:line="225" w:lineRule="exact"/>
        <w:rPr>
          <w:sz w:val="20"/>
          <w:szCs w:val="20"/>
          <w:color w:val="auto"/>
        </w:rPr>
      </w:pPr>
    </w:p>
    <w:p>
      <w:pPr>
        <w:ind w:right="26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1-11. </w:t>
      </w:r>
      <w:r>
        <w:rPr>
          <w:rFonts w:ascii="Times New Roman" w:cs="Times New Roman" w:eastAsia="Times New Roman" w:hAnsi="Times New Roman"/>
          <w:sz w:val="18"/>
          <w:szCs w:val="18"/>
          <w:i w:val="1"/>
          <w:iCs w:val="1"/>
          <w:u w:val="single" w:color="auto"/>
          <w:color w:val="auto"/>
        </w:rPr>
        <w:t>Present Value</w:t>
      </w:r>
      <w:r>
        <w:rPr>
          <w:rFonts w:ascii="Times New Roman" w:cs="Times New Roman" w:eastAsia="Times New Roman" w:hAnsi="Times New Roman"/>
          <w:sz w:val="18"/>
          <w:szCs w:val="18"/>
          <w:color w:val="auto"/>
        </w:rPr>
        <w:t xml:space="preserve"> . “Present Value” means, at any time, the actuarial lump sum value determined at such time of the applicable benefit, based on the actuarial assumptions used to determine single sum payments as set forth in Section 1.2(b)(2)(B), or any successor provision, of the TI Employees Pension Plan.</w:t>
      </w:r>
    </w:p>
    <w:p>
      <w:pPr>
        <w:spacing w:after="0" w:line="174"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1-12. </w:t>
      </w:r>
      <w:r>
        <w:rPr>
          <w:rFonts w:ascii="Times New Roman" w:cs="Times New Roman" w:eastAsia="Times New Roman" w:hAnsi="Times New Roman"/>
          <w:sz w:val="18"/>
          <w:szCs w:val="18"/>
          <w:i w:val="1"/>
          <w:iCs w:val="1"/>
          <w:u w:val="single" w:color="auto"/>
          <w:color w:val="auto"/>
        </w:rPr>
        <w:t>Separation from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“Separation from Service” means a termination of services provided by a Participant to an Employer and any other member of the controlled group of corporations (as defined in Section 414(b) of the Code) which includes TI (hereinafter for purposes of this Section 1-12, TI and such other controlled group members being referred to as “ERISA Affiliates”), whether voluntarily or involuntarily, other than by reason of death, as determined by the Administration Committee in accordance with Treas. Reg. §1.409A-1(h). In determining whether a Participant has experienced a Separation from Service, the following provisions shall apply:</w:t>
      </w:r>
    </w:p>
    <w:p>
      <w:pPr>
        <w:spacing w:after="0" w:line="74" w:lineRule="exact"/>
        <w:rPr>
          <w:sz w:val="20"/>
          <w:szCs w:val="20"/>
          <w:color w:val="auto"/>
        </w:rPr>
      </w:pPr>
    </w:p>
    <w:p>
      <w:pPr>
        <w:ind w:left="1040" w:hanging="519"/>
        <w:spacing w:after="0" w:line="255"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Participant who provides services to an Employer as an Employee, a Separation from Service shall occur when such Participant has experienced a termination of employment with the Employer or an ERISA Affiliate. A Participant shall be considered to have experienced a termination of employment when the facts and circumstances indicate that the Participant and the Employer reasonably anticipate that either (a) no further services will be performed for the Employer or an ERISA Affiliate after a certain date, or (b) that the level of bona fide services the Participant will perform for the Employer or an ERISA Affiliate after such date (whether as an Employee or as an independent contractor) will permanently decrease to no more than 20% of the average level of bona fide services performed by such Participant (whether as an Employee or an independent contractor) over the immediately preceding thirty-six (36) month period (or the full period of services to the Employer if the Participant has been providing services to the Employer less than thirty-six (36)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03" w:name="page104"/>
    <w:bookmarkEnd w:id="103"/>
    <w:p>
      <w:pPr>
        <w:ind w:left="1040" w:hanging="519"/>
        <w:spacing w:after="0" w:line="253"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on military leave, sick leave, or other bona fide leave of absence, the employment relationship between the Participant and the Employer shall be treated as continuing intact, provided that the period of such leave does not exceed six (6) months; or if longer, so long as the Participant retains a right to reemployment with the Employer or an ERISA Affiliate under an applicable statute or by contract. If the period of a military leave, sick leave, or other bona fide leave of absence exceeds six (6) months and the Participant does not retain a right to reemployment under an applicable statute or by contract, the employment relationship shall be considered to be terminated for purposes of the Plan as of the first business day immediately following the end of such six (6) month period. If a leave of absence is due to any medically determinable physical or mental impairment that can be expected to result in death or can be expected to last for a continuous period of not less than six (6) months, where such impairment causes the Participant to be unable to perform the duties of his position of employment or any substantially similar position of employment, a twenty-nine (29) month period of absence shall be substituted for such six (6) month period. In applying the provisions of this paragraph, a leave of absence shall be considered a bona fide leave of absence only if there is a reasonable expectation that the Participant will return to perform services for an Employer or an ERISA Affiliate.</w:t>
      </w:r>
    </w:p>
    <w:p>
      <w:pPr>
        <w:spacing w:after="0" w:line="191" w:lineRule="exact"/>
        <w:rPr>
          <w:sz w:val="20"/>
          <w:szCs w:val="20"/>
          <w:color w:val="auto"/>
        </w:rPr>
      </w:pPr>
    </w:p>
    <w:p>
      <w:pPr>
        <w:ind w:right="3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1-13. </w:t>
      </w:r>
      <w:r>
        <w:rPr>
          <w:rFonts w:ascii="Times New Roman" w:cs="Times New Roman" w:eastAsia="Times New Roman" w:hAnsi="Times New Roman"/>
          <w:sz w:val="18"/>
          <w:szCs w:val="18"/>
          <w:i w:val="1"/>
          <w:iCs w:val="1"/>
          <w:u w:val="single" w:color="auto"/>
          <w:color w:val="auto"/>
        </w:rPr>
        <w:t>Specified Employee</w:t>
      </w:r>
      <w:r>
        <w:rPr>
          <w:rFonts w:ascii="Times New Roman" w:cs="Times New Roman" w:eastAsia="Times New Roman" w:hAnsi="Times New Roman"/>
          <w:sz w:val="18"/>
          <w:szCs w:val="18"/>
          <w:color w:val="auto"/>
        </w:rPr>
        <w:t xml:space="preserve"> . “Specified Employee” means any Participant who is determined to be a “key employee” (as defined under Section 416(i) of the Code without regard to paragraph (5) thereof) for the applicable period, as determined annually by the Administration Committee in accordance with Treas. Reg. §1.409A-1(i). In determining whether a Participant is a Specified Employee, the following provisions shall apply:</w:t>
      </w:r>
    </w:p>
    <w:p>
      <w:pPr>
        <w:spacing w:after="0" w:line="67" w:lineRule="exact"/>
        <w:rPr>
          <w:sz w:val="20"/>
          <w:szCs w:val="20"/>
          <w:color w:val="auto"/>
        </w:rPr>
      </w:pPr>
    </w:p>
    <w:p>
      <w:pPr>
        <w:ind w:left="1040" w:right="80" w:hanging="519"/>
        <w:spacing w:after="0" w:line="258"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Identification of the individuals who fall within the definition of “key employee” under Code Section 416(i) without regard to paragraph (5) thereof) shall be based upon the twelve (12) month period ending on each December 31 </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xml:space="preserve"> (referred to below as the “identification date”). In applying the applicable provisions of Code Section 416(i) to identify such individuals, “compensation” shall be determined in accordance with Treas. Reg. §1.415(c)-2(a) without regard to (a) any safe harbor provided in Treas. Reg. §1.415(c)-2(d), (b) any of the special timing rules provided in Treas. Reg. §1.415(c)-2(e), and (c) any of the special rules provided in Treas. Reg. §1.415(c)-2(g); and</w:t>
      </w:r>
    </w:p>
    <w:p>
      <w:pPr>
        <w:spacing w:after="0" w:line="75" w:lineRule="exact"/>
        <w:rPr>
          <w:rFonts w:ascii="Times New Roman" w:cs="Times New Roman" w:eastAsia="Times New Roman" w:hAnsi="Times New Roman"/>
          <w:sz w:val="18"/>
          <w:szCs w:val="18"/>
          <w:color w:val="auto"/>
        </w:rPr>
      </w:pPr>
    </w:p>
    <w:p>
      <w:pPr>
        <w:jc w:val="both"/>
        <w:ind w:left="1040" w:right="160" w:hanging="519"/>
        <w:spacing w:after="0" w:line="266"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who is a “key employee” in accordance with part (i) of this Section shall be treated as a Specified Employee for purposes of this Plan if such Participant experiences a Separation from Service during the twelve (12) month period that begins on the April 1 </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xml:space="preserve"> following the applicable identification date.</w:t>
      </w:r>
    </w:p>
    <w:p>
      <w:pPr>
        <w:spacing w:after="0" w:line="174" w:lineRule="exact"/>
        <w:rPr>
          <w:sz w:val="20"/>
          <w:szCs w:val="20"/>
          <w:color w:val="auto"/>
        </w:rPr>
      </w:pPr>
    </w:p>
    <w:p>
      <w:pPr>
        <w:ind w:right="2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1-14. </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color w:val="auto"/>
        </w:rPr>
        <w:t xml:space="preserve"> .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2-1. </w:t>
      </w:r>
      <w:r>
        <w:rPr>
          <w:rFonts w:ascii="Times New Roman" w:cs="Times New Roman" w:eastAsia="Times New Roman" w:hAnsi="Times New Roman"/>
          <w:sz w:val="18"/>
          <w:szCs w:val="18"/>
          <w:i w:val="1"/>
          <w:iCs w:val="1"/>
          <w:u w:val="single" w:color="auto"/>
          <w:color w:val="auto"/>
        </w:rPr>
        <w:t>Eligibility and Participation</w:t>
      </w:r>
      <w:r>
        <w:rPr>
          <w:rFonts w:ascii="Times New Roman" w:cs="Times New Roman" w:eastAsia="Times New Roman" w:hAnsi="Times New Roman"/>
          <w:sz w:val="18"/>
          <w:szCs w:val="18"/>
          <w:color w:val="auto"/>
        </w:rPr>
        <w:t xml:space="preserve"> . Any Employee who was a Participant in the TI Employees Pension Plan on December 31, 1997 shall be eligible for participation in this Plan, and shall automatically become a Participant in the event that, pursuant to the terms of Article III, any amount would be payable to the Participant under this Plan. In the event that a Participant shall experience a Separation from Service prior to becoming vested in any benefit under the TI Employees Pension Plan, the Participant shall forfeit any benefits accrued under this Plan. Conversely, in the event the Participant shall separate from employment with a vested interest in benefits under the TI Employees Pension Plan, the Participant shall have a vested interest in the corresponding benefits under this Plan. A vested Participant shall continue to participate in this Plan until such Participant has received payment of all benefits credited to or accrued by the Participant hereunder.</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Benefits</w:t>
      </w:r>
    </w:p>
    <w:p>
      <w:pPr>
        <w:spacing w:after="0" w:line="205"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8"/>
          <w:szCs w:val="18"/>
          <w:color w:val="auto"/>
        </w:rPr>
        <w:t>Sec. 3-1.</w:t>
      </w:r>
      <w:r>
        <w:rPr>
          <w:sz w:val="20"/>
          <w:szCs w:val="20"/>
          <w:color w:val="auto"/>
        </w:rPr>
        <w:tab/>
      </w:r>
      <w:r>
        <w:rPr>
          <w:rFonts w:ascii="Times New Roman" w:cs="Times New Roman" w:eastAsia="Times New Roman" w:hAnsi="Times New Roman"/>
          <w:sz w:val="17"/>
          <w:szCs w:val="17"/>
          <w:i w:val="1"/>
          <w:iCs w:val="1"/>
          <w:u w:val="single" w:color="auto"/>
          <w:color w:val="auto"/>
        </w:rPr>
        <w:t xml:space="preserve">Supplemental Benefits </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ind w:left="1040" w:right="20" w:hanging="519"/>
        <w:spacing w:after="0" w:line="289" w:lineRule="auto"/>
        <w:tabs>
          <w:tab w:leader="none" w:pos="10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 payable under this Plan to a Participant shall be the difference between the Present Value of the benefit actually payable under the TI Employees Pension Plan at the time of computation (based on the form of benefit for which the computation is made) and the Present Value of the benefit that would be payable under the TI Employees Pension Plan at such time of computation (in the same form as provided above) if:</w:t>
      </w:r>
    </w:p>
    <w:p>
      <w:pPr>
        <w:spacing w:after="0" w:line="50" w:lineRule="exact"/>
        <w:rPr>
          <w:rFonts w:ascii="Times New Roman" w:cs="Times New Roman" w:eastAsia="Times New Roman" w:hAnsi="Times New Roman"/>
          <w:sz w:val="17"/>
          <w:szCs w:val="17"/>
          <w:color w:val="auto"/>
        </w:rPr>
      </w:pPr>
    </w:p>
    <w:p>
      <w:pPr>
        <w:ind w:left="1540" w:right="160" w:hanging="506"/>
        <w:spacing w:after="0" w:line="282"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Employees Pension Plan contained no limit on the Compensation that may be considered under Section 401(a)(17) of the Code (for purposes of the calculation and accrual of benefits under the TI Employees Pension Plan);</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each plan year under the TI Employees Pension Plan included amounts electively deferred, if any, by a Participant under the TI Deferred Compensation Plan from earnings that would have constituted Compensation for such plan year under the TI Employees Pension Plan, had such amounts not been electively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04" w:name="page105"/>
    <w:bookmarkEnd w:id="104"/>
    <w:p>
      <w:pPr>
        <w:ind w:left="1540" w:right="80"/>
        <w:spacing w:after="0" w:line="282" w:lineRule="auto"/>
        <w:rPr>
          <w:sz w:val="20"/>
          <w:szCs w:val="20"/>
          <w:color w:val="auto"/>
        </w:rPr>
      </w:pPr>
      <w:r>
        <w:rPr>
          <w:rFonts w:ascii="Times New Roman" w:cs="Times New Roman" w:eastAsia="Times New Roman" w:hAnsi="Times New Roman"/>
          <w:sz w:val="18"/>
          <w:szCs w:val="18"/>
          <w:color w:val="auto"/>
        </w:rPr>
        <w:t>deferred and/or, if applicable, had Section 401(a)(17) of the Code not precluded the consideration of such earnings as Compensation (in the absence of such deferral);</w:t>
      </w:r>
    </w:p>
    <w:p>
      <w:pPr>
        <w:spacing w:after="0" w:line="54" w:lineRule="exact"/>
        <w:rPr>
          <w:sz w:val="20"/>
          <w:szCs w:val="20"/>
          <w:color w:val="auto"/>
        </w:rPr>
      </w:pPr>
    </w:p>
    <w:p>
      <w:pPr>
        <w:ind w:left="1540" w:right="40" w:hanging="506"/>
        <w:spacing w:after="0" w:line="266"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Employees Pension Plan contained no limit pursuant to Section 415 of the Code upon the maximum amount of pension that may be paid by the TI Employees Pension Plan (such as the limits in effect on January 1, 2008, under Section 12.1 of the TI Employees Pension Plan); and</w:t>
      </w:r>
    </w:p>
    <w:p>
      <w:pPr>
        <w:spacing w:after="0" w:line="68" w:lineRule="exact"/>
        <w:rPr>
          <w:rFonts w:ascii="Times New Roman" w:cs="Times New Roman" w:eastAsia="Times New Roman" w:hAnsi="Times New Roman"/>
          <w:sz w:val="18"/>
          <w:szCs w:val="18"/>
          <w:color w:val="auto"/>
        </w:rPr>
      </w:pPr>
    </w:p>
    <w:p>
      <w:pPr>
        <w:ind w:left="1540" w:right="40" w:hanging="506"/>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Employees Pension Plan calculated “Average Credited Earnings” and “Benefit Service,” as defined in the TI Employees Pension Plan, from the Participant’s date of hire by the Employer.</w:t>
      </w:r>
    </w:p>
    <w:p>
      <w:pPr>
        <w:spacing w:after="0" w:line="53" w:lineRule="exact"/>
        <w:rPr>
          <w:rFonts w:ascii="Times New Roman" w:cs="Times New Roman" w:eastAsia="Times New Roman" w:hAnsi="Times New Roman"/>
          <w:sz w:val="18"/>
          <w:szCs w:val="18"/>
          <w:color w:val="auto"/>
        </w:rPr>
      </w:pPr>
    </w:p>
    <w:p>
      <w:pPr>
        <w:ind w:left="1040" w:hanging="519"/>
        <w:spacing w:after="0" w:line="255"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3-1, a Participant, at the time of a Separation from Service, may be placed on leave of absence. If such Participant becomes eligible for early retirement benefits from the TI Employees Pension Plan during such leave of absence, then the benefits to which such Participant is entitled under this Plan shall be calculated (a) taking into account the additional service credit such Participant is entitled to receive under the TI Employees Pension Plan as a result of the leave of absence and the early retirement subsidy to which such Participant is entitled, if any, under the TI Employees Pension Plan, and (b) actuarially reduced (based on the interest and mortality rates under Section 417(e) of the Code) from the Participant’s Earliest Payment Start Date as defined under the TI Employees Pension Plan to the date the benefits are actually paid under this Plan.</w:t>
      </w:r>
    </w:p>
    <w:p>
      <w:pPr>
        <w:spacing w:after="0" w:line="81"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Participant is also a participant in the Frozen Plan, the benefit payable under this Plan shall be offset by the benefit payable under the Frozen Plan, as follows:</w:t>
      </w:r>
    </w:p>
    <w:p>
      <w:pPr>
        <w:spacing w:after="0" w:line="53" w:lineRule="exact"/>
        <w:rPr>
          <w:rFonts w:ascii="Times New Roman" w:cs="Times New Roman" w:eastAsia="Times New Roman" w:hAnsi="Times New Roman"/>
          <w:sz w:val="18"/>
          <w:szCs w:val="18"/>
          <w:color w:val="auto"/>
        </w:rPr>
      </w:pPr>
    </w:p>
    <w:p>
      <w:pPr>
        <w:ind w:left="1540" w:right="40" w:hanging="506"/>
        <w:spacing w:after="0" w:line="261"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at the time of payment under this Plan, is not on a leave of absence, the offset shall be based on the Present Value of the benefits determined pursuant to the foregoing provisions of this Section 3-1, other than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71" w:lineRule="exact"/>
        <w:rPr>
          <w:rFonts w:ascii="Times New Roman" w:cs="Times New Roman" w:eastAsia="Times New Roman" w:hAnsi="Times New Roman"/>
          <w:sz w:val="18"/>
          <w:szCs w:val="18"/>
          <w:color w:val="auto"/>
        </w:rPr>
      </w:pPr>
    </w:p>
    <w:p>
      <w:pPr>
        <w:ind w:left="1540" w:right="140" w:hanging="506"/>
        <w:spacing w:after="0" w:line="258"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at the time of payment under this Plan, is on a leave of absence, the offset shall be based on the actuarially reduced (applying the interest and mortality rates under Section 417(e) of the Code) Present Value of the benefits determined pursuant to the foregoing provisions of this Section 3-1, taking into account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18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Sec. 3-2. </w:t>
      </w:r>
      <w:r>
        <w:rPr>
          <w:rFonts w:ascii="Times New Roman" w:cs="Times New Roman" w:eastAsia="Times New Roman" w:hAnsi="Times New Roman"/>
          <w:sz w:val="18"/>
          <w:szCs w:val="18"/>
          <w:i w:val="1"/>
          <w:iCs w:val="1"/>
          <w:u w:val="single" w:color="auto"/>
          <w:color w:val="auto"/>
        </w:rPr>
        <w:t>Payment of Supplemental Benefit</w:t>
      </w:r>
      <w:r>
        <w:rPr>
          <w:rFonts w:ascii="Times New Roman" w:cs="Times New Roman" w:eastAsia="Times New Roman" w:hAnsi="Times New Roman"/>
          <w:sz w:val="18"/>
          <w:szCs w:val="18"/>
          <w:color w:val="auto"/>
        </w:rPr>
        <w:t xml:space="preserve"> . Subject to Section 3-3, the benefit determined pursuant to Section 3-1 shall be paid in a lump sum to the person entitled thereto as soon as administratively practicable following the date on which the Participant’s Separation from Service or death occurs, but in no event later than ninety (90) days following such Separation from Service or death, except in the case of a Specified Employee. If a Participant is a Specified Employee on the date on which a Separation from Service occurs, no payment shall be made before the first day after the end of the six (6)-month period immediately following the date on which the Participant experiences a Separation from Service. If a Participant is rehired after a Separation from Service but before payment occurs, that Participant shall receive the payment he is entitled to as a result of the initial Separation from Service at the time such payment would otherwise be made, without regard to his subsequent rehire.</w:t>
      </w:r>
    </w:p>
    <w:p>
      <w:pPr>
        <w:spacing w:after="0" w:line="183"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3-3. </w:t>
      </w:r>
      <w:r>
        <w:rPr>
          <w:rFonts w:ascii="Times New Roman" w:cs="Times New Roman" w:eastAsia="Times New Roman" w:hAnsi="Times New Roman"/>
          <w:sz w:val="18"/>
          <w:szCs w:val="18"/>
          <w:i w:val="1"/>
          <w:iCs w:val="1"/>
          <w:u w:val="single" w:color="auto"/>
          <w:color w:val="auto"/>
        </w:rPr>
        <w:t>Restrictions</w:t>
      </w:r>
      <w:r>
        <w:rPr>
          <w:rFonts w:ascii="Times New Roman" w:cs="Times New Roman" w:eastAsia="Times New Roman" w:hAnsi="Times New Roman"/>
          <w:sz w:val="18"/>
          <w:szCs w:val="18"/>
          <w:color w:val="auto"/>
        </w:rPr>
        <w:t xml:space="preserve"> . Except upon a Participant’s Separation from Service followed by the rehire of said Participant before payment of the benefit pursuant to Section 3-2 is made, no benefits accrued under this Plan may be distributed to a Participant until after the date of a Participant’s Separation from Service or death. No loans may be made to any Participant with respect to benefits accrued under this Plan. Benefits payable under this Plan may not be rolled over or transferred to an individual retirement account or to any other employee benefit plan. Benefits provided under this Plan shall not constitute earnings or compensation for purposes of determining contributions or benefits under any other employee benefit plan of the Employers.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3-4. </w:t>
      </w:r>
      <w:r>
        <w:rPr>
          <w:rFonts w:ascii="Times New Roman" w:cs="Times New Roman" w:eastAsia="Times New Roman" w:hAnsi="Times New Roman"/>
          <w:sz w:val="18"/>
          <w:szCs w:val="18"/>
          <w:i w:val="1"/>
          <w:iCs w:val="1"/>
          <w:u w:val="single" w:color="auto"/>
          <w:color w:val="auto"/>
        </w:rPr>
        <w:t>Limitation on Time of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TI reasonably anticipates that any amount to be paid to a Participant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3-4 shall not apply unless all payments to which the Participant would be entitled which could be delayed in accordance with the provisions of this Section 3-4 also are delayed.</w:t>
      </w:r>
    </w:p>
    <w:p>
      <w:pPr>
        <w:spacing w:after="0" w:line="180" w:lineRule="exact"/>
        <w:rPr>
          <w:sz w:val="20"/>
          <w:szCs w:val="20"/>
          <w:color w:val="auto"/>
        </w:rPr>
      </w:pPr>
    </w:p>
    <w:p>
      <w:pPr>
        <w:ind w:right="10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3-5. </w:t>
      </w: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xml:space="preserve"> . TI makes no guarantees and assumes no obligation or responsibility with respect to a Participant’s or payee’s federal, state, or local income, estate, inheritance or gift tax obligations, if any, under this Plan. Any taxes required to be withheld from payments hereunder shall be deducted and withheld by the Company, benefit provider or funding agent appointed under the Plan.</w:t>
      </w:r>
    </w:p>
    <w:p>
      <w:pPr>
        <w:spacing w:after="0" w:line="17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3-6. </w:t>
      </w:r>
      <w:r>
        <w:rPr>
          <w:rFonts w:ascii="Times New Roman" w:cs="Times New Roman" w:eastAsia="Times New Roman" w:hAnsi="Times New Roman"/>
          <w:sz w:val="18"/>
          <w:szCs w:val="18"/>
          <w:i w:val="1"/>
          <w:iCs w:val="1"/>
          <w:u w:val="single" w:color="auto"/>
          <w:color w:val="auto"/>
        </w:rPr>
        <w:t>Assignment</w:t>
      </w:r>
      <w:r>
        <w:rPr>
          <w:rFonts w:ascii="Times New Roman" w:cs="Times New Roman" w:eastAsia="Times New Roman" w:hAnsi="Times New Roman"/>
          <w:sz w:val="18"/>
          <w:szCs w:val="18"/>
          <w:color w:val="auto"/>
        </w:rPr>
        <w:t xml:space="preserve"> . Except as provided in Section 3-6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05" w:name="page106"/>
    <w:bookmarkEnd w:id="105"/>
    <w:p>
      <w:pPr>
        <w:ind w:right="10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3-7. </w:t>
      </w:r>
      <w:r>
        <w:rPr>
          <w:rFonts w:ascii="Times New Roman" w:cs="Times New Roman" w:eastAsia="Times New Roman" w:hAnsi="Times New Roman"/>
          <w:sz w:val="18"/>
          <w:szCs w:val="18"/>
          <w:i w:val="1"/>
          <w:iCs w:val="1"/>
          <w:u w:val="single" w:color="auto"/>
          <w:color w:val="auto"/>
        </w:rPr>
        <w:t>Alternate Payee Claims</w:t>
      </w:r>
      <w:r>
        <w:rPr>
          <w:rFonts w:ascii="Times New Roman" w:cs="Times New Roman" w:eastAsia="Times New Roman" w:hAnsi="Times New Roman"/>
          <w:sz w:val="18"/>
          <w:szCs w:val="18"/>
          <w:color w:val="auto"/>
        </w:rPr>
        <w:t xml:space="preserve"> . Any claim against any benefits hereunder for child support, spousal maintenance, property settlement, or alimony (an “Alternate Payee Claim”) shall be treated in the same manner as would a claim for corresponding benefits under the TI Employees Pension Plan and shall be subject to all claims provisions and restrictions of the TI Employees Pension Plan.</w:t>
      </w:r>
    </w:p>
    <w:p>
      <w:pPr>
        <w:spacing w:after="0" w:line="172"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3-8. </w:t>
      </w:r>
      <w:r>
        <w:rPr>
          <w:rFonts w:ascii="Times New Roman" w:cs="Times New Roman" w:eastAsia="Times New Roman" w:hAnsi="Times New Roman"/>
          <w:sz w:val="18"/>
          <w:szCs w:val="18"/>
          <w:i w:val="1"/>
          <w:iCs w:val="1"/>
          <w:u w:val="single" w:color="auto"/>
          <w:color w:val="auto"/>
        </w:rPr>
        <w:t>Incompetent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28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u w:val="single" w:color="auto"/>
          <w:color w:val="auto"/>
        </w:rPr>
        <w:t>Funding</w:t>
      </w:r>
    </w:p>
    <w:p>
      <w:pPr>
        <w:spacing w:after="0" w:line="205" w:lineRule="exact"/>
        <w:rPr>
          <w:sz w:val="20"/>
          <w:szCs w:val="20"/>
          <w:color w:val="auto"/>
        </w:rPr>
      </w:pPr>
    </w:p>
    <w:p>
      <w:pPr>
        <w:jc w:val="both"/>
        <w:ind w:right="380" w:firstLine="518"/>
        <w:spacing w:after="0" w:line="261" w:lineRule="auto"/>
        <w:rPr>
          <w:sz w:val="20"/>
          <w:szCs w:val="20"/>
          <w:color w:val="auto"/>
        </w:rPr>
      </w:pPr>
      <w:r>
        <w:rPr>
          <w:rFonts w:ascii="Times New Roman" w:cs="Times New Roman" w:eastAsia="Times New Roman" w:hAnsi="Times New Roman"/>
          <w:sz w:val="18"/>
          <w:szCs w:val="18"/>
          <w:color w:val="auto"/>
        </w:rPr>
        <w:t xml:space="preserve">Sec. 4-1. </w:t>
      </w:r>
      <w:r>
        <w:rPr>
          <w:rFonts w:ascii="Times New Roman" w:cs="Times New Roman" w:eastAsia="Times New Roman" w:hAnsi="Times New Roman"/>
          <w:sz w:val="18"/>
          <w:szCs w:val="18"/>
          <w:i w:val="1"/>
          <w:iCs w:val="1"/>
          <w:u w:val="single" w:color="auto"/>
          <w:color w:val="auto"/>
        </w:rPr>
        <w:t>Funding</w:t>
      </w:r>
      <w:r>
        <w:rPr>
          <w:rFonts w:ascii="Times New Roman" w:cs="Times New Roman" w:eastAsia="Times New Roman" w:hAnsi="Times New Roman"/>
          <w:sz w:val="18"/>
          <w:szCs w:val="18"/>
          <w:color w:val="auto"/>
        </w:rPr>
        <w:t xml:space="preserve"> .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180" w:lineRule="exact"/>
        <w:rPr>
          <w:sz w:val="20"/>
          <w:szCs w:val="20"/>
          <w:color w:val="auto"/>
        </w:rPr>
      </w:pPr>
    </w:p>
    <w:p>
      <w:pPr>
        <w:ind w:right="18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4-2. </w:t>
      </w:r>
      <w:r>
        <w:rPr>
          <w:rFonts w:ascii="Times New Roman" w:cs="Times New Roman" w:eastAsia="Times New Roman" w:hAnsi="Times New Roman"/>
          <w:sz w:val="18"/>
          <w:szCs w:val="18"/>
          <w:i w:val="1"/>
          <w:iCs w:val="1"/>
          <w:u w:val="single" w:color="auto"/>
          <w:color w:val="auto"/>
        </w:rPr>
        <w:t>Creditor Status</w:t>
      </w:r>
      <w:r>
        <w:rPr>
          <w:rFonts w:ascii="Times New Roman" w:cs="Times New Roman" w:eastAsia="Times New Roman" w:hAnsi="Times New Roman"/>
          <w:sz w:val="18"/>
          <w:szCs w:val="18"/>
          <w:color w:val="auto"/>
        </w:rPr>
        <w:t xml:space="preserve"> . A Participant and his Beneficiary or Beneficiaries shall be general unsecured creditors of the Employers with respect to the payment of any benefit under this Plan.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Plan</w:t>
      </w:r>
    </w:p>
    <w:p>
      <w:pPr>
        <w:spacing w:after="0" w:line="205"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color w:val="auto"/>
        </w:rPr>
        <w:t xml:space="preserve">Sec. 5-1. </w:t>
      </w:r>
      <w:r>
        <w:rPr>
          <w:rFonts w:ascii="Times New Roman" w:cs="Times New Roman" w:eastAsia="Times New Roman" w:hAnsi="Times New Roman"/>
          <w:sz w:val="18"/>
          <w:szCs w:val="18"/>
          <w:i w:val="1"/>
          <w:iCs w:val="1"/>
          <w:u w:val="single" w:color="auto"/>
          <w:color w:val="auto"/>
        </w:rPr>
        <w:t>Administration</w:t>
      </w:r>
      <w:r>
        <w:rPr>
          <w:rFonts w:ascii="Times New Roman" w:cs="Times New Roman" w:eastAsia="Times New Roman" w:hAnsi="Times New Roman"/>
          <w:sz w:val="18"/>
          <w:szCs w:val="18"/>
          <w:color w:val="auto"/>
        </w:rPr>
        <w:t xml:space="preserve"> . The Plan shall be administered by the Administration Committee and its designees. The duties of the Administration Committee and its designees include (but not by way of limitation) (i) the defense of lawsuits and conduct of litigation in the name of the Plan (subject to the approval of the General Counsel of TI), (ii) the full power and discretion to interpret and construe this Plan where it concerns (a) questions of eligibility or status, (b)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pacing w:after="0" w:line="183" w:lineRule="exact"/>
        <w:rPr>
          <w:sz w:val="20"/>
          <w:szCs w:val="20"/>
          <w:color w:val="auto"/>
        </w:rPr>
      </w:pPr>
    </w:p>
    <w:p>
      <w:pPr>
        <w:ind w:right="4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5-2. </w:t>
      </w:r>
      <w:r>
        <w:rPr>
          <w:rFonts w:ascii="Times New Roman" w:cs="Times New Roman" w:eastAsia="Times New Roman" w:hAnsi="Times New Roman"/>
          <w:sz w:val="18"/>
          <w:szCs w:val="18"/>
          <w:i w:val="1"/>
          <w:iCs w:val="1"/>
          <w:u w:val="single" w:color="auto"/>
          <w:color w:val="auto"/>
        </w:rPr>
        <w:t>Number and Selection</w:t>
      </w:r>
      <w:r>
        <w:rPr>
          <w:rFonts w:ascii="Times New Roman" w:cs="Times New Roman" w:eastAsia="Times New Roman" w:hAnsi="Times New Roman"/>
          <w:sz w:val="18"/>
          <w:szCs w:val="18"/>
          <w:color w:val="auto"/>
        </w:rPr>
        <w:t xml:space="preserve"> . The Administration Committee shall consist of one or more members who shall be appointed by the Chief Executive Officer of TI or his designee.</w:t>
      </w:r>
    </w:p>
    <w:p>
      <w:pPr>
        <w:spacing w:after="0" w:line="158"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5-3. </w:t>
      </w:r>
      <w:r>
        <w:rPr>
          <w:rFonts w:ascii="Times New Roman" w:cs="Times New Roman" w:eastAsia="Times New Roman" w:hAnsi="Times New Roman"/>
          <w:sz w:val="18"/>
          <w:szCs w:val="18"/>
          <w:i w:val="1"/>
          <w:iCs w:val="1"/>
          <w:u w:val="single" w:color="auto"/>
          <w:color w:val="auto"/>
        </w:rPr>
        <w:t>Action by Administration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18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174" w:lineRule="exact"/>
        <w:rPr>
          <w:sz w:val="20"/>
          <w:szCs w:val="20"/>
          <w:color w:val="auto"/>
        </w:rPr>
      </w:pPr>
    </w:p>
    <w:p>
      <w:pPr>
        <w:ind w:right="3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5-4. </w:t>
      </w:r>
      <w:r>
        <w:rPr>
          <w:rFonts w:ascii="Times New Roman" w:cs="Times New Roman" w:eastAsia="Times New Roman" w:hAnsi="Times New Roman"/>
          <w:sz w:val="18"/>
          <w:szCs w:val="18"/>
          <w:i w:val="1"/>
          <w:iCs w:val="1"/>
          <w:u w:val="single" w:color="auto"/>
          <w:color w:val="auto"/>
        </w:rPr>
        <w:t>Recordkeeping</w:t>
      </w:r>
      <w:r>
        <w:rPr>
          <w:rFonts w:ascii="Times New Roman" w:cs="Times New Roman" w:eastAsia="Times New Roman" w:hAnsi="Times New Roman"/>
          <w:sz w:val="18"/>
          <w:szCs w:val="18"/>
          <w:color w:val="auto"/>
        </w:rPr>
        <w:t xml:space="preserve"> . The Administration Committee shall maintain records and data as may be necessary and appropriate for the proper administration of the Plan and to determine the amounts distributable to Participants and Beneficiaries.</w:t>
      </w:r>
    </w:p>
    <w:p>
      <w:pPr>
        <w:spacing w:after="0" w:line="158" w:lineRule="exact"/>
        <w:rPr>
          <w:sz w:val="20"/>
          <w:szCs w:val="20"/>
          <w:color w:val="auto"/>
        </w:rPr>
      </w:pPr>
    </w:p>
    <w:p>
      <w:pPr>
        <w:ind w:right="32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5-5. </w:t>
      </w:r>
      <w:r>
        <w:rPr>
          <w:rFonts w:ascii="Times New Roman" w:cs="Times New Roman" w:eastAsia="Times New Roman" w:hAnsi="Times New Roman"/>
          <w:sz w:val="18"/>
          <w:szCs w:val="18"/>
          <w:i w:val="1"/>
          <w:iCs w:val="1"/>
          <w:u w:val="single" w:color="auto"/>
          <w:color w:val="auto"/>
        </w:rPr>
        <w:t>Rules and Regulations</w:t>
      </w:r>
      <w:r>
        <w:rPr>
          <w:rFonts w:ascii="Times New Roman" w:cs="Times New Roman" w:eastAsia="Times New Roman" w:hAnsi="Times New Roman"/>
          <w:sz w:val="18"/>
          <w:szCs w:val="18"/>
          <w:color w:val="auto"/>
        </w:rPr>
        <w:t xml:space="preserve"> . The Administration Committee may adopt and promulgate such rules and regulations as it may deem appropriate for the administration of the Plan and to determine the amounts distributable to Participants and Beneficiaries. The Administration Committee shall adopt and promulgate written rules governing claims procedures reasonably calculated to:</w:t>
      </w:r>
    </w:p>
    <w:p>
      <w:pPr>
        <w:spacing w:after="0" w:line="67" w:lineRule="exact"/>
        <w:rPr>
          <w:sz w:val="20"/>
          <w:szCs w:val="20"/>
          <w:color w:val="auto"/>
        </w:rPr>
      </w:pPr>
    </w:p>
    <w:p>
      <w:pPr>
        <w:ind w:left="1040" w:right="580" w:hanging="519"/>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written notice to any Participant or other person whose claim under the Plan has been denied, setting forth the specific reasons for such denial; and</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a reasonable opportunity to such Participant or other person for a full and fair review by the Administration Committee of the decision denying the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The determination of the Administration Committee upon such review shall be final and conclusive.</w:t>
      </w:r>
    </w:p>
    <w:p>
      <w:pPr>
        <w:spacing w:after="0" w:line="223" w:lineRule="exact"/>
        <w:rPr>
          <w:sz w:val="20"/>
          <w:szCs w:val="20"/>
          <w:color w:val="auto"/>
        </w:rPr>
      </w:pPr>
    </w:p>
    <w:p>
      <w:pPr>
        <w:ind w:right="60" w:firstLine="518"/>
        <w:spacing w:after="0" w:line="267" w:lineRule="auto"/>
        <w:rPr>
          <w:sz w:val="20"/>
          <w:szCs w:val="20"/>
          <w:color w:val="auto"/>
        </w:rPr>
      </w:pPr>
      <w:r>
        <w:rPr>
          <w:rFonts w:ascii="Times New Roman" w:cs="Times New Roman" w:eastAsia="Times New Roman" w:hAnsi="Times New Roman"/>
          <w:sz w:val="18"/>
          <w:szCs w:val="18"/>
          <w:color w:val="auto"/>
        </w:rPr>
        <w:t xml:space="preserve">Sec. 5-6. </w:t>
      </w:r>
      <w:r>
        <w:rPr>
          <w:rFonts w:ascii="Times New Roman" w:cs="Times New Roman" w:eastAsia="Times New Roman" w:hAnsi="Times New Roman"/>
          <w:sz w:val="18"/>
          <w:szCs w:val="18"/>
          <w:i w:val="1"/>
          <w:iCs w:val="1"/>
          <w:u w:val="single" w:color="auto"/>
          <w:color w:val="auto"/>
        </w:rPr>
        <w:t>Reliance on Documents</w:t>
      </w:r>
      <w:r>
        <w:rPr>
          <w:rFonts w:ascii="Times New Roman" w:cs="Times New Roman" w:eastAsia="Times New Roman" w:hAnsi="Times New Roman"/>
          <w:sz w:val="18"/>
          <w:szCs w:val="18"/>
          <w:color w:val="auto"/>
        </w:rPr>
        <w:t xml:space="preserve"> .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74" w:lineRule="exact"/>
        <w:rPr>
          <w:sz w:val="20"/>
          <w:szCs w:val="20"/>
          <w:color w:val="auto"/>
        </w:rPr>
      </w:pPr>
    </w:p>
    <w:p>
      <w:pPr>
        <w:ind w:right="6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5-7. </w:t>
      </w:r>
      <w:r>
        <w:rPr>
          <w:rFonts w:ascii="Times New Roman" w:cs="Times New Roman" w:eastAsia="Times New Roman" w:hAnsi="Times New Roman"/>
          <w:sz w:val="18"/>
          <w:szCs w:val="18"/>
          <w:i w:val="1"/>
          <w:iCs w:val="1"/>
          <w:u w:val="single" w:color="auto"/>
          <w:color w:val="auto"/>
        </w:rPr>
        <w:t>Non-Liability</w:t>
      </w:r>
      <w:r>
        <w:rPr>
          <w:rFonts w:ascii="Times New Roman" w:cs="Times New Roman" w:eastAsia="Times New Roman" w:hAnsi="Times New Roman"/>
          <w:sz w:val="18"/>
          <w:szCs w:val="18"/>
          <w:color w:val="auto"/>
        </w:rPr>
        <w:t xml:space="preserve"> . No member of the Board of Directors, Compensation Committee or Administration Committee or any officer or employee of TI shall be liable for any act done or omitted by him with respect to the Plan except for his own willful misconduct.</w:t>
      </w:r>
    </w:p>
    <w:p>
      <w:pPr>
        <w:spacing w:after="0" w:line="158" w:lineRule="exact"/>
        <w:rPr>
          <w:sz w:val="20"/>
          <w:szCs w:val="20"/>
          <w:color w:val="auto"/>
        </w:rPr>
      </w:pPr>
    </w:p>
    <w:p>
      <w:pPr>
        <w:jc w:val="both"/>
        <w:ind w:right="160" w:firstLine="51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 5-8. </w:t>
      </w:r>
      <w:r>
        <w:rPr>
          <w:rFonts w:ascii="Times New Roman" w:cs="Times New Roman" w:eastAsia="Times New Roman" w:hAnsi="Times New Roman"/>
          <w:sz w:val="17"/>
          <w:szCs w:val="17"/>
          <w:i w:val="1"/>
          <w:iCs w:val="1"/>
          <w:u w:val="single" w:color="auto"/>
          <w:color w:val="auto"/>
        </w:rPr>
        <w:t>Resignation or Removal</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Any Administration Committee member may resign by giving written notice to the Chief Executive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56"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5-9. </w:t>
      </w:r>
      <w:r>
        <w:rPr>
          <w:rFonts w:ascii="Times New Roman" w:cs="Times New Roman" w:eastAsia="Times New Roman" w:hAnsi="Times New Roman"/>
          <w:sz w:val="18"/>
          <w:szCs w:val="18"/>
          <w:i w:val="1"/>
          <w:iCs w:val="1"/>
          <w:u w:val="single" w:color="auto"/>
          <w:color w:val="auto"/>
        </w:rPr>
        <w:t>Information; Overpayment or Underpayment of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18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Administration Committee may adopt, in its sole discretion, whatever rules, procedures and accounting practices it determines to be appropriate in providing for the collection of any overpayment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82" w:lineRule="exact"/>
        <w:rPr>
          <w:sz w:val="20"/>
          <w:szCs w:val="20"/>
          <w:color w:val="auto"/>
        </w:rPr>
      </w:pPr>
    </w:p>
    <w:p>
      <w:pPr>
        <w:ind w:right="1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5.10. </w:t>
      </w:r>
      <w:r>
        <w:rPr>
          <w:rFonts w:ascii="Times New Roman" w:cs="Times New Roman" w:eastAsia="Times New Roman" w:hAnsi="Times New Roman"/>
          <w:sz w:val="18"/>
          <w:szCs w:val="18"/>
          <w:i w:val="1"/>
          <w:iCs w:val="1"/>
          <w:u w:val="single" w:color="auto"/>
          <w:color w:val="auto"/>
        </w:rPr>
        <w:t>Notice</w:t>
      </w:r>
      <w:r>
        <w:rPr>
          <w:rFonts w:ascii="Times New Roman" w:cs="Times New Roman" w:eastAsia="Times New Roman" w:hAnsi="Times New Roman"/>
          <w:sz w:val="18"/>
          <w:szCs w:val="18"/>
          <w:color w:val="auto"/>
        </w:rPr>
        <w:t xml:space="preserve"> . Any notice required or permitted to be given to the Administration Committee under this Plan shall be sufficient if in writing and hand-delivered, or sent by registered or certified mail, to the address below:</w:t>
      </w:r>
    </w:p>
    <w:p>
      <w:pPr>
        <w:spacing w:after="0" w:line="16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Texas Instruments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Attn: Non-Qualified Pension Plan II</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Administration Committee</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7839 Churchill Way, MS 3905</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Dallas, Texas 75251-1901</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Sec. 6-1. </w:t>
      </w:r>
      <w:r>
        <w:rPr>
          <w:rFonts w:ascii="Times New Roman" w:cs="Times New Roman" w:eastAsia="Times New Roman" w:hAnsi="Times New Roman"/>
          <w:sz w:val="18"/>
          <w:szCs w:val="18"/>
          <w:i w:val="1"/>
          <w:iCs w:val="1"/>
          <w:u w:val="single" w:color="auto"/>
          <w:color w:val="auto"/>
        </w:rPr>
        <w:t>Amendment, Termination</w:t>
      </w:r>
      <w:r>
        <w:rPr>
          <w:rFonts w:ascii="Times New Roman" w:cs="Times New Roman" w:eastAsia="Times New Roman" w:hAnsi="Times New Roman"/>
          <w:sz w:val="18"/>
          <w:szCs w:val="18"/>
          <w:color w:val="auto"/>
        </w:rPr>
        <w:t xml:space="preserve"> . The Compensation Committee may change, amend, modify, alter, or terminate the Plan at any time and in any manner, prospectively or retroactively (or may delegate such authority), except that no such amendment, modification, alteration or termination shall be exercised retroactively to reduce or eliminate the benefit accrued by a Participant to the date of amendment, modification or termination. In addition, no such amendment shall modify the Plan in any way that would violate Section 409A of the Code. The Company intends to continue this Plan indefinitely, but nevertheless assumes no contractual obligation to continue this Plan and makes no promise to pay benefits other than as provided in this Plan determined at the time of any Plan discontinuance. In the event this Plan is terminated, a Participant’s benefits under the Plan shall remain in the Plan and shall not be distributed until such benefits become eligible for distribution in accordance with the other applicable provisions of this Plan. Notwithstanding the preceding sentence, to the extent permitted by Treas. Reg. §1.409A-3(j)(4)(ix), the Employer may provide that upon termination of the Plan, all benefits for a Participant shall be distributed, subject to and in accordance with any rules established by such Employer deemed necessary to comply with the applicable requirements and limitations of Treas. Reg. §1.409A-3(j)(4)(ix).</w:t>
      </w:r>
    </w:p>
    <w:p>
      <w:pPr>
        <w:spacing w:after="0" w:line="186"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Sec. 6-2. </w:t>
      </w:r>
      <w:r>
        <w:rPr>
          <w:rFonts w:ascii="Times New Roman" w:cs="Times New Roman" w:eastAsia="Times New Roman" w:hAnsi="Times New Roman"/>
          <w:sz w:val="18"/>
          <w:szCs w:val="18"/>
          <w:i w:val="1"/>
          <w:iCs w:val="1"/>
          <w:u w:val="single" w:color="auto"/>
          <w:color w:val="auto"/>
        </w:rPr>
        <w:t>Plan Not an Employment Contract</w:t>
      </w:r>
      <w:r>
        <w:rPr>
          <w:rFonts w:ascii="Times New Roman" w:cs="Times New Roman" w:eastAsia="Times New Roman" w:hAnsi="Times New Roman"/>
          <w:sz w:val="18"/>
          <w:szCs w:val="18"/>
          <w:color w:val="auto"/>
        </w:rPr>
        <w:t xml:space="preserve"> .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7" w:name="page108"/>
    <w:bookmarkEnd w:id="107"/>
    <w:p>
      <w:pPr>
        <w:ind w:right="980"/>
        <w:spacing w:after="0" w:line="282" w:lineRule="auto"/>
        <w:rPr>
          <w:sz w:val="20"/>
          <w:szCs w:val="20"/>
          <w:color w:val="auto"/>
        </w:rPr>
      </w:pPr>
      <w:r>
        <w:rPr>
          <w:rFonts w:ascii="Times New Roman" w:cs="Times New Roman" w:eastAsia="Times New Roman" w:hAnsi="Times New Roman"/>
          <w:sz w:val="18"/>
          <w:szCs w:val="18"/>
          <w:color w:val="auto"/>
        </w:rPr>
        <w:t>Plan shall be construed as preventing TI or any of its Subsidiaries from establishing any other or different plans providing for current or deferred supplemental compensation for employees.</w:t>
      </w:r>
    </w:p>
    <w:p>
      <w:pPr>
        <w:spacing w:after="0" w:line="160"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6-3. </w:t>
      </w:r>
      <w:r>
        <w:rPr>
          <w:rFonts w:ascii="Times New Roman" w:cs="Times New Roman" w:eastAsia="Times New Roman" w:hAnsi="Times New Roman"/>
          <w:sz w:val="18"/>
          <w:szCs w:val="18"/>
          <w:i w:val="1"/>
          <w:iCs w:val="1"/>
          <w:u w:val="single" w:color="auto"/>
          <w:color w:val="auto"/>
        </w:rPr>
        <w:t>Rights of Persons Making Claims</w:t>
      </w:r>
      <w:r>
        <w:rPr>
          <w:rFonts w:ascii="Times New Roman" w:cs="Times New Roman" w:eastAsia="Times New Roman" w:hAnsi="Times New Roman"/>
          <w:sz w:val="18"/>
          <w:szCs w:val="18"/>
          <w:color w:val="auto"/>
        </w:rPr>
        <w:t xml:space="preserve"> . No Employee, or Participant, or any person or entity claiming through an Employee or Participant, shall have any rights whatsoever other than the rights and benefits specifically granted under this Plan.</w:t>
      </w:r>
    </w:p>
    <w:p>
      <w:pPr>
        <w:spacing w:after="0" w:line="158" w:lineRule="exact"/>
        <w:rPr>
          <w:sz w:val="20"/>
          <w:szCs w:val="20"/>
          <w:color w:val="auto"/>
        </w:rPr>
      </w:pPr>
    </w:p>
    <w:p>
      <w:pPr>
        <w:ind w:right="1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6-4. </w:t>
      </w:r>
      <w:r>
        <w:rPr>
          <w:rFonts w:ascii="Times New Roman" w:cs="Times New Roman" w:eastAsia="Times New Roman" w:hAnsi="Times New Roman"/>
          <w:sz w:val="18"/>
          <w:szCs w:val="18"/>
          <w:i w:val="1"/>
          <w:iCs w:val="1"/>
          <w:u w:val="single" w:color="auto"/>
          <w:color w:val="auto"/>
        </w:rPr>
        <w:t>Status of Benefits in this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benefits accrued or paid under this Plan shall constitute “earnings” or “compensation” for purposes of any other benefit plan sponsored by the Employers.</w:t>
      </w:r>
    </w:p>
    <w:p>
      <w:pPr>
        <w:spacing w:after="0" w:line="158"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Sec. 6-5.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Plan shall be governed by the laws of the State of Texas, except to the extent preempted by ERISA and shall be governed by and subject to the Defense of Marriage Act (Public Law 104-199).</w:t>
      </w:r>
    </w:p>
    <w:p>
      <w:pPr>
        <w:spacing w:after="0" w:line="15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Sec. 6-6. </w:t>
      </w: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color w:val="auto"/>
        </w:rPr>
        <w:t xml:space="preserve"> .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governed and construed in accordance with the laws of the State of Texas, except to the extent otherwise required by applicable federal law, and shall be construed in accordance with Section 409A of the Code and the applicable guidance thereunder. Heading and subheadings are for the purpose of reference only and are not to be considered in the construction of this Plan. This Plan is functionally and operationally related to the TI Employees Pension Plan, and is to be interpreted in a manner consistent wi</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 the TI Employees Pension Plan to provide the benefits contemplated hereunder in a comprehensive manner.</w:t>
      </w:r>
    </w:p>
    <w:p>
      <w:pPr>
        <w:spacing w:after="0" w:line="18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IN WITNESS WHEREOF, Texas Instruments Incorporated has caused this instrument to be executed by its duly authorized officer this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November, 2008.</w:t>
      </w:r>
    </w:p>
    <w:p>
      <w:pPr>
        <w:spacing w:after="0" w:line="162" w:lineRule="exact"/>
        <w:rPr>
          <w:sz w:val="20"/>
          <w:szCs w:val="20"/>
          <w:color w:val="auto"/>
        </w:rPr>
      </w:pPr>
    </w:p>
    <w:p>
      <w:pPr>
        <w:ind w:left="686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Darla Whitaker</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 EMPLOYEES NON-QUALIFIED PENSION PLAN II</w:t>
      </w:r>
    </w:p>
    <w:p>
      <w:pPr>
        <w:spacing w:after="0" w:line="20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TEXAS INSTRUMENTS INCORPORATED, a Delaware corporation, pursuant to the authority granted in Section 6-1 of the TI Employees Non-Qualified Pension Plan II (Effective January 1, 2009) (the "Plan"), does hereby amend the Plan to conform the terms of the Plan to the administration of the Plan as follows:</w:t>
      </w:r>
    </w:p>
    <w:p>
      <w:pPr>
        <w:spacing w:after="0" w:line="176" w:lineRule="exact"/>
        <w:rPr>
          <w:sz w:val="20"/>
          <w:szCs w:val="20"/>
          <w:color w:val="auto"/>
        </w:rPr>
      </w:pPr>
    </w:p>
    <w:p>
      <w:pPr>
        <w:ind w:left="1100" w:hanging="574"/>
        <w:spacing w:after="0"/>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of the Plan is amended, effective as of July 26, 2013, by deleting said Section and substituting in lieu thereof the following:</w:t>
      </w:r>
    </w:p>
    <w:p>
      <w:pPr>
        <w:spacing w:after="0" w:line="221" w:lineRule="exact"/>
        <w:rPr>
          <w:sz w:val="20"/>
          <w:szCs w:val="20"/>
          <w:color w:val="auto"/>
        </w:rPr>
      </w:pPr>
    </w:p>
    <w:p>
      <w:pPr>
        <w:ind w:left="520" w:right="280" w:firstLine="495"/>
        <w:spacing w:after="0" w:line="286" w:lineRule="auto"/>
        <w:rPr>
          <w:sz w:val="20"/>
          <w:szCs w:val="20"/>
          <w:color w:val="auto"/>
        </w:rPr>
      </w:pPr>
      <w:r>
        <w:rPr>
          <w:rFonts w:ascii="Times New Roman" w:cs="Times New Roman" w:eastAsia="Times New Roman" w:hAnsi="Times New Roman"/>
          <w:sz w:val="18"/>
          <w:szCs w:val="18"/>
          <w:color w:val="auto"/>
        </w:rPr>
        <w:t xml:space="preserve">Sec 1-2. </w:t>
      </w:r>
      <w:r>
        <w:rPr>
          <w:rFonts w:ascii="Times New Roman" w:cs="Times New Roman" w:eastAsia="Times New Roman" w:hAnsi="Times New Roman"/>
          <w:sz w:val="18"/>
          <w:szCs w:val="18"/>
          <w:i w:val="1"/>
          <w:iCs w:val="1"/>
          <w:u w:val="single" w:color="auto"/>
          <w:color w:val="auto"/>
        </w:rPr>
        <w:t>Beneficiar</w:t>
      </w:r>
      <w:r>
        <w:rPr>
          <w:rFonts w:ascii="Times New Roman" w:cs="Times New Roman" w:eastAsia="Times New Roman" w:hAnsi="Times New Roman"/>
          <w:sz w:val="18"/>
          <w:szCs w:val="18"/>
          <w:b w:val="1"/>
          <w:bCs w:val="1"/>
          <w:i w:val="1"/>
          <w:iCs w:val="1"/>
          <w:u w:val="single" w:color="auto"/>
          <w:color w:val="auto"/>
        </w:rPr>
        <w:t>y</w:t>
      </w:r>
      <w:r>
        <w:rPr>
          <w:rFonts w:ascii="Times New Roman" w:cs="Times New Roman" w:eastAsia="Times New Roman" w:hAnsi="Times New Roman"/>
          <w:sz w:val="18"/>
          <w:szCs w:val="18"/>
          <w:color w:val="auto"/>
        </w:rPr>
        <w:t>. “Beneficiary” means the same person or persons, entity or entities, trust or trusts, or the Participant’s estate, as the Participant’s Beneficiary or contingent Beneficiary under the TI Employees Pension Plan.</w:t>
      </w:r>
    </w:p>
    <w:p>
      <w:pPr>
        <w:spacing w:after="0" w:line="159" w:lineRule="exact"/>
        <w:rPr>
          <w:sz w:val="20"/>
          <w:szCs w:val="20"/>
          <w:color w:val="auto"/>
        </w:rPr>
      </w:pPr>
    </w:p>
    <w:p>
      <w:pPr>
        <w:ind w:left="1100" w:hanging="574"/>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3-1(ii) of the Plan is amended, effective as of January 1, 2009, by deleting clause (b) and substituting in lieu thereof the following:</w:t>
      </w:r>
    </w:p>
    <w:p>
      <w:pPr>
        <w:spacing w:after="0" w:line="225" w:lineRule="exact"/>
        <w:rPr>
          <w:sz w:val="20"/>
          <w:szCs w:val="20"/>
          <w:color w:val="auto"/>
        </w:rPr>
      </w:pPr>
    </w:p>
    <w:p>
      <w:pPr>
        <w:ind w:left="520" w:firstLine="6"/>
        <w:spacing w:after="0" w:line="255" w:lineRule="auto"/>
        <w:tabs>
          <w:tab w:leader="none" w:pos="7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for interest only from the Participant’s Earliest Payment Start Date as defined under the TI Employees Pension Plan to the date the benefits are actually paid under this Plan. For purposes of clause (b) of this Section 3-1(ii), the interest rate to be used for any Plan Year shall be (1) the immediate annuity rate for the month of September preceding such Plan Year as published in Appendix B to Part 4022 of Section 4022.7 of the Regulations issued by the Pension Benefit Guaranty Corporation (PBGC), or any successor thereto, or (2) the first segment rate described in Section 417(e)(3)(D) of the Code for the month of August preceding such Plan Year, whichever rate is used in the calculation of the larger lump sum value based on the interest and mortality rates provided for in Section 4022.7 of the PBGC Regulations or provided for in Section 417(e)(3) of the Code, as applicable.</w:t>
      </w:r>
    </w:p>
    <w:p>
      <w:pPr>
        <w:spacing w:after="0" w:line="189" w:lineRule="exact"/>
        <w:rPr>
          <w:sz w:val="20"/>
          <w:szCs w:val="20"/>
          <w:color w:val="auto"/>
        </w:rPr>
      </w:pPr>
    </w:p>
    <w:p>
      <w:pPr>
        <w:ind w:right="60" w:firstLine="761"/>
        <w:spacing w:after="0" w:line="282" w:lineRule="auto"/>
        <w:rPr>
          <w:sz w:val="20"/>
          <w:szCs w:val="20"/>
          <w:color w:val="auto"/>
        </w:rPr>
      </w:pPr>
      <w:r>
        <w:rPr>
          <w:rFonts w:ascii="Times New Roman" w:cs="Times New Roman" w:eastAsia="Times New Roman" w:hAnsi="Times New Roman"/>
          <w:sz w:val="18"/>
          <w:szCs w:val="18"/>
          <w:color w:val="auto"/>
        </w:rPr>
        <w:t>The undersigned hereby adopts this AMENDMENT NO. 1 TO THE TI EMPLOYEES NON-QUALIFIED PENSION PLAN II on this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2015, effective as of the date set forth above, pursuant to authority delegated by the Board of Directors of Texas Instruments, Incorporated.</w:t>
      </w:r>
    </w:p>
    <w:p>
      <w:pPr>
        <w:spacing w:after="0" w:line="162"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Darla Whitaker</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ectPr>
          <w:pgSz w:w="11900" w:h="16838" w:orient="portrait"/>
          <w:cols w:equalWidth="0" w:num="1">
            <w:col w:w="11400"/>
          </w:cols>
          <w:pgMar w:left="240" w:top="347" w:right="259" w:bottom="1440" w:gutter="0" w:footer="0" w:header="0"/>
        </w:sectPr>
      </w:pPr>
    </w:p>
    <w:bookmarkStart w:id="109" w:name="page110"/>
    <w:bookmarkEnd w:id="109"/>
    <w:p>
      <w:pPr>
        <w:ind w:left="10660"/>
        <w:spacing w:after="0"/>
        <w:rPr>
          <w:sz w:val="20"/>
          <w:szCs w:val="20"/>
          <w:color w:val="auto"/>
        </w:rPr>
      </w:pPr>
      <w:r>
        <w:rPr>
          <w:rFonts w:ascii="Times New Roman" w:cs="Times New Roman" w:eastAsia="Times New Roman" w:hAnsi="Times New Roman"/>
          <w:sz w:val="18"/>
          <w:szCs w:val="18"/>
          <w:u w:val="single" w:color="auto"/>
          <w:color w:val="auto"/>
        </w:rPr>
        <w:t>Exhibit 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Years Ended December 31,</w:t>
            </w: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FF0FC"/>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36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4,216</w:t>
            </w:r>
          </w:p>
        </w:tc>
        <w:tc>
          <w:tcPr>
            <w:tcW w:w="820" w:type="dxa"/>
            <w:vAlign w:val="bottom"/>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2,754</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1,935</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investments (gains) and</w:t>
            </w: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6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gridSpan w:val="2"/>
            <w:vMerge w:val="continue"/>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charges (from below)</w:t>
            </w: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Distributed income from equity</w:t>
            </w: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w:t>
            </w: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investees</w:t>
            </w:r>
          </w:p>
        </w:tc>
        <w:tc>
          <w:tcPr>
            <w:tcW w:w="6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gridSpan w:val="2"/>
            <w:vMerge w:val="continue"/>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Subtract: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interest</w:t>
            </w: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earnings</w:t>
            </w:r>
          </w:p>
        </w:tc>
        <w:tc>
          <w:tcPr>
            <w:tcW w:w="600" w:type="dxa"/>
            <w:vAlign w:val="bottom"/>
            <w:tcBorders>
              <w:bottom w:val="single" w:sz="8" w:color="CFF0FC"/>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4,315</w:t>
            </w:r>
          </w:p>
        </w:tc>
        <w:tc>
          <w:tcPr>
            <w:tcW w:w="26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interest on debt (expensed)</w:t>
            </w:r>
          </w:p>
        </w:tc>
        <w:tc>
          <w:tcPr>
            <w:tcW w:w="136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debt premium and debt</w:t>
            </w:r>
          </w:p>
        </w:tc>
        <w:tc>
          <w:tcPr>
            <w:tcW w:w="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w:t>
            </w: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costs</w:t>
            </w:r>
          </w:p>
        </w:tc>
        <w:tc>
          <w:tcPr>
            <w:tcW w:w="6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gridSpan w:val="2"/>
            <w:vMerge w:val="continue"/>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interest element of rental and</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expense</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6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w:t>
            </w: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5" w:right="239" w:bottom="1440" w:gutter="0" w:footer="0" w:header="0"/>
        </w:sectPr>
      </w:pPr>
    </w:p>
    <w:bookmarkStart w:id="110" w:name="page111"/>
    <w:bookmarkEnd w:id="110"/>
    <w:p>
      <w:pPr>
        <w:ind w:left="10660"/>
        <w:spacing w:after="0"/>
        <w:rPr>
          <w:sz w:val="20"/>
          <w:szCs w:val="20"/>
          <w:color w:val="auto"/>
        </w:rPr>
      </w:pPr>
      <w:r>
        <w:rPr>
          <w:rFonts w:ascii="Times New Roman" w:cs="Times New Roman" w:eastAsia="Times New Roman" w:hAnsi="Times New Roman"/>
          <w:sz w:val="18"/>
          <w:szCs w:val="18"/>
          <w:u w:val="single" w:color="auto"/>
          <w:color w:val="auto"/>
        </w:rPr>
        <w:t>Exhibit 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LIST OF SUBSIDIARIES OF THE 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subsidiaries of the Registrant as of December 31, 2015.</w:t>
            </w:r>
          </w:p>
        </w:tc>
        <w:tc>
          <w:tcPr>
            <w:tcW w:w="2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9"/>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and Name Under Which Business is Done</w:t>
            </w: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Where Organized</w:t>
            </w:r>
          </w:p>
        </w:tc>
        <w:tc>
          <w:tcPr>
            <w:tcW w:w="2060" w:type="dxa"/>
            <w:vAlign w:val="bottom"/>
          </w:tcPr>
          <w:p>
            <w:pPr>
              <w:spacing w:after="0"/>
              <w:rPr>
                <w:sz w:val="24"/>
                <w:szCs w:val="24"/>
                <w:color w:val="auto"/>
              </w:rPr>
            </w:pPr>
          </w:p>
        </w:tc>
      </w:tr>
      <w:tr>
        <w:trPr>
          <w:trHeight w:val="21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ActSolar,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Algorex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ASIC II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Hawaii</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Benchmarq Microelectronics Corporation of South Korea</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Burr-Brown International Holding Corporation</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Recommerce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innoCOMM wireless</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Integrated Circuit Designs,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Luminary Micro India Private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Mediamatics,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Acquisition Sub,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(I.C.)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(Maine),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Corporation</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Germany AG</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GmbH</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Holding Sdn. Bhd.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Hong Kong Sales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International B.V.</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International Hong Kong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International,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Labuan Ltd.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Malaysia LLC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(Pte)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Semicondutores da America do Sul Ltda.</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Semicondutores do Brasil Ltda.</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Telogy Networks, Inc.</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AB</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Asia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Austin Incorporated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Australia Pty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Belgium S.A.</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Business Expansion GmbH</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Canada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China Incorporated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China Sales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China Trading Limited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CZ, s.r.o.</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 Mexico, S. de R.L. de C.V.</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Denmark A/S</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Deutschland GmbH</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Education Technology GmbH</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Electronics Malaysia Sdn. Bhd.</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EMEA Sales GmbH</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Espana, S.A. Unipersonal</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Finland Oy</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France SAS</w:t>
            </w:r>
          </w:p>
        </w:tc>
        <w:tc>
          <w:tcPr>
            <w:tcW w:w="25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Gesellschaft m.b.H.</w:t>
            </w:r>
          </w:p>
        </w:tc>
        <w:tc>
          <w:tcPr>
            <w:tcW w:w="25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625"/>
        </w:trPr>
        <w:tc>
          <w:tcPr>
            <w:tcW w:w="4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Pr>
          <w:p>
            <w:pPr>
              <w:jc w:val="right"/>
              <w:ind w:right="2188"/>
              <w:spacing w:after="0"/>
              <w:rPr>
                <w:sz w:val="20"/>
                <w:szCs w:val="20"/>
                <w:color w:val="auto"/>
              </w:rPr>
            </w:pPr>
            <w:r>
              <w:rPr>
                <w:rFonts w:ascii="Times New Roman" w:cs="Times New Roman" w:eastAsia="Times New Roman" w:hAnsi="Times New Roman"/>
                <w:sz w:val="14"/>
                <w:szCs w:val="14"/>
                <w:color w:val="auto"/>
              </w:rPr>
              <w:t>1</w:t>
            </w: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98"/>
        </w:trPr>
        <w:tc>
          <w:tcPr>
            <w:tcW w:w="40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Texas Instruments Holland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Hungary Korlatolt Felelossegu Tarsasag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(India) Private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International Capital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International Holding Company S.à 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International Management Company S.à 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International Trade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International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Ireland Trading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Israel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Italia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Japan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Japan Semiconductor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Korea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Lehigh Valley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Low Power Wireless San Diego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Malaysia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Management GmbH &amp; Co. 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Northern Virginia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Norway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Palo Alto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(Philippines)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Richardson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Santa Rosa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 Instruments Semiconductor Manufacturing (Chengdu)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Semiconductor Technologies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Semiconductor Trading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Semiconductores e Tecnologias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Sweden 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(U.K.)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(U.K.) Pension Trust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Verwaltungs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Maine</w:t>
      </w:r>
    </w:p>
    <w:p>
      <w:pPr>
        <w:spacing w:after="0" w:line="200" w:lineRule="exact"/>
        <w:rPr>
          <w:sz w:val="20"/>
          <w:szCs w:val="20"/>
          <w:color w:val="auto"/>
        </w:rPr>
      </w:pPr>
    </w:p>
    <w:p>
      <w:pPr>
        <w:sectPr>
          <w:pgSz w:w="11900" w:h="16838" w:orient="portrait"/>
          <w:cols w:equalWidth="0" w:num="2">
            <w:col w:w="7280" w:space="720"/>
            <w:col w:w="2219"/>
          </w:cols>
          <w:pgMar w:left="240" w:top="337"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219"/>
          </w:cols>
          <w:pgMar w:left="240" w:top="337" w:right="1440" w:bottom="1440" w:gutter="0" w:footer="0" w:header="0"/>
          <w:type w:val="continuous"/>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and in the related prospectuses thereto, of our reports dated February 24, 2016, with respect to the consolidated financial statements of Texas Instruments Incorporated, and the effectiveness of internal control over financial reporting of Texas Instruments Incorporated, included in this Annual Report on Form 10-K for the year ended December 31, 2015: Registration Statements (Forms S-8) No. 333-158933, No. 333-158934, No. 33-42172, No. 33-54615, No. 33-61154, No. 333-07127 (as amended), No. 333-41913, No. 333-41919, No. 333-31321 (as amended), No. 333-31323, No. 333-48389, No. 333-44662, No. 333-107759, No. 333-107760, No. 333-107761, No. 333-127021, No. 333-177235, No. 333-195692 and No. 333-197792; Registration Statements (Forms S-3) No. 333-165045 and No. 333-186803; and Registration Statements (Forms S-4) No. 333-89433 (as amended), No. 333-87199, No. 333-80157 (as amended), and No. 333-41030 (as amended).</w:t>
      </w:r>
    </w:p>
    <w:p>
      <w:pPr>
        <w:spacing w:after="0" w:line="2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34290</wp:posOffset>
            </wp:positionV>
            <wp:extent cx="29159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2016</w:t>
      </w:r>
    </w:p>
    <w:p>
      <w:pPr>
        <w:sectPr>
          <w:pgSz w:w="11900" w:h="16838" w:orient="portrait"/>
          <w:cols w:equalWidth="0" w:num="1">
            <w:col w:w="11420"/>
          </w:cols>
          <w:pgMar w:left="240" w:top="337"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25" w:lineRule="exact"/>
        <w:rPr>
          <w:sz w:val="20"/>
          <w:szCs w:val="20"/>
          <w:color w:val="auto"/>
        </w:rPr>
      </w:pPr>
    </w:p>
    <w:p>
      <w:pPr>
        <w:ind w:left="600" w:hanging="592"/>
        <w:spacing w:after="0"/>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Texas Instruments Incorporated;</w:t>
      </w:r>
    </w:p>
    <w:p>
      <w:pPr>
        <w:spacing w:after="0" w:line="225"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00" w:firstLine="572"/>
        <w:spacing w:after="0" w:line="266" w:lineRule="auto"/>
        <w:tabs>
          <w:tab w:leader="none" w:pos="141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00" w:right="180" w:firstLine="572"/>
        <w:spacing w:after="0" w:line="266" w:lineRule="auto"/>
        <w:tabs>
          <w:tab w:leader="none" w:pos="14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600" w:right="300" w:firstLine="572"/>
        <w:spacing w:after="0" w:line="282" w:lineRule="auto"/>
        <w:tabs>
          <w:tab w:leader="none" w:pos="141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00" w:right="260" w:firstLine="572"/>
        <w:spacing w:after="0" w:line="266" w:lineRule="auto"/>
        <w:tabs>
          <w:tab w:leader="none" w:pos="14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00" w:right="40" w:hanging="592"/>
        <w:spacing w:after="0" w:line="282"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00" w:right="520" w:firstLine="572"/>
        <w:spacing w:after="0" w:line="282" w:lineRule="auto"/>
        <w:tabs>
          <w:tab w:leader="none" w:pos="141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00" w:right="200" w:firstLine="572"/>
        <w:spacing w:after="0" w:line="282" w:lineRule="auto"/>
        <w:tabs>
          <w:tab w:leader="none" w:pos="142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Chairman, President and</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P. March, certify that:</w:t>
      </w:r>
    </w:p>
    <w:p>
      <w:pPr>
        <w:spacing w:after="0" w:line="225" w:lineRule="exact"/>
        <w:rPr>
          <w:sz w:val="20"/>
          <w:szCs w:val="20"/>
          <w:color w:val="auto"/>
        </w:rPr>
      </w:pPr>
    </w:p>
    <w:p>
      <w:pPr>
        <w:ind w:left="600" w:hanging="592"/>
        <w:spacing w:after="0"/>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Texas Instruments Incorporated;</w:t>
      </w:r>
    </w:p>
    <w:p>
      <w:pPr>
        <w:spacing w:after="0" w:line="225"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00" w:firstLine="572"/>
        <w:spacing w:after="0" w:line="266" w:lineRule="auto"/>
        <w:tabs>
          <w:tab w:leader="none" w:pos="14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00" w:right="180" w:firstLine="572"/>
        <w:spacing w:after="0" w:line="266" w:lineRule="auto"/>
        <w:tabs>
          <w:tab w:leader="none" w:pos="142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600" w:right="300" w:firstLine="572"/>
        <w:spacing w:after="0" w:line="282" w:lineRule="auto"/>
        <w:tabs>
          <w:tab w:leader="none" w:pos="14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00" w:right="260" w:firstLine="572"/>
        <w:spacing w:after="0" w:line="266" w:lineRule="auto"/>
        <w:tabs>
          <w:tab w:leader="none" w:pos="142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00" w:right="40" w:hanging="592"/>
        <w:spacing w:after="0" w:line="282"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00" w:right="520" w:firstLine="572"/>
        <w:spacing w:after="0" w:line="282" w:lineRule="auto"/>
        <w:tabs>
          <w:tab w:leader="none" w:pos="14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00" w:right="200" w:firstLine="572"/>
        <w:spacing w:after="0" w:line="282" w:lineRule="auto"/>
        <w:tabs>
          <w:tab w:leader="none" w:pos="142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2016</w:t>
      </w:r>
    </w:p>
    <w:p>
      <w:pPr>
        <w:spacing w:after="0" w:line="23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Kevin P. March</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7"/>
          <w:szCs w:val="17"/>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138" w:lineRule="exact"/>
        <w:rPr>
          <w:sz w:val="20"/>
          <w:szCs w:val="20"/>
          <w:color w:val="auto"/>
        </w:rPr>
      </w:pPr>
    </w:p>
    <w:p>
      <w:pPr>
        <w:ind w:right="20" w:firstLine="526"/>
        <w:spacing w:after="0" w:line="282" w:lineRule="auto"/>
        <w:tabs>
          <w:tab w:leader="none" w:pos="7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2015,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00" w:hanging="274"/>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2016</w:t>
      </w:r>
    </w:p>
    <w:p>
      <w:pPr>
        <w:spacing w:after="0" w:line="2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Chairman, President and</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62" w:lineRule="exact"/>
        <w:rPr>
          <w:sz w:val="20"/>
          <w:szCs w:val="20"/>
          <w:color w:val="auto"/>
        </w:rPr>
      </w:pPr>
    </w:p>
    <w:p>
      <w:pPr>
        <w:ind w:right="20" w:firstLine="526"/>
        <w:spacing w:after="0" w:line="282" w:lineRule="auto"/>
        <w:tabs>
          <w:tab w:leader="none" w:pos="73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2015,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00" w:hanging="274"/>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2016</w:t>
      </w:r>
    </w:p>
    <w:p>
      <w:pPr>
        <w:spacing w:after="0" w:line="2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Kevin P. March</w:t>
      </w:r>
    </w:p>
    <w:p>
      <w:pPr>
        <w:spacing w:after="0" w:line="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lowerLetter"/>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lowerLetter"/>
      <w:start w:val="1"/>
    </w:lvl>
  </w:abstractNum>
  <w:abstractNum w:abstractNumId="11">
    <w:nsid w:val="6DE91B18"/>
    <w:multiLevelType w:val="hybridMultilevel"/>
    <w:lvl w:ilvl="0">
      <w:lvlJc w:val="left"/>
      <w:lvlText w:val="(%1)"/>
      <w:numFmt w:val="lowerLetter"/>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endash "/>
      <w:numFmt w:val="bullet"/>
      <w:start w:val="1"/>
    </w:lvl>
  </w:abstractNum>
  <w:abstractNum w:abstractNumId="16">
    <w:nsid w:val="579478FE"/>
    <w:multiLevelType w:val="hybridMultilevel"/>
    <w:lvl w:ilvl="0">
      <w:lvlJc w:val="left"/>
      <w:lvlText w:val="(%1)"/>
      <w:numFmt w:val="lowerLetter"/>
      <w:start w:val="1"/>
    </w:lvl>
  </w:abstractNum>
  <w:abstractNum w:abstractNumId="17">
    <w:nsid w:val="749ABB43"/>
    <w:multiLevelType w:val="hybridMultilevel"/>
    <w:lvl w:ilvl="0">
      <w:lvlJc w:val="left"/>
      <w:lvlText w:val="(%1)"/>
      <w:numFmt w:val="lowerLetter"/>
      <w:start w:val="1"/>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lowerLetter"/>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lowerRoman"/>
      <w:start w:val="1"/>
    </w:lvl>
  </w:abstractNum>
  <w:abstractNum w:abstractNumId="26">
    <w:nsid w:val="4F4EF005"/>
    <w:multiLevelType w:val="hybridMultilevel"/>
    <w:lvl w:ilvl="0">
      <w:lvlJc w:val="left"/>
      <w:lvlText w:val="(%1)"/>
      <w:numFmt w:val="lowerRoman"/>
      <w:start w:val="1"/>
    </w:lvl>
  </w:abstractNum>
  <w:abstractNum w:abstractNumId="27">
    <w:nsid w:val="23F9C13C"/>
    <w:multiLevelType w:val="hybridMultilevel"/>
    <w:lvl w:ilvl="0">
      <w:lvlJc w:val="left"/>
      <w:lvlText w:val="(%1)"/>
      <w:numFmt w:val="lowerRoman"/>
      <w:start w:val="1"/>
    </w:lvl>
  </w:abstractNum>
  <w:abstractNum w:abstractNumId="28">
    <w:nsid w:val="649BB77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29">
    <w:nsid w:val="275AC794"/>
    <w:multiLevelType w:val="hybridMultilevel"/>
    <w:lvl w:ilvl="0">
      <w:lvlJc w:val="left"/>
      <w:lvlText w:val="(%1)"/>
      <w:numFmt w:val="lowerLetter"/>
      <w:start w:val="35"/>
    </w:lvl>
    <w:lvl w:ilvl="1">
      <w:lvlJc w:val="left"/>
      <w:lvlText w:val="(%2)"/>
      <w:numFmt w:val="lowerLetter"/>
      <w:start w:val="1"/>
    </w:lvl>
  </w:abstractNum>
  <w:abstractNum w:abstractNumId="30">
    <w:nsid w:val="39386575"/>
    <w:multiLevelType w:val="hybridMultilevel"/>
    <w:lvl w:ilvl="0">
      <w:lvlJc w:val="left"/>
      <w:lvlText w:val="(%1)"/>
      <w:numFmt w:val="lowerRoman"/>
      <w:start w:val="1"/>
    </w:lvl>
  </w:abstractNum>
  <w:abstractNum w:abstractNumId="31">
    <w:nsid w:val="1CF10FD8"/>
    <w:multiLevelType w:val="hybridMultilevel"/>
    <w:lvl w:ilvl="0">
      <w:lvlJc w:val="left"/>
      <w:lvlText w:val="(%1)"/>
      <w:numFmt w:val="lowerRoman"/>
      <w:start w:val="1"/>
    </w:lvl>
  </w:abstractNum>
  <w:abstractNum w:abstractNumId="32">
    <w:nsid w:val="180115BE"/>
    <w:multiLevelType w:val="hybridMultilevel"/>
    <w:lvl w:ilvl="0">
      <w:lvlJc w:val="left"/>
      <w:lvlText w:val="(%1)"/>
      <w:numFmt w:val="lowerRoman"/>
      <w:start w:val="1"/>
    </w:lvl>
  </w:abstractNum>
  <w:abstractNum w:abstractNumId="33">
    <w:nsid w:val="235BA861"/>
    <w:multiLevelType w:val="hybridMultilevel"/>
    <w:lvl w:ilvl="0">
      <w:lvlJc w:val="left"/>
      <w:lvlText w:val="(%1)"/>
      <w:numFmt w:val="lowerRoman"/>
      <w:start w:val="4"/>
    </w:lvl>
  </w:abstractNum>
  <w:abstractNum w:abstractNumId="34">
    <w:nsid w:val="47398C89"/>
    <w:multiLevelType w:val="hybridMultilevel"/>
    <w:lvl w:ilvl="0">
      <w:lvlJc w:val="left"/>
      <w:lvlText w:val="(%1)"/>
      <w:numFmt w:val="lowerRoman"/>
      <w:start w:val="1"/>
    </w:lvl>
  </w:abstractNum>
  <w:abstractNum w:abstractNumId="35">
    <w:nsid w:val="354FE9F9"/>
    <w:multiLevelType w:val="hybridMultilevel"/>
    <w:lvl w:ilvl="0">
      <w:lvlJc w:val="left"/>
      <w:lvlText w:val="(%1)"/>
      <w:numFmt w:val="lowerRoman"/>
      <w:start w:val="1"/>
    </w:lvl>
  </w:abstractNum>
  <w:abstractNum w:abstractNumId="36">
    <w:nsid w:val="15B5AF5C"/>
    <w:multiLevelType w:val="hybridMultilevel"/>
    <w:lvl w:ilvl="0">
      <w:lvlJc w:val="left"/>
      <w:lvlText w:val="(%1)"/>
      <w:numFmt w:val="lowerRoman"/>
      <w:start w:val="2"/>
    </w:lvl>
  </w:abstractNum>
  <w:abstractNum w:abstractNumId="37">
    <w:nsid w:val="741226BB"/>
    <w:multiLevelType w:val="hybridMultilevel"/>
    <w:lvl w:ilvl="0">
      <w:lvlJc w:val="left"/>
      <w:lvlText w:val="(%1)"/>
      <w:numFmt w:val="lowerRoman"/>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Letter"/>
      <w:start w:val="9"/>
    </w:lvl>
    <w:lvl w:ilvl="1">
      <w:lvlJc w:val="left"/>
      <w:lvlText w:val="(%2)"/>
      <w:numFmt w:val="lowerLetter"/>
      <w:start w:val="2"/>
    </w:lvl>
  </w:abstractNum>
  <w:abstractNum w:abstractNumId="40">
    <w:nsid w:val="3F6AB60F"/>
    <w:multiLevelType w:val="hybridMultilevel"/>
    <w:lvl w:ilvl="0">
      <w:lvlJc w:val="left"/>
      <w:lvlText w:val="%1"/>
      <w:numFmt w:val="lowerLetter"/>
      <w:start w:val="1"/>
    </w:lvl>
    <w:lvl w:ilvl="1">
      <w:lvlJc w:val="left"/>
      <w:lvlText w:val="(%2)"/>
      <w:numFmt w:val="lowerLetter"/>
      <w:start w:val="3"/>
    </w:lvl>
  </w:abstractNum>
  <w:abstractNum w:abstractNumId="41">
    <w:nsid w:val="61574095"/>
    <w:multiLevelType w:val="hybridMultilevel"/>
    <w:lvl w:ilvl="0">
      <w:lvlJc w:val="left"/>
      <w:lvlText w:val="(%1)"/>
      <w:numFmt w:val="lowerLetter"/>
      <w:start w:val="35"/>
    </w:lvl>
    <w:lvl w:ilvl="1">
      <w:lvlJc w:val="left"/>
      <w:lvlText w:val="(%2)"/>
      <w:numFmt w:val="lowerLetter"/>
      <w:start w:val="1"/>
    </w:lvl>
  </w:abstractNum>
  <w:abstractNum w:abstractNumId="42">
    <w:nsid w:val="7E0C57B1"/>
    <w:multiLevelType w:val="hybridMultilevel"/>
    <w:lvl w:ilvl="0">
      <w:lvlJc w:val="left"/>
      <w:lvlText w:val="(%1)"/>
      <w:numFmt w:val="lowerRoman"/>
      <w:start w:val="3"/>
    </w:lvl>
  </w:abstractNum>
  <w:abstractNum w:abstractNumId="43">
    <w:nsid w:val="77AE35EB"/>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44">
    <w:nsid w:val="579BE4F1"/>
    <w:multiLevelType w:val="hybridMultilevel"/>
    <w:lvl w:ilvl="0">
      <w:lvlJc w:val="left"/>
      <w:lvlText w:val="(%1)"/>
      <w:numFmt w:val="lowerRoman"/>
      <w:start w:val="6"/>
    </w:lvl>
    <w:lvl w:ilvl="1">
      <w:lvlJc w:val="left"/>
      <w:lvlText w:val="%2"/>
      <w:numFmt w:val="lowerLetter"/>
      <w:start w:val="1"/>
    </w:lvl>
    <w:lvl w:ilvl="2">
      <w:lvlJc w:val="left"/>
      <w:lvlText w:val="%3"/>
      <w:numFmt w:val="lowerLetter"/>
      <w:start w:val="1"/>
    </w:lvl>
  </w:abstractNum>
  <w:abstractNum w:abstractNumId="45">
    <w:nsid w:val="310C50B3"/>
    <w:multiLevelType w:val="hybridMultilevel"/>
    <w:lvl w:ilvl="0">
      <w:lvlJc w:val="left"/>
      <w:lvlText w:val="(%1)"/>
      <w:numFmt w:val="lowerRoman"/>
      <w:start w:val="1"/>
    </w:lvl>
  </w:abstractNum>
  <w:abstractNum w:abstractNumId="46">
    <w:nsid w:val="5FF87E05"/>
    <w:multiLevelType w:val="hybridMultilevel"/>
    <w:lvl w:ilvl="0">
      <w:lvlJc w:val="left"/>
      <w:lvlText w:val="(%1)"/>
      <w:numFmt w:val="lowerRoman"/>
      <w:start w:val="1"/>
    </w:lvl>
  </w:abstractNum>
  <w:abstractNum w:abstractNumId="47">
    <w:nsid w:val="2F305DEF"/>
    <w:multiLevelType w:val="hybridMultilevel"/>
    <w:lvl w:ilvl="0">
      <w:lvlJc w:val="left"/>
      <w:lvlText w:val="(%1)"/>
      <w:numFmt w:val="lowerRoman"/>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50">
    <w:nsid w:val="4AD084E9"/>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51">
    <w:nsid w:val="1F48EAA1"/>
    <w:multiLevelType w:val="hybridMultilevel"/>
    <w:lvl w:ilvl="0">
      <w:lvlJc w:val="left"/>
      <w:lvlText w:val="%1."/>
      <w:numFmt w:val="decimal"/>
      <w:start w:val="3"/>
    </w:lvl>
  </w:abstractNum>
  <w:abstractNum w:abstractNumId="52">
    <w:nsid w:val="1381823A"/>
    <w:multiLevelType w:val="hybridMultilevel"/>
    <w:lvl w:ilvl="0">
      <w:lvlJc w:val="left"/>
      <w:lvlText w:val="%1."/>
      <w:numFmt w:val="decimal"/>
      <w:start w:val="4"/>
    </w:lvl>
  </w:abstractNum>
  <w:abstractNum w:abstractNumId="53">
    <w:nsid w:val="5DB70AE5"/>
    <w:multiLevelType w:val="hybridMultilevel"/>
    <w:lvl w:ilvl="0">
      <w:lvlJc w:val="left"/>
      <w:lvlText w:val="%1."/>
      <w:numFmt w:val="decimal"/>
      <w:start w:val="5"/>
    </w:lvl>
  </w:abstractNum>
  <w:abstractNum w:abstractNumId="54">
    <w:nsid w:val="100F8FCA"/>
    <w:multiLevelType w:val="hybridMultilevel"/>
    <w:lvl w:ilvl="0">
      <w:lvlJc w:val="left"/>
      <w:lvlText w:val="(%1)"/>
      <w:numFmt w:val="lowerLetter"/>
      <w:start w:val="9"/>
    </w:lvl>
    <w:lvl w:ilvl="1">
      <w:lvlJc w:val="left"/>
      <w:lvlText w:val="(%2)"/>
      <w:numFmt w:val="lowerLetter"/>
      <w:start w:val="1"/>
    </w:lvl>
  </w:abstractNum>
  <w:abstractNum w:abstractNumId="55">
    <w:nsid w:val="6590700B"/>
    <w:multiLevelType w:val="hybridMultilevel"/>
    <w:lvl w:ilvl="0">
      <w:lvlJc w:val="left"/>
      <w:lvlText w:val="(%1)"/>
      <w:numFmt w:val="lowerLetter"/>
      <w:start w:val="35"/>
    </w:lvl>
    <w:lvl w:ilvl="1">
      <w:lvlJc w:val="left"/>
      <w:lvlText w:val="(%2)"/>
      <w:numFmt w:val="decimal"/>
      <w:start w:val="16"/>
    </w:lvl>
    <w:lvl w:ilvl="2">
      <w:lvlJc w:val="left"/>
      <w:lvlText w:val="(%3)"/>
      <w:numFmt w:val="lowerLetter"/>
      <w:start w:val="1"/>
    </w:lvl>
  </w:abstractNum>
  <w:abstractNum w:abstractNumId="56">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7">
    <w:nsid w:val="5F5E7FD0"/>
    <w:multiLevelType w:val="hybridMultilevel"/>
    <w:lvl w:ilvl="0">
      <w:lvlJc w:val="left"/>
      <w:lvlText w:val="%1."/>
      <w:numFmt w:val="decimal"/>
      <w:start w:val="6"/>
    </w:lvl>
  </w:abstractNum>
  <w:abstractNum w:abstractNumId="58">
    <w:nsid w:val="98A3148"/>
    <w:multiLevelType w:val="hybridMultilevel"/>
    <w:lvl w:ilvl="0">
      <w:lvlJc w:val="left"/>
      <w:lvlText w:val="%1."/>
      <w:numFmt w:val="decimal"/>
      <w:start w:val="7"/>
    </w:lvl>
  </w:abstractNum>
  <w:abstractNum w:abstractNumId="59">
    <w:nsid w:val="799D0247"/>
    <w:multiLevelType w:val="hybridMultilevel"/>
    <w:lvl w:ilvl="0">
      <w:lvlJc w:val="left"/>
      <w:lvlText w:val="(%1)"/>
      <w:numFmt w:val="lowerLetter"/>
      <w:start w:val="2"/>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lowerRoman"/>
      <w:start w:val="1"/>
    </w:lvl>
  </w:abstractNum>
  <w:abstractNum w:abstractNumId="63">
    <w:nsid w:val="1EBA5D23"/>
    <w:multiLevelType w:val="hybridMultilevel"/>
    <w:lvl w:ilvl="0">
      <w:lvlJc w:val="left"/>
      <w:lvlText w:val="(%1)"/>
      <w:numFmt w:val="lowerRoman"/>
      <w:start w:val="1"/>
    </w:lvl>
  </w:abstractNum>
  <w:abstractNum w:abstractNumId="64">
    <w:nsid w:val="661E3F1E"/>
    <w:multiLevelType w:val="hybridMultilevel"/>
    <w:lvl w:ilvl="0">
      <w:lvlJc w:val="left"/>
      <w:lvlText w:val="(%1)"/>
      <w:numFmt w:val="lowerRoman"/>
      <w:start w:val="3"/>
    </w:lvl>
  </w:abstractNum>
  <w:abstractNum w:abstractNumId="65">
    <w:nsid w:val="5DC79EA8"/>
    <w:multiLevelType w:val="hybridMultilevel"/>
    <w:lvl w:ilvl="0">
      <w:lvlJc w:val="left"/>
      <w:lvlText w:val="(%1)"/>
      <w:numFmt w:val="lowerRoman"/>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lowerRoman"/>
      <w:start w:val="2"/>
    </w:lvl>
  </w:abstractNum>
  <w:abstractNum w:abstractNumId="70">
    <w:nsid w:val="BF72B14"/>
    <w:multiLevelType w:val="hybridMultilevel"/>
    <w:lvl w:ilvl="0">
      <w:lvlJc w:val="left"/>
      <w:lvlText w:val="(%1)"/>
      <w:numFmt w:val="lowerRoman"/>
      <w:start w:val="1"/>
    </w:lvl>
  </w:abstractNum>
  <w:abstractNum w:abstractNumId="71">
    <w:nsid w:val="11447B73"/>
    <w:multiLevelType w:val="hybridMultilevel"/>
    <w:lvl w:ilvl="0">
      <w:lvlJc w:val="left"/>
      <w:lvlText w:val="(%1)"/>
      <w:numFmt w:val="lowerLetter"/>
      <w:start w:val="9"/>
    </w:lvl>
    <w:lvl w:ilvl="1">
      <w:lvlJc w:val="left"/>
      <w:lvlText w:val="(%2)"/>
      <w:numFmt w:val="lowerLetter"/>
      <w:start w:val="1"/>
    </w:lvl>
  </w:abstractNum>
  <w:abstractNum w:abstractNumId="72">
    <w:nsid w:val="42963E5A"/>
    <w:multiLevelType w:val="hybridMultilevel"/>
    <w:lvl w:ilvl="0">
      <w:lvlJc w:val="left"/>
      <w:lvlText w:val="%1"/>
      <w:numFmt w:val="lowerRoman"/>
      <w:start w:val="1"/>
    </w:lvl>
    <w:lvl w:ilvl="1">
      <w:lvlJc w:val="left"/>
      <w:lvlText w:val="(%2)"/>
      <w:numFmt w:val="lowerLetter"/>
      <w:start w:val="3"/>
    </w:lvl>
  </w:abstractNum>
  <w:abstractNum w:abstractNumId="73">
    <w:nsid w:val="A0382C5"/>
    <w:multiLevelType w:val="hybridMultilevel"/>
    <w:lvl w:ilvl="0">
      <w:lvlJc w:val="left"/>
      <w:lvlText w:val="(%1)"/>
      <w:numFmt w:val="lowerRoman"/>
      <w:start w:val="2"/>
    </w:lvl>
    <w:lvl w:ilvl="1">
      <w:lvlJc w:val="left"/>
      <w:lvlText w:val="(%2)"/>
      <w:numFmt w:val="lowerLetter"/>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2"/>
    </w:lvl>
  </w:abstractNum>
  <w:abstractNum w:abstractNumId="77">
    <w:nsid w:val="68EB2F63"/>
    <w:multiLevelType w:val="hybridMultilevel"/>
    <w:lvl w:ilvl="0">
      <w:lvlJc w:val="left"/>
      <w:lvlText w:val="(%1)"/>
      <w:numFmt w:val="lowerLetter"/>
      <w:start w:val="2"/>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lowerRoman"/>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2019-12-05T10:38:35Z</dcterms:created>
  <dcterms:modified xsi:type="dcterms:W3CDTF">2019-12-05T10:38:35Z</dcterms:modified>
</cp:coreProperties>
</file>