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60" w:space="720"/>
            <w:col w:w="2320"/>
          </w:cols>
          <w:pgMar w:left="436" w:top="368" w:right="439" w:bottom="1440" w:gutter="0" w:footer="0" w:header="0"/>
          <w:type w:val="continuous"/>
        </w:sectPr>
      </w:pPr>
    </w:p>
    <w:p>
      <w:pPr>
        <w:spacing w:after="0" w:line="5"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544"/>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$1,500,000,000 of Notes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September 15, 2021, Texas Instruments Incorporated (“Texas Instruments”) consummated the issuance and sale of $500,000,000 aggregate principal amount of its 1.125% Notes due 2026, $500,000,000 aggregate principal amount of its 1.900% Notes due 2031 and $500,000,000 aggregate principal amount of its 2.700% Notes due 2051 (collectively, the “Notes”), pursuant to an underwriting agreement filed herewith as Exhibit 1.1 dated September 7, 2021 among Texas Instruments and Barclays Capital Inc., J.P. Morgan Securities LLC and MUFG Securities Americas Inc., as representatives of the several underwriters named therein. The Notes were issued pursuant to an Indenture dated as of May 23, 2011 (the “Indenture”) between Texas Instruments and U.S. Bank National Association, as trustee, and an Officers’ Certificate issued pursuant thereto.</w:t>
      </w:r>
    </w:p>
    <w:p>
      <w:pPr>
        <w:spacing w:after="0" w:line="16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Notes were offered pursuant to Texas Instruments’ Registration Statement on Form S-3 filed on February 22, 2019 (Reg. No. 333-229797), including the prospectus contained therein, and a related preliminary prospectus supplement dated September 7, 2021 and a prospectus supplement dated September 7, 2021.</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ectPr>
          <w:pgSz w:w="11900" w:h="16838" w:orient="portrait"/>
          <w:cols w:equalWidth="0" w:num="1">
            <w:col w:w="11000"/>
          </w:cols>
          <w:pgMar w:left="440" w:top="297"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80" w:type="dxa"/>
            <w:vAlign w:val="bottom"/>
            <w:gridSpan w:val="6"/>
          </w:tcPr>
          <w:p>
            <w:pPr>
              <w:ind w:left="3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20" w:type="dxa"/>
            <w:vAlign w:val="bottom"/>
            <w:gridSpan w:val="8"/>
          </w:tcPr>
          <w:p>
            <w:pPr>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373"/>
        </w:trPr>
        <w:tc>
          <w:tcPr>
            <w:tcW w:w="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60" w:type="dxa"/>
            <w:vAlign w:val="bottom"/>
            <w:gridSpan w:val="4"/>
            <w:vMerge w:val="restart"/>
          </w:tcPr>
          <w:p>
            <w:pPr>
              <w:ind w:left="74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840" w:type="dxa"/>
            <w:vAlign w:val="bottom"/>
            <w:gridSpan w:val="2"/>
          </w:tcPr>
          <w:p>
            <w:pPr>
              <w:ind w:left="100"/>
              <w:spacing w:after="0"/>
              <w:rPr>
                <w:sz w:val="20"/>
                <w:szCs w:val="20"/>
                <w:color w:val="auto"/>
              </w:rPr>
            </w:pPr>
            <w:r>
              <w:rPr>
                <w:rFonts w:ascii="Arial" w:cs="Arial" w:eastAsia="Arial" w:hAnsi="Arial"/>
                <w:sz w:val="14"/>
                <w:szCs w:val="14"/>
                <w:color w:val="auto"/>
              </w:rPr>
              <w:t>No.</w:t>
            </w:r>
          </w:p>
        </w:tc>
        <w:tc>
          <w:tcPr>
            <w:tcW w:w="2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2"/>
                <w:szCs w:val="22"/>
                <w:color w:val="auto"/>
              </w:rPr>
            </w:pPr>
          </w:p>
        </w:tc>
        <w:tc>
          <w:tcPr>
            <w:tcW w:w="9460" w:type="dxa"/>
            <w:vAlign w:val="bottom"/>
            <w:tcBorders>
              <w:top w:val="single" w:sz="8" w:color="auto"/>
              <w:bottom w:val="single" w:sz="8" w:color="0000EE"/>
            </w:tcBorders>
            <w:gridSpan w:val="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Underwriting Agreement dated September 7, 2021 among Barclays Capital Inc., J.P. Morgan Securities LLC and MUFG Securities</w:t>
              </w:r>
            </w:hyperlink>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Americas Inc., as representatives of the several underwriters named in Schedule II therein</w:t>
              </w:r>
            </w:hyperlink>
          </w:p>
        </w:tc>
        <w:tc>
          <w:tcPr>
            <w:tcW w:w="3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40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Officers’ Certificate setting forth the terms of the Notes</w:t>
              </w:r>
            </w:hyperlink>
          </w:p>
        </w:tc>
        <w:tc>
          <w:tcPr>
            <w:tcW w:w="6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10180" w:type="dxa"/>
            <w:vAlign w:val="bottom"/>
            <w:gridSpan w:val="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Opinion of Davis Polk &amp; Wardwell LLP</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48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Consent of Davis Polk &amp; Wardwell LLP (contained in Exhibit 5.1)</w:t>
              </w:r>
            </w:hyperlink>
          </w:p>
        </w:tc>
        <w:tc>
          <w:tcPr>
            <w:tcW w:w="5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9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180" w:val="left"/>
          <w:tab w:leader="none" w:pos="5620" w:val="left"/>
        </w:tabs>
        <w:rPr>
          <w:sz w:val="20"/>
          <w:szCs w:val="20"/>
          <w:color w:val="auto"/>
        </w:rPr>
      </w:pPr>
      <w:r>
        <w:rPr>
          <w:rFonts w:ascii="Arial" w:cs="Arial" w:eastAsia="Arial" w:hAnsi="Arial"/>
          <w:sz w:val="18"/>
          <w:szCs w:val="18"/>
          <w:color w:val="auto"/>
        </w:rPr>
        <w:t>Date: September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931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Rafael R. Lizardi</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0320"/>
          </w:cols>
          <w:pgMar w:left="440" w:top="301" w:right="11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Underwriters</w:t>
      </w:r>
      <w:r>
        <w:rPr>
          <w:rFonts w:ascii="Arial" w:cs="Arial" w:eastAsia="Arial" w:hAnsi="Arial"/>
          <w:sz w:val="16"/>
          <w:szCs w:val="16"/>
          <w:color w:val="auto"/>
        </w:rPr>
        <w:t>”) understand that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$500,000,000 principal amount of the 1.125% Notes due 2026 (the “</w:t>
      </w:r>
      <w:r>
        <w:rPr>
          <w:rFonts w:ascii="Arial" w:cs="Arial" w:eastAsia="Arial" w:hAnsi="Arial"/>
          <w:sz w:val="16"/>
          <w:szCs w:val="16"/>
          <w:b w:val="1"/>
          <w:bCs w:val="1"/>
          <w:color w:val="auto"/>
        </w:rPr>
        <w:t>2026 Notes</w:t>
      </w:r>
      <w:r>
        <w:rPr>
          <w:rFonts w:ascii="Arial" w:cs="Arial" w:eastAsia="Arial" w:hAnsi="Arial"/>
          <w:sz w:val="16"/>
          <w:szCs w:val="16"/>
          <w:color w:val="auto"/>
        </w:rPr>
        <w:t>”), $500,000,000 principal amount of the 1.900% Notes due 2031 (the “</w:t>
      </w:r>
      <w:r>
        <w:rPr>
          <w:rFonts w:ascii="Arial" w:cs="Arial" w:eastAsia="Arial" w:hAnsi="Arial"/>
          <w:sz w:val="16"/>
          <w:szCs w:val="16"/>
          <w:b w:val="1"/>
          <w:bCs w:val="1"/>
          <w:color w:val="auto"/>
        </w:rPr>
        <w:t>2031 Notes</w:t>
      </w:r>
      <w:r>
        <w:rPr>
          <w:rFonts w:ascii="Arial" w:cs="Arial" w:eastAsia="Arial" w:hAnsi="Arial"/>
          <w:sz w:val="16"/>
          <w:szCs w:val="16"/>
          <w:color w:val="auto"/>
        </w:rPr>
        <w:t>”) and $500,000,000 principal amount of the 2.700% Notes due 2051 (the “</w:t>
      </w:r>
      <w:r>
        <w:rPr>
          <w:rFonts w:ascii="Arial" w:cs="Arial" w:eastAsia="Arial" w:hAnsi="Arial"/>
          <w:sz w:val="16"/>
          <w:szCs w:val="16"/>
          <w:b w:val="1"/>
          <w:bCs w:val="1"/>
          <w:color w:val="auto"/>
        </w:rPr>
        <w:t>2051 Notes</w:t>
      </w:r>
      <w:r>
        <w:rPr>
          <w:rFonts w:ascii="Arial" w:cs="Arial" w:eastAsia="Arial" w:hAnsi="Arial"/>
          <w:sz w:val="16"/>
          <w:szCs w:val="16"/>
          <w:color w:val="auto"/>
        </w:rPr>
        <w:t>” and, together with the 2026 Notes and the 2031 Notes, the “</w:t>
      </w:r>
      <w:r>
        <w:rPr>
          <w:rFonts w:ascii="Arial" w:cs="Arial" w:eastAsia="Arial" w:hAnsi="Arial"/>
          <w:sz w:val="16"/>
          <w:szCs w:val="16"/>
          <w:b w:val="1"/>
          <w:bCs w:val="1"/>
          <w:color w:val="auto"/>
        </w:rPr>
        <w:t>Offered Securities</w:t>
      </w:r>
      <w:r>
        <w:rPr>
          <w:rFonts w:ascii="Arial" w:cs="Arial" w:eastAsia="Arial" w:hAnsi="Arial"/>
          <w:sz w:val="16"/>
          <w:szCs w:val="16"/>
          <w:color w:val="auto"/>
        </w:rPr>
        <w:t>”) identified in Schedule I hereto, as more fully described in the Time of Sale Prospectus. The Offered Securities will be issued pursuant to an Indenture dated as of May 23, 2011, between the Company and U.S. Bank National Association, as trustee.</w:t>
      </w:r>
    </w:p>
    <w:p>
      <w:pPr>
        <w:spacing w:after="0" w:line="15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 hereto, the principal amount of the applicable series of the Offered Securities set forth opposite their respective names in Schedule II hereto. For purposes of this Agreement, “</w:t>
      </w:r>
      <w:r>
        <w:rPr>
          <w:rFonts w:ascii="Arial" w:cs="Arial" w:eastAsia="Arial" w:hAnsi="Arial"/>
          <w:sz w:val="18"/>
          <w:szCs w:val="18"/>
          <w:b w:val="1"/>
          <w:bCs w:val="1"/>
          <w:color w:val="auto"/>
        </w:rPr>
        <w:t>Applicable Time</w:t>
      </w:r>
      <w:r>
        <w:rPr>
          <w:rFonts w:ascii="Arial" w:cs="Arial" w:eastAsia="Arial" w:hAnsi="Arial"/>
          <w:sz w:val="18"/>
          <w:szCs w:val="18"/>
          <w:color w:val="auto"/>
        </w:rPr>
        <w:t>” means 4:45 P.M. (New York time) on the date hereof.</w:t>
      </w:r>
    </w:p>
    <w:p>
      <w:pPr>
        <w:spacing w:after="0" w:line="187"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Payment of the respective purchase prices for the applicable series of the Offered Securities shall be made to the Company by Federal funds wire transfer against delivery of such series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9:00 A.M. (New York time) on September 15, 2021, or at such other time, not later than September 25, 2021, as shall be designated by the Manager.</w:t>
      </w:r>
    </w:p>
    <w:p>
      <w:pPr>
        <w:spacing w:after="0" w:line="176"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All the provisions contained in the document entitled Texas Instruments Incorporated Underwriting Agreement Standard Provisions dated February 22, 2019 (the “</w:t>
      </w:r>
      <w:r>
        <w:rPr>
          <w:rFonts w:ascii="Arial" w:cs="Arial" w:eastAsia="Arial" w:hAnsi="Arial"/>
          <w:sz w:val="18"/>
          <w:szCs w:val="18"/>
          <w:b w:val="1"/>
          <w:bCs w:val="1"/>
          <w:color w:val="auto"/>
        </w:rPr>
        <w:t>Standard Provisions</w:t>
      </w:r>
      <w:r>
        <w:rPr>
          <w:rFonts w:ascii="Arial" w:cs="Arial" w:eastAsia="Arial" w:hAnsi="Arial"/>
          <w:sz w:val="18"/>
          <w:szCs w:val="18"/>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w:t>
      </w:r>
    </w:p>
    <w:p>
      <w:pPr>
        <w:sectPr>
          <w:pgSz w:w="11900" w:h="16838" w:orient="portrait"/>
          <w:cols w:equalWidth="0" w:num="1">
            <w:col w:w="11020"/>
          </w:cols>
          <w:pgMar w:left="440" w:top="121" w:right="439" w:bottom="1440" w:gutter="0" w:footer="0" w:header="0"/>
        </w:sectPr>
      </w:pPr>
    </w:p>
    <w:bookmarkStart w:id="5" w:name="page6"/>
    <w:bookmarkEnd w:id="5"/>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Barclays Capital Inc., J.P. Morgan Securities LLC and MUFG Securities Americas Inc.,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 and (vii) 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w:t>
      </w:r>
    </w:p>
    <w:p>
      <w:pPr>
        <w:spacing w:after="0" w:line="2" w:lineRule="exact"/>
        <w:rPr>
          <w:sz w:val="20"/>
          <w:szCs w:val="20"/>
          <w:color w:val="auto"/>
        </w:rPr>
      </w:pPr>
    </w:p>
    <w:p>
      <w:pPr>
        <w:ind w:left="4" w:hanging="4"/>
        <w:spacing w:after="0" w:line="286" w:lineRule="auto"/>
        <w:tabs>
          <w:tab w:leader="none" w:pos="21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6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6" w:name="page7"/>
    <w:bookmarkEnd w:id="6"/>
    <w:p>
      <w:pPr>
        <w:ind w:right="1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On behalf of themselves and the several Underwriters listed</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 Schedule II hereto</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James Gutow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14605</wp:posOffset>
            </wp:positionV>
            <wp:extent cx="25457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James Gutow</w:t>
      </w:r>
    </w:p>
    <w:p>
      <w:pPr>
        <w:spacing w:after="0" w:line="23"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14605</wp:posOffset>
            </wp:positionV>
            <wp:extent cx="25457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Bottamedi</w:t>
      </w:r>
    </w:p>
    <w:p>
      <w:pPr>
        <w:spacing w:after="0" w:line="23"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MUFG Securities Americas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Richard Testa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14605</wp:posOffset>
            </wp:positionV>
            <wp:extent cx="25457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Testa</w:t>
      </w:r>
    </w:p>
    <w:p>
      <w:pPr>
        <w:spacing w:after="0" w:line="23"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Jack I. Holmes</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Vice President and Treasurer</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-213360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jc w:val="center"/>
        <w:ind w:right="3300"/>
        <w:spacing w:after="0"/>
        <w:rPr>
          <w:sz w:val="20"/>
          <w:szCs w:val="20"/>
          <w:color w:val="auto"/>
        </w:rPr>
      </w:pPr>
      <w:r>
        <w:rPr>
          <w:rFonts w:ascii="Arial" w:cs="Arial" w:eastAsia="Arial" w:hAnsi="Arial"/>
          <w:sz w:val="18"/>
          <w:szCs w:val="18"/>
          <w:b w:val="1"/>
          <w:bCs w:val="1"/>
          <w:color w:val="auto"/>
        </w:rPr>
        <w:t>TO UNDERWRITING AGREEMENT</w:t>
      </w:r>
    </w:p>
    <w:p>
      <w:pPr>
        <w:spacing w:after="0" w:line="207" w:lineRule="exact"/>
        <w:rPr>
          <w:sz w:val="20"/>
          <w:szCs w:val="20"/>
          <w:color w:val="auto"/>
        </w:rPr>
      </w:pPr>
    </w:p>
    <w:p>
      <w:pPr>
        <w:jc w:val="center"/>
        <w:ind w:right="3300"/>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Pricing Term Sheet</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1.125% Notes due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100.000% of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 beginning on March 15, 2022, and on the 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$498,250,000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0.750% due August 31,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99-20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4</w:t>
      </w:r>
      <w:r>
        <w:rPr>
          <w:rFonts w:ascii="Arial" w:cs="Arial" w:eastAsia="Arial" w:hAnsi="Arial"/>
          <w:sz w:val="18"/>
          <w:szCs w:val="18"/>
          <w:color w:val="auto"/>
        </w:rPr>
        <w:t>; 0.825%</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any time before August 15, 2026 (one month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August 15, 2026 (one month before the maturity date), in each case discounted to the date of redemption on a semi-annual basis at the rate of Treasury plus 5 basis points</w:t>
      </w:r>
    </w:p>
    <w:p>
      <w:pPr>
        <w:spacing w:after="0" w:line="11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I-1</w:t>
      </w:r>
    </w:p>
    <w:p>
      <w:pPr>
        <w:sectPr>
          <w:pgSz w:w="11900" w:h="16838" w:orient="portrait"/>
          <w:cols w:equalWidth="0" w:num="2">
            <w:col w:w="2700" w:space="720"/>
            <w:col w:w="7480"/>
          </w:cols>
          <w:pgMar w:left="440" w:top="270" w:right="5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Par Call: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At any time on or after August 15, 2026 (one month before the maturity date) at 100% of the principal amount of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-387985</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2021 (T+6)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882508BK9/US882508BK94</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1.900% Notes due 2031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1.900%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99.755% of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 beginning on March 15, 2022, and on the 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$496,525,000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1.250% due August 15, 2031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55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1.927%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98-26+; 1.377%</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any time before June 15, 2031 (three months before the maturity date) at the greater of: (i) 100% of the principal amount of the notes being redeemed; and (ii) the sum of the present values of the principal amount of such notes and the scheduled payments of interest thereon (not including</w:t>
      </w:r>
    </w:p>
    <w:p>
      <w:pPr>
        <w:spacing w:after="0" w:line="8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I-2</w:t>
      </w:r>
    </w:p>
    <w:p>
      <w:pPr>
        <w:sectPr>
          <w:pgSz w:w="11900" w:h="16838" w:orient="portrait"/>
          <w:cols w:equalWidth="0" w:num="2">
            <w:col w:w="2700" w:space="720"/>
            <w:col w:w="7460"/>
          </w:cols>
          <w:pgMar w:left="440" w:top="274" w:right="57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7"/>
          <w:szCs w:val="17"/>
          <w:color w:val="auto"/>
        </w:rPr>
        <w:t>any portion of such payments of interest accrued as of the date of redemption) from the date of redemption to June 15, 2031 (three months before the maturity date), in each case discounted to the date of redemption on a semi-annual basis at the rate of Treasury plus 10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-528320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any time on or after June 15, 2031 (three months before the maturity date) at 100% of the principal amount of notes being redeemed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2021 (T+6)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882508BL7/US882508BL77</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2.700% Notes due 2051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2.700%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99.307% of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 beginning on March 15, 2022, and on the 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$492,785,000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2.375% due May 15, 2051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75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2.734%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108-24; 1.984%</w:t>
      </w:r>
    </w:p>
    <w:p>
      <w:pPr>
        <w:spacing w:after="0" w:line="15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I-3</w:t>
      </w:r>
    </w:p>
    <w:p>
      <w:pPr>
        <w:sectPr>
          <w:pgSz w:w="11900" w:h="16838" w:orient="portrait"/>
          <w:cols w:equalWidth="0" w:num="2">
            <w:col w:w="2700" w:space="720"/>
            <w:col w:w="7500"/>
          </w:cols>
          <w:pgMar w:left="440" w:top="274" w:right="539" w:bottom="1440" w:gutter="0" w:footer="0" w:header="0"/>
        </w:sectPr>
      </w:pPr>
    </w:p>
    <w:bookmarkStart w:id="11" w:name="page12"/>
    <w:bookmarkEnd w:id="11"/>
    <w:tbl>
      <w:tblPr>
        <w:tblLayout w:type="fixed"/>
        <w:tblInd w:w="4"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Make-Whole Call:</w:t>
            </w: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w w:val="93"/>
              </w:rPr>
              <w:t>At any time before March 15, 2051 (six months before the maturity date) at the greater of: (i) 100% of</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w w:val="90"/>
              </w:rPr>
              <w:t>the principal amount of the notes being redeemed; and (ii) the sum of the present values of the principal</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w w:val="90"/>
              </w:rPr>
              <w:t>amount of such notes and the scheduled payments of interest thereon (not including any portion of such</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w w:val="93"/>
              </w:rPr>
              <w:t>payments of interest accrued as of the date of redemption) from the date of redemption to March 15,</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w w:val="89"/>
              </w:rPr>
              <w:t>2051 (six months before the maturity date), in each case discounted to the date of redemption on a semi-</w:t>
            </w:r>
          </w:p>
        </w:tc>
      </w:tr>
      <w:tr>
        <w:trPr>
          <w:trHeight w:val="230"/>
        </w:trPr>
        <w:tc>
          <w:tcPr>
            <w:tcW w:w="2840" w:type="dxa"/>
            <w:vAlign w:val="bottom"/>
          </w:tcPr>
          <w:p>
            <w:pPr>
              <w:spacing w:after="0"/>
              <w:rPr>
                <w:sz w:val="20"/>
                <w:szCs w:val="20"/>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annual basis at the rate of Treasury plus 12.5 basis points</w:t>
            </w:r>
          </w:p>
        </w:tc>
      </w:tr>
      <w:tr>
        <w:trPr>
          <w:trHeight w:val="310"/>
        </w:trPr>
        <w:tc>
          <w:tcPr>
            <w:tcW w:w="2840" w:type="dxa"/>
            <w:vAlign w:val="bottom"/>
          </w:tcPr>
          <w:p>
            <w:pPr>
              <w:spacing w:after="0"/>
              <w:rPr>
                <w:sz w:val="20"/>
                <w:szCs w:val="20"/>
                <w:color w:val="auto"/>
              </w:rPr>
            </w:pPr>
            <w:r>
              <w:rPr>
                <w:rFonts w:ascii="Arial" w:cs="Arial" w:eastAsia="Arial" w:hAnsi="Arial"/>
                <w:sz w:val="18"/>
                <w:szCs w:val="18"/>
                <w:color w:val="auto"/>
              </w:rPr>
              <w:t>Par Call:</w:t>
            </w: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w w:val="93"/>
              </w:rPr>
              <w:t>At any time on or after March 15, 2051 (six months before the maturity date) at 100% of the principal</w:t>
            </w:r>
          </w:p>
        </w:tc>
      </w:tr>
      <w:tr>
        <w:trPr>
          <w:trHeight w:val="230"/>
        </w:trPr>
        <w:tc>
          <w:tcPr>
            <w:tcW w:w="2840" w:type="dxa"/>
            <w:vAlign w:val="bottom"/>
          </w:tcPr>
          <w:p>
            <w:pPr>
              <w:spacing w:after="0"/>
              <w:rPr>
                <w:sz w:val="20"/>
                <w:szCs w:val="20"/>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amount of notes being redeemed</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Trade Date:</w:t>
            </w: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September 7, 2021</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Settlement Date:</w:t>
            </w: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September 15, 2021 (T+6)</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Denominations:</w:t>
            </w: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CUSIP/ISIN:</w:t>
            </w: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882508BM5/US882508BM50</w:t>
            </w:r>
          </w:p>
        </w:tc>
      </w:tr>
      <w:tr>
        <w:trPr>
          <w:trHeight w:val="391"/>
        </w:trPr>
        <w:tc>
          <w:tcPr>
            <w:tcW w:w="2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Other Information</w:t>
            </w:r>
          </w:p>
        </w:tc>
      </w:tr>
      <w:tr>
        <w:trPr>
          <w:trHeight w:val="20"/>
        </w:trPr>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453"/>
        </w:trPr>
        <w:tc>
          <w:tcPr>
            <w:tcW w:w="2840" w:type="dxa"/>
            <w:vAlign w:val="bottom"/>
          </w:tcPr>
          <w:p>
            <w:pPr>
              <w:spacing w:after="0"/>
              <w:rPr>
                <w:sz w:val="20"/>
                <w:szCs w:val="20"/>
                <w:color w:val="auto"/>
              </w:rPr>
            </w:pPr>
            <w:r>
              <w:rPr>
                <w:rFonts w:ascii="Arial" w:cs="Arial" w:eastAsia="Arial" w:hAnsi="Arial"/>
                <w:sz w:val="18"/>
                <w:szCs w:val="18"/>
                <w:color w:val="auto"/>
              </w:rPr>
              <w:t>Ratings:*</w:t>
            </w: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tc>
      </w:tr>
      <w:tr>
        <w:trPr>
          <w:trHeight w:val="310"/>
        </w:trPr>
        <w:tc>
          <w:tcPr>
            <w:tcW w:w="28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Barclays Capital Inc.</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J.P. Morgan Securities LLC</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MUFG Securities Americas Inc.</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BofA Securities, Inc.</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Mizuho Securities USA LLC</w:t>
            </w:r>
          </w:p>
        </w:tc>
      </w:tr>
      <w:tr>
        <w:trPr>
          <w:trHeight w:val="229"/>
        </w:trPr>
        <w:tc>
          <w:tcPr>
            <w:tcW w:w="2840" w:type="dxa"/>
            <w:vAlign w:val="bottom"/>
          </w:tcPr>
          <w:p>
            <w:pPr>
              <w:spacing w:after="0"/>
              <w:rPr>
                <w:sz w:val="19"/>
                <w:szCs w:val="19"/>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Morgan Stanley &amp; Co. LLC</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Co-Managers:</w:t>
            </w: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Siebert Williams Shank &amp; Co., LLC</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U.S. Bancorp Investments, Inc.</w:t>
            </w:r>
          </w:p>
        </w:tc>
      </w:tr>
      <w:tr>
        <w:trPr>
          <w:trHeight w:val="216"/>
        </w:trPr>
        <w:tc>
          <w:tcPr>
            <w:tcW w:w="2840" w:type="dxa"/>
            <w:vAlign w:val="bottom"/>
          </w:tcPr>
          <w:p>
            <w:pPr>
              <w:spacing w:after="0"/>
              <w:rPr>
                <w:sz w:val="18"/>
                <w:szCs w:val="18"/>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BNP Paribas Securities Corp.</w:t>
            </w:r>
          </w:p>
        </w:tc>
      </w:tr>
      <w:tr>
        <w:trPr>
          <w:trHeight w:val="230"/>
        </w:trPr>
        <w:tc>
          <w:tcPr>
            <w:tcW w:w="2840" w:type="dxa"/>
            <w:vAlign w:val="bottom"/>
          </w:tcPr>
          <w:p>
            <w:pPr>
              <w:spacing w:after="0"/>
              <w:rPr>
                <w:sz w:val="20"/>
                <w:szCs w:val="20"/>
                <w:color w:val="auto"/>
              </w:rPr>
            </w:pPr>
          </w:p>
        </w:tc>
        <w:tc>
          <w:tcPr>
            <w:tcW w:w="8080" w:type="dxa"/>
            <w:vAlign w:val="bottom"/>
            <w:gridSpan w:val="3"/>
          </w:tcPr>
          <w:p>
            <w:pPr>
              <w:ind w:left="580"/>
              <w:spacing w:after="0"/>
              <w:rPr>
                <w:sz w:val="20"/>
                <w:szCs w:val="20"/>
                <w:color w:val="auto"/>
              </w:rPr>
            </w:pPr>
            <w:r>
              <w:rPr>
                <w:rFonts w:ascii="Arial" w:cs="Arial" w:eastAsia="Arial" w:hAnsi="Arial"/>
                <w:sz w:val="18"/>
                <w:szCs w:val="18"/>
                <w:color w:val="auto"/>
              </w:rPr>
              <w:t>HSBC Securities (USA) Inc.</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4" w:right="680" w:hanging="5404"/>
        <w:spacing w:after="0" w:line="454" w:lineRule="auto"/>
        <w:tabs>
          <w:tab w:leader="none" w:pos="21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securities rating is not a recommendation to buy, sell or hold securities and may be subject to revision or withdrawal at any time. </w:t>
      </w:r>
      <w:r>
        <w:rPr>
          <w:rFonts w:ascii="Arial" w:cs="Arial" w:eastAsia="Arial" w:hAnsi="Arial"/>
          <w:sz w:val="18"/>
          <w:szCs w:val="18"/>
          <w:color w:val="auto"/>
        </w:rPr>
        <w:t>I-4</w:t>
      </w:r>
    </w:p>
    <w:p>
      <w:pPr>
        <w:sectPr>
          <w:pgSz w:w="11900" w:h="16838" w:orient="portrait"/>
          <w:cols w:equalWidth="0" w:num="1">
            <w:col w:w="10924"/>
          </w:cols>
          <w:pgMar w:left="436" w:top="274" w:right="539" w:bottom="1440" w:gutter="0" w:footer="0" w:header="0"/>
        </w:sectPr>
      </w:pPr>
    </w:p>
    <w:bookmarkStart w:id="12" w:name="page13"/>
    <w:bookmarkEnd w:id="12"/>
    <w:p>
      <w:pPr>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expected that delivery of the notes will be made against payment therefore on or about September 15, 2021,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T+6,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J.P. Morgan Securities LLC at (212) 834-4533 or MUFG Securities Americas Inc. at (877) 649-6848.</w:t>
      </w:r>
    </w:p>
    <w:p>
      <w:pPr>
        <w:spacing w:after="0" w:line="189"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0920"/>
          </w:cols>
          <w:pgMar w:left="440" w:top="270" w:right="5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UNDERWRITING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color w:val="auto"/>
                <w:w w:val="96"/>
              </w:rPr>
              <w:t>Underwriter</w:t>
            </w:r>
          </w:p>
        </w:tc>
        <w:tc>
          <w:tcPr>
            <w:tcW w:w="48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Arial" w:cs="Arial" w:eastAsia="Arial" w:hAnsi="Arial"/>
                <w:sz w:val="14"/>
                <w:szCs w:val="14"/>
                <w:color w:val="auto"/>
              </w:rPr>
              <w:t>1.125% Notes</w:t>
            </w:r>
          </w:p>
        </w:tc>
        <w:tc>
          <w:tcPr>
            <w:tcW w:w="3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Arial" w:cs="Arial" w:eastAsia="Arial" w:hAnsi="Arial"/>
                <w:sz w:val="14"/>
                <w:szCs w:val="14"/>
                <w:color w:val="auto"/>
              </w:rPr>
              <w:t>1.900% Notes</w:t>
            </w:r>
          </w:p>
        </w:tc>
        <w:tc>
          <w:tcPr>
            <w:tcW w:w="32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2.700% Notes</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right"/>
              <w:ind w:right="159"/>
              <w:spacing w:after="0" w:line="154" w:lineRule="exact"/>
              <w:rPr>
                <w:sz w:val="20"/>
                <w:szCs w:val="20"/>
                <w:color w:val="auto"/>
              </w:rPr>
            </w:pPr>
            <w:r>
              <w:rPr>
                <w:rFonts w:ascii="Arial" w:cs="Arial" w:eastAsia="Arial" w:hAnsi="Arial"/>
                <w:sz w:val="14"/>
                <w:szCs w:val="14"/>
                <w:color w:val="auto"/>
              </w:rPr>
              <w:t>due 2026</w:t>
            </w:r>
          </w:p>
        </w:tc>
        <w:tc>
          <w:tcPr>
            <w:tcW w:w="320" w:type="dxa"/>
            <w:vAlign w:val="bottom"/>
          </w:tcPr>
          <w:p>
            <w:pPr>
              <w:spacing w:after="0"/>
              <w:rPr>
                <w:sz w:val="15"/>
                <w:szCs w:val="15"/>
                <w:color w:val="auto"/>
              </w:rPr>
            </w:pPr>
          </w:p>
        </w:tc>
        <w:tc>
          <w:tcPr>
            <w:tcW w:w="1000" w:type="dxa"/>
            <w:vAlign w:val="bottom"/>
          </w:tcPr>
          <w:p>
            <w:pPr>
              <w:jc w:val="right"/>
              <w:ind w:right="159"/>
              <w:spacing w:after="0" w:line="154" w:lineRule="exact"/>
              <w:rPr>
                <w:sz w:val="20"/>
                <w:szCs w:val="20"/>
                <w:color w:val="auto"/>
              </w:rPr>
            </w:pPr>
            <w:r>
              <w:rPr>
                <w:rFonts w:ascii="Arial" w:cs="Arial" w:eastAsia="Arial" w:hAnsi="Arial"/>
                <w:sz w:val="14"/>
                <w:szCs w:val="14"/>
                <w:color w:val="auto"/>
              </w:rPr>
              <w:t>due 2031</w:t>
            </w:r>
          </w:p>
        </w:tc>
        <w:tc>
          <w:tcPr>
            <w:tcW w:w="320" w:type="dxa"/>
            <w:vAlign w:val="bottom"/>
          </w:tcPr>
          <w:p>
            <w:pPr>
              <w:spacing w:after="0"/>
              <w:rPr>
                <w:sz w:val="15"/>
                <w:szCs w:val="15"/>
                <w:color w:val="auto"/>
              </w:rPr>
            </w:pPr>
          </w:p>
        </w:tc>
        <w:tc>
          <w:tcPr>
            <w:tcW w:w="106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2"/>
              </w:rPr>
              <w:t>due 2051</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Barclays Capital Inc.</w:t>
            </w:r>
          </w:p>
        </w:tc>
        <w:tc>
          <w:tcPr>
            <w:tcW w:w="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95,000,000</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95,000,000</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12,500,000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500,000,000</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500,000,000</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9260"/>
          </w:cols>
          <w:pgMar w:left="1320" w:top="270" w:right="1319" w:bottom="1440" w:gutter="0" w:footer="0" w:header="0"/>
        </w:sectPr>
      </w:pPr>
    </w:p>
    <w:bookmarkStart w:id="14" w:name="page15"/>
    <w:bookmarkEnd w:id="14"/>
    <w:p>
      <w:pPr>
        <w:jc w:val="center"/>
        <w:ind w:righ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9579"/>
          </w:cols>
          <w:pgMar w:left="880" w:top="270" w:right="1440"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only information that the Underwriters have furnished to the Company in writing expressly for use in the Prospectus Supplement is:</w:t>
      </w:r>
    </w:p>
    <w:p>
      <w:pPr>
        <w:spacing w:after="0" w:line="140" w:lineRule="exact"/>
        <w:rPr>
          <w:sz w:val="20"/>
          <w:szCs w:val="20"/>
          <w:color w:val="auto"/>
        </w:rPr>
      </w:pPr>
    </w:p>
    <w:p>
      <w:pPr>
        <w:ind w:right="60" w:firstLine="419"/>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third paragraph of text under the caption “Underwriting” in the Prospectus Supplement, concerning the terms offered by the Underwriters;</w:t>
      </w:r>
    </w:p>
    <w:p>
      <w:pPr>
        <w:spacing w:after="0" w:line="62" w:lineRule="exact"/>
        <w:rPr>
          <w:rFonts w:ascii="Arial" w:cs="Arial" w:eastAsia="Arial" w:hAnsi="Arial"/>
          <w:sz w:val="18"/>
          <w:szCs w:val="18"/>
          <w:color w:val="auto"/>
        </w:rPr>
      </w:pPr>
    </w:p>
    <w:p>
      <w:pPr>
        <w:ind w:firstLine="419"/>
        <w:spacing w:after="0" w:line="277"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0020"/>
          </w:cols>
          <w:pgMar w:left="880" w:top="270" w:right="9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February 22, 2019</w:t>
      </w:r>
    </w:p>
    <w:p>
      <w:pPr>
        <w:spacing w:after="0" w:line="2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8"/>
          <w:szCs w:val="18"/>
          <w:b w:val="1"/>
          <w:bCs w:val="1"/>
          <w:color w:val="auto"/>
        </w:rPr>
        <w:t>Underwriting Agreement</w:t>
      </w:r>
      <w:r>
        <w:rPr>
          <w:rFonts w:ascii="Arial" w:cs="Arial" w:eastAsia="Arial" w:hAnsi="Arial"/>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From time to time in one or more offerings on terms determined at the time of sale, the Company proposes to issue and sell (a) its common stock, $1.00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(b) its preferred stock, $25.00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(c) certain of its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(d) warrants to purchase Common Stock, Preferred Stock or Debt Securities (“</w:t>
      </w:r>
      <w:r>
        <w:rPr>
          <w:rFonts w:ascii="Arial" w:cs="Arial" w:eastAsia="Arial" w:hAnsi="Arial"/>
          <w:sz w:val="17"/>
          <w:szCs w:val="17"/>
          <w:b w:val="1"/>
          <w:bCs w:val="1"/>
          <w:color w:val="auto"/>
        </w:rPr>
        <w:t>Warrants</w:t>
      </w:r>
      <w:r>
        <w:rPr>
          <w:rFonts w:ascii="Arial" w:cs="Arial" w:eastAsia="Arial" w:hAnsi="Arial"/>
          <w:sz w:val="17"/>
          <w:szCs w:val="17"/>
          <w:color w:val="auto"/>
        </w:rPr>
        <w:t>”), and (e) units consisting of Common Stock, Preferred Stock, Debt Securities or Warrants or any combination thereof (“</w:t>
      </w:r>
      <w:r>
        <w:rPr>
          <w:rFonts w:ascii="Arial" w:cs="Arial" w:eastAsia="Arial" w:hAnsi="Arial"/>
          <w:sz w:val="17"/>
          <w:szCs w:val="17"/>
          <w:b w:val="1"/>
          <w:bCs w:val="1"/>
          <w:color w:val="auto"/>
        </w:rPr>
        <w:t>Units</w:t>
      </w:r>
      <w:r>
        <w:rPr>
          <w:rFonts w:ascii="Arial" w:cs="Arial" w:eastAsia="Arial" w:hAnsi="Arial"/>
          <w:sz w:val="17"/>
          <w:szCs w:val="17"/>
          <w:color w:val="auto"/>
        </w:rPr>
        <w:t>”). The Common Stock, Preferred Stock, Debt Securities, Warrants and Units are each referred to as “</w:t>
      </w:r>
      <w:r>
        <w:rPr>
          <w:rFonts w:ascii="Arial" w:cs="Arial" w:eastAsia="Arial" w:hAnsi="Arial"/>
          <w:sz w:val="17"/>
          <w:szCs w:val="17"/>
          <w:b w:val="1"/>
          <w:bCs w:val="1"/>
          <w:color w:val="auto"/>
        </w:rPr>
        <w:t>Securities</w:t>
      </w:r>
      <w:r>
        <w:rPr>
          <w:rFonts w:ascii="Arial" w:cs="Arial" w:eastAsia="Arial" w:hAnsi="Arial"/>
          <w:sz w:val="17"/>
          <w:szCs w:val="17"/>
          <w:color w:val="auto"/>
        </w:rPr>
        <w:t>” for the purposes of this Agreement.</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specifically relating to the Securities listed on Schedule I hereto (the “</w:t>
      </w:r>
      <w:r>
        <w:rPr>
          <w:rFonts w:ascii="Arial" w:cs="Arial" w:eastAsia="Arial" w:hAnsi="Arial"/>
          <w:sz w:val="16"/>
          <w:szCs w:val="16"/>
          <w:b w:val="1"/>
          <w:bCs w:val="1"/>
          <w:color w:val="auto"/>
        </w:rPr>
        <w:t>Offered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has the meaning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Rule 433 under the Securities Act. The term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Base Prospectus and preliminary prospectus, if any, together with any additional documents or 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w:t>
      </w:r>
    </w:p>
    <w:p>
      <w:pPr>
        <w:sectPr>
          <w:pgSz w:w="11900" w:h="16838" w:orient="portrait"/>
          <w:cols w:equalWidth="0" w:num="1">
            <w:col w:w="11020"/>
          </w:cols>
          <w:pgMar w:left="440" w:top="270" w:right="43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As used herein, the term “</w:t>
      </w:r>
      <w:r>
        <w:rPr>
          <w:rFonts w:ascii="Arial" w:cs="Arial" w:eastAsia="Arial" w:hAnsi="Arial"/>
          <w:sz w:val="18"/>
          <w:szCs w:val="18"/>
          <w:b w:val="1"/>
          <w:bCs w:val="1"/>
          <w:color w:val="auto"/>
        </w:rPr>
        <w:t>Applicable Time</w:t>
      </w:r>
      <w:r>
        <w:rPr>
          <w:rFonts w:ascii="Arial" w:cs="Arial" w:eastAsia="Arial" w:hAnsi="Arial"/>
          <w:sz w:val="18"/>
          <w:szCs w:val="18"/>
          <w:color w:val="auto"/>
        </w:rPr>
        <w:t>” means the time and date set forth in the Underwriting Agreement or such other time as agreed in writing by the Company and the Manager.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440" w:right="80" w:firstLine="419"/>
        <w:spacing w:after="0" w:line="271" w:lineRule="auto"/>
        <w:tabs>
          <w:tab w:leader="none" w:pos="1243"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70" w:lineRule="exact"/>
        <w:rPr>
          <w:rFonts w:ascii="Arial" w:cs="Arial" w:eastAsia="Arial" w:hAnsi="Arial"/>
          <w:sz w:val="17"/>
          <w:szCs w:val="17"/>
          <w:color w:val="auto"/>
        </w:rPr>
      </w:pPr>
    </w:p>
    <w:p>
      <w:pPr>
        <w:ind w:left="440" w:right="440" w:firstLine="419"/>
        <w:spacing w:after="0" w:line="277" w:lineRule="auto"/>
        <w:tabs>
          <w:tab w:leader="none" w:pos="1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1740" w:hanging="352"/>
        <w:spacing w:after="0"/>
        <w:tabs>
          <w:tab w:leader="none" w:pos="17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Delaware.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8" w:name="page19"/>
    <w:bookmarkEnd w:id="18"/>
    <w:p>
      <w:pPr>
        <w:ind w:left="-20" w:right="40" w:firstLine="408"/>
        <w:spacing w:after="0" w:line="286" w:lineRule="auto"/>
        <w:tabs>
          <w:tab w:leader="none" w:pos="777"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57" w:lineRule="exact"/>
        <w:rPr>
          <w:rFonts w:ascii="Arial" w:cs="Arial" w:eastAsia="Arial" w:hAnsi="Arial"/>
          <w:sz w:val="17"/>
          <w:szCs w:val="17"/>
          <w:color w:val="auto"/>
        </w:rPr>
      </w:pPr>
    </w:p>
    <w:p>
      <w:pPr>
        <w:ind w:left="-20" w:right="20" w:firstLine="408"/>
        <w:spacing w:after="0" w:line="277" w:lineRule="auto"/>
        <w:tabs>
          <w:tab w:leader="none" w:pos="827"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rFonts w:ascii="Arial" w:cs="Arial" w:eastAsia="Arial" w:hAnsi="Arial"/>
          <w:sz w:val="18"/>
          <w:szCs w:val="18"/>
          <w:color w:val="auto"/>
        </w:rPr>
      </w:pPr>
    </w:p>
    <w:p>
      <w:pPr>
        <w:ind w:left="-20" w:right="180" w:firstLine="408"/>
        <w:spacing w:after="0" w:line="263" w:lineRule="auto"/>
        <w:tabs>
          <w:tab w:leader="none" w:pos="8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5" w:lineRule="exact"/>
        <w:rPr>
          <w:rFonts w:ascii="Arial" w:cs="Arial" w:eastAsia="Arial" w:hAnsi="Arial"/>
          <w:sz w:val="18"/>
          <w:szCs w:val="18"/>
          <w:color w:val="auto"/>
        </w:rPr>
      </w:pPr>
    </w:p>
    <w:p>
      <w:pPr>
        <w:ind w:left="1240" w:hanging="429"/>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rFonts w:ascii="Arial" w:cs="Arial" w:eastAsia="Arial" w:hAnsi="Arial"/>
          <w:sz w:val="18"/>
          <w:szCs w:val="18"/>
          <w:color w:val="auto"/>
        </w:rPr>
      </w:pPr>
    </w:p>
    <w:p>
      <w:pPr>
        <w:jc w:val="both"/>
        <w:ind w:left="420" w:firstLine="391"/>
        <w:spacing w:after="0" w:line="259" w:lineRule="auto"/>
        <w:tabs>
          <w:tab w:leader="none" w:pos="1223"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78" w:lineRule="exact"/>
        <w:rPr>
          <w:rFonts w:ascii="Arial" w:cs="Arial" w:eastAsia="Arial" w:hAnsi="Arial"/>
          <w:sz w:val="18"/>
          <w:szCs w:val="18"/>
          <w:color w:val="auto"/>
        </w:rPr>
      </w:pPr>
    </w:p>
    <w:p>
      <w:pPr>
        <w:ind w:left="-20" w:right="300" w:firstLine="408"/>
        <w:spacing w:after="0" w:line="279" w:lineRule="auto"/>
        <w:tabs>
          <w:tab w:leader="none" w:pos="767"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63" w:lineRule="exact"/>
        <w:rPr>
          <w:rFonts w:ascii="Arial" w:cs="Arial" w:eastAsia="Arial" w:hAnsi="Arial"/>
          <w:sz w:val="17"/>
          <w:szCs w:val="17"/>
          <w:color w:val="auto"/>
        </w:rPr>
      </w:pPr>
    </w:p>
    <w:p>
      <w:pPr>
        <w:ind w:left="-20" w:right="140" w:firstLine="408"/>
        <w:spacing w:after="0" w:line="296" w:lineRule="auto"/>
        <w:tabs>
          <w:tab w:leader="none" w:pos="817"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53" w:lineRule="exact"/>
        <w:rPr>
          <w:rFonts w:ascii="Arial" w:cs="Arial" w:eastAsia="Arial" w:hAnsi="Arial"/>
          <w:sz w:val="16"/>
          <w:szCs w:val="16"/>
          <w:color w:val="auto"/>
        </w:rPr>
      </w:pPr>
    </w:p>
    <w:p>
      <w:pPr>
        <w:ind w:left="-20" w:right="620" w:firstLine="408"/>
        <w:spacing w:after="0" w:line="277" w:lineRule="auto"/>
        <w:tabs>
          <w:tab w:leader="none" w:pos="87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opinion of such counsel each document filed pursuant to the Exchange Act and incorporated by reference in the Registration Statement</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00"/>
          </w:cols>
          <w:pgMar w:left="1440" w:top="274" w:right="459" w:bottom="1440" w:gutter="0" w:footer="0" w:header="0"/>
        </w:sectPr>
      </w:pPr>
    </w:p>
    <w:bookmarkStart w:id="19" w:name="page20"/>
    <w:bookmarkEnd w:id="19"/>
    <w:p>
      <w:pPr>
        <w:jc w:val="both"/>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41" w:lineRule="exact"/>
        <w:rPr>
          <w:sz w:val="20"/>
          <w:szCs w:val="20"/>
          <w:color w:val="auto"/>
        </w:rPr>
      </w:pPr>
    </w:p>
    <w:p>
      <w:pPr>
        <w:ind w:right="140" w:firstLine="408"/>
        <w:spacing w:after="0" w:line="277"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440" w:right="20" w:firstLine="391"/>
        <w:spacing w:after="0" w:line="255" w:lineRule="auto"/>
        <w:tabs>
          <w:tab w:leader="none" w:pos="125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4" w:lineRule="exact"/>
        <w:rPr>
          <w:rFonts w:ascii="Arial" w:cs="Arial" w:eastAsia="Arial" w:hAnsi="Arial"/>
          <w:sz w:val="18"/>
          <w:szCs w:val="18"/>
          <w:color w:val="auto"/>
        </w:rPr>
      </w:pPr>
    </w:p>
    <w:p>
      <w:pPr>
        <w:ind w:left="440" w:right="340" w:firstLine="391"/>
        <w:spacing w:after="0" w:line="291" w:lineRule="auto"/>
        <w:tabs>
          <w:tab w:leader="none" w:pos="1243"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Registration Statement or any amendment thereto (except for the financial statements and financial schedules and other financial and statistical data included therein and except for that part of the Registration Statement that constitutes the</w:t>
      </w:r>
    </w:p>
    <w:p>
      <w:pPr>
        <w:ind w:left="440"/>
        <w:spacing w:after="0" w:line="255" w:lineRule="auto"/>
        <w:rPr>
          <w:rFonts w:ascii="Arial" w:cs="Arial" w:eastAsia="Arial" w:hAnsi="Arial"/>
          <w:sz w:val="16"/>
          <w:szCs w:val="16"/>
          <w:color w:val="auto"/>
        </w:rPr>
      </w:pPr>
      <w:r>
        <w:rPr>
          <w:rFonts w:ascii="Arial" w:cs="Arial" w:eastAsia="Arial" w:hAnsi="Arial"/>
          <w:sz w:val="18"/>
          <w:szCs w:val="18"/>
          <w:color w:val="auto"/>
        </w:rPr>
        <w:t>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81" w:lineRule="exact"/>
        <w:rPr>
          <w:rFonts w:ascii="Arial" w:cs="Arial" w:eastAsia="Arial" w:hAnsi="Arial"/>
          <w:sz w:val="16"/>
          <w:szCs w:val="16"/>
          <w:color w:val="auto"/>
        </w:rPr>
      </w:pPr>
    </w:p>
    <w:p>
      <w:pPr>
        <w:ind w:left="440" w:right="40" w:firstLine="391"/>
        <w:spacing w:after="0" w:line="259" w:lineRule="auto"/>
        <w:tabs>
          <w:tab w:leader="none" w:pos="124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440" w:right="160" w:firstLine="391"/>
        <w:spacing w:after="0" w:line="301" w:lineRule="auto"/>
        <w:tabs>
          <w:tab w:leader="none" w:pos="1253"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20"/>
          </w:cols>
          <w:pgMar w:left="1420" w:top="274" w:right="459" w:bottom="1440" w:gutter="0" w:footer="0" w:header="0"/>
        </w:sectPr>
      </w:pPr>
    </w:p>
    <w:bookmarkStart w:id="20" w:name="page21"/>
    <w:bookmarkEnd w:id="20"/>
    <w:p>
      <w:pPr>
        <w:ind w:right="540" w:firstLine="419"/>
        <w:spacing w:after="0" w:line="277" w:lineRule="auto"/>
        <w:tabs>
          <w:tab w:leader="none" w:pos="799"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540" w:right="120" w:firstLine="408"/>
        <w:spacing w:after="0" w:line="263" w:lineRule="auto"/>
        <w:tabs>
          <w:tab w:leader="none" w:pos="1291"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5" w:lineRule="exact"/>
        <w:rPr>
          <w:rFonts w:ascii="Arial" w:cs="Arial" w:eastAsia="Arial" w:hAnsi="Arial"/>
          <w:sz w:val="18"/>
          <w:szCs w:val="18"/>
          <w:color w:val="auto"/>
        </w:rPr>
      </w:pPr>
    </w:p>
    <w:p>
      <w:pPr>
        <w:ind w:left="1340" w:hanging="392"/>
        <w:spacing w:after="0"/>
        <w:tabs>
          <w:tab w:leader="none" w:pos="1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Debt Securities are Offered Securities:</w:t>
      </w:r>
    </w:p>
    <w:p>
      <w:pPr>
        <w:spacing w:after="0" w:line="117" w:lineRule="exact"/>
        <w:rPr>
          <w:rFonts w:ascii="Arial" w:cs="Arial" w:eastAsia="Arial" w:hAnsi="Arial"/>
          <w:sz w:val="18"/>
          <w:szCs w:val="18"/>
          <w:color w:val="auto"/>
        </w:rPr>
      </w:pPr>
    </w:p>
    <w:p>
      <w:pPr>
        <w:ind w:left="980" w:right="40" w:firstLine="391"/>
        <w:spacing w:after="0" w:line="272" w:lineRule="auto"/>
        <w:tabs>
          <w:tab w:leader="none" w:pos="1793" w:val="left"/>
        </w:tabs>
        <w:numPr>
          <w:ilvl w:val="2"/>
          <w:numId w:val="8"/>
        </w:numPr>
        <w:rPr>
          <w:rFonts w:ascii="Arial" w:cs="Arial" w:eastAsia="Arial" w:hAnsi="Arial"/>
          <w:sz w:val="17"/>
          <w:szCs w:val="17"/>
          <w:color w:val="auto"/>
        </w:rPr>
      </w:pPr>
      <w:r>
        <w:rPr>
          <w:rFonts w:ascii="Arial" w:cs="Arial" w:eastAsia="Arial" w:hAnsi="Arial"/>
          <w:sz w:val="17"/>
          <w:szCs w:val="17"/>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69" w:lineRule="exact"/>
        <w:rPr>
          <w:rFonts w:ascii="Arial" w:cs="Arial" w:eastAsia="Arial" w:hAnsi="Arial"/>
          <w:sz w:val="17"/>
          <w:szCs w:val="17"/>
          <w:color w:val="auto"/>
        </w:rPr>
      </w:pPr>
    </w:p>
    <w:p>
      <w:pPr>
        <w:ind w:left="980" w:right="60" w:firstLine="391"/>
        <w:spacing w:after="0" w:line="277" w:lineRule="auto"/>
        <w:tabs>
          <w:tab w:leader="none" w:pos="1783"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62" w:lineRule="exact"/>
        <w:rPr>
          <w:rFonts w:ascii="Arial" w:cs="Arial" w:eastAsia="Arial" w:hAnsi="Arial"/>
          <w:sz w:val="18"/>
          <w:szCs w:val="18"/>
          <w:color w:val="auto"/>
        </w:rPr>
      </w:pPr>
    </w:p>
    <w:p>
      <w:pPr>
        <w:ind w:left="1800" w:hanging="429"/>
        <w:spacing w:after="0"/>
        <w:tabs>
          <w:tab w:leader="none" w:pos="180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 of 1939.</w:t>
      </w:r>
    </w:p>
    <w:p>
      <w:pPr>
        <w:spacing w:after="0" w:line="117" w:lineRule="exact"/>
        <w:rPr>
          <w:rFonts w:ascii="Arial" w:cs="Arial" w:eastAsia="Arial" w:hAnsi="Arial"/>
          <w:sz w:val="18"/>
          <w:szCs w:val="18"/>
          <w:color w:val="auto"/>
        </w:rPr>
      </w:pPr>
    </w:p>
    <w:p>
      <w:pPr>
        <w:ind w:left="1400" w:hanging="452"/>
        <w:spacing w:after="0"/>
        <w:tabs>
          <w:tab w:leader="none" w:pos="1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Warrants are Offered Securities:</w:t>
      </w:r>
    </w:p>
    <w:p>
      <w:pPr>
        <w:spacing w:after="0" w:line="117" w:lineRule="exact"/>
        <w:rPr>
          <w:rFonts w:ascii="Arial" w:cs="Arial" w:eastAsia="Arial" w:hAnsi="Arial"/>
          <w:sz w:val="18"/>
          <w:szCs w:val="18"/>
          <w:color w:val="auto"/>
        </w:rPr>
      </w:pPr>
    </w:p>
    <w:p>
      <w:pPr>
        <w:ind w:left="980" w:right="340" w:firstLine="391"/>
        <w:spacing w:after="0" w:line="259" w:lineRule="auto"/>
        <w:tabs>
          <w:tab w:leader="none" w:pos="1793" w:val="left"/>
        </w:tabs>
        <w:numPr>
          <w:ilvl w:val="2"/>
          <w:numId w:val="8"/>
        </w:numPr>
        <w:rPr>
          <w:rFonts w:ascii="Arial" w:cs="Arial" w:eastAsia="Arial" w:hAnsi="Arial"/>
          <w:sz w:val="18"/>
          <w:szCs w:val="18"/>
          <w:color w:val="auto"/>
        </w:rPr>
      </w:pPr>
      <w:r>
        <w:rPr>
          <w:rFonts w:ascii="Arial" w:cs="Arial" w:eastAsia="Arial" w:hAnsi="Arial"/>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78" w:lineRule="exact"/>
        <w:rPr>
          <w:rFonts w:ascii="Arial" w:cs="Arial" w:eastAsia="Arial" w:hAnsi="Arial"/>
          <w:sz w:val="18"/>
          <w:szCs w:val="18"/>
          <w:color w:val="auto"/>
        </w:rPr>
      </w:pPr>
    </w:p>
    <w:p>
      <w:pPr>
        <w:ind w:left="980" w:firstLine="391"/>
        <w:spacing w:after="0" w:line="277" w:lineRule="auto"/>
        <w:tabs>
          <w:tab w:leader="none" w:pos="1783"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80" w:top="274" w:right="499" w:bottom="1440" w:gutter="0" w:footer="0" w:header="0"/>
        </w:sectPr>
      </w:pPr>
    </w:p>
    <w:bookmarkStart w:id="21" w:name="page22"/>
    <w:bookmarkEnd w:id="21"/>
    <w:p>
      <w:pPr>
        <w:ind w:left="840" w:hanging="4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Units are Offered Securities:</w:t>
      </w:r>
    </w:p>
    <w:p>
      <w:pPr>
        <w:spacing w:after="0" w:line="117" w:lineRule="exact"/>
        <w:rPr>
          <w:rFonts w:ascii="Arial" w:cs="Arial" w:eastAsia="Arial" w:hAnsi="Arial"/>
          <w:sz w:val="18"/>
          <w:szCs w:val="18"/>
          <w:color w:val="auto"/>
        </w:rPr>
      </w:pPr>
    </w:p>
    <w:p>
      <w:pPr>
        <w:jc w:val="both"/>
        <w:ind w:left="440" w:right="100" w:firstLine="391"/>
        <w:spacing w:after="0" w:line="259" w:lineRule="auto"/>
        <w:tabs>
          <w:tab w:leader="none" w:pos="1253" w:val="left"/>
        </w:tabs>
        <w:numPr>
          <w:ilvl w:val="1"/>
          <w:numId w:val="9"/>
        </w:numPr>
        <w:rPr>
          <w:rFonts w:ascii="Arial" w:cs="Arial" w:eastAsia="Arial" w:hAnsi="Arial"/>
          <w:sz w:val="18"/>
          <w:szCs w:val="18"/>
          <w:color w:val="auto"/>
        </w:rPr>
      </w:pPr>
      <w:r>
        <w:rPr>
          <w:rFonts w:ascii="Arial" w:cs="Arial" w:eastAsia="Arial" w:hAnsi="Arial"/>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78" w:lineRule="exact"/>
        <w:rPr>
          <w:rFonts w:ascii="Arial" w:cs="Arial" w:eastAsia="Arial" w:hAnsi="Arial"/>
          <w:sz w:val="18"/>
          <w:szCs w:val="18"/>
          <w:color w:val="auto"/>
        </w:rPr>
      </w:pPr>
    </w:p>
    <w:p>
      <w:pPr>
        <w:ind w:left="440" w:right="300" w:firstLine="391"/>
        <w:spacing w:after="0" w:line="277" w:lineRule="auto"/>
        <w:tabs>
          <w:tab w:leader="none" w:pos="1243"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800" w:hanging="392"/>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120" w:firstLine="408"/>
        <w:spacing w:after="0" w:line="263" w:lineRule="auto"/>
        <w:tabs>
          <w:tab w:leader="none" w:pos="83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5" w:lineRule="exact"/>
        <w:rPr>
          <w:rFonts w:ascii="Arial" w:cs="Arial" w:eastAsia="Arial" w:hAnsi="Arial"/>
          <w:sz w:val="18"/>
          <w:szCs w:val="18"/>
          <w:color w:val="auto"/>
        </w:rPr>
      </w:pPr>
    </w:p>
    <w:p>
      <w:pPr>
        <w:ind w:right="100" w:firstLine="408"/>
        <w:spacing w:after="0" w:line="308" w:lineRule="auto"/>
        <w:tabs>
          <w:tab w:leader="none" w:pos="88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38" w:lineRule="exact"/>
        <w:rPr>
          <w:rFonts w:ascii="Arial" w:cs="Arial" w:eastAsia="Arial" w:hAnsi="Arial"/>
          <w:sz w:val="17"/>
          <w:szCs w:val="17"/>
          <w:color w:val="auto"/>
        </w:rPr>
      </w:pPr>
    </w:p>
    <w:p>
      <w:pPr>
        <w:ind w:left="940" w:hanging="5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Offered Securities that are convertible into or exercisable or exchangeable for other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Securities</w:t>
      </w:r>
      <w:r>
        <w:rPr>
          <w:rFonts w:ascii="Arial" w:cs="Arial" w:eastAsia="Arial" w:hAnsi="Arial"/>
          <w:sz w:val="18"/>
          <w:szCs w:val="18"/>
          <w:color w:val="auto"/>
        </w:rPr>
        <w:t>”), the Underlying Securities have been duly authorized and reserved for issuance.</w:t>
      </w:r>
    </w:p>
    <w:p>
      <w:pPr>
        <w:spacing w:after="0" w:line="103" w:lineRule="exact"/>
        <w:rPr>
          <w:sz w:val="20"/>
          <w:szCs w:val="20"/>
          <w:color w:val="auto"/>
        </w:rPr>
      </w:pPr>
    </w:p>
    <w:p>
      <w:pPr>
        <w:ind w:right="40" w:firstLine="408"/>
        <w:spacing w:after="0" w:line="311" w:lineRule="auto"/>
        <w:tabs>
          <w:tab w:leader="none" w:pos="8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40" w:lineRule="exact"/>
        <w:rPr>
          <w:rFonts w:ascii="Arial" w:cs="Arial" w:eastAsia="Arial" w:hAnsi="Arial"/>
          <w:sz w:val="16"/>
          <w:szCs w:val="16"/>
          <w:color w:val="auto"/>
        </w:rPr>
      </w:pPr>
    </w:p>
    <w:p>
      <w:pPr>
        <w:jc w:val="both"/>
        <w:ind w:firstLine="408"/>
        <w:spacing w:after="0" w:line="311" w:lineRule="auto"/>
        <w:tabs>
          <w:tab w:leader="none" w:pos="7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40" w:lineRule="exact"/>
        <w:rPr>
          <w:rFonts w:ascii="Arial" w:cs="Arial" w:eastAsia="Arial" w:hAnsi="Arial"/>
          <w:sz w:val="16"/>
          <w:szCs w:val="16"/>
          <w:color w:val="auto"/>
        </w:rPr>
      </w:pPr>
    </w:p>
    <w:p>
      <w:pPr>
        <w:jc w:val="both"/>
        <w:ind w:right="80" w:firstLine="408"/>
        <w:spacing w:after="0" w:line="263" w:lineRule="auto"/>
        <w:tabs>
          <w:tab w:leader="none" w:pos="8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w:t>
      </w:r>
    </w:p>
    <w:p>
      <w:pPr>
        <w:spacing w:after="0" w:line="1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1420" w:top="274" w:right="459" w:bottom="1440" w:gutter="0" w:footer="0" w:header="0"/>
        </w:sectPr>
      </w:pPr>
    </w:p>
    <w:bookmarkStart w:id="22" w:name="page23"/>
    <w:bookmarkEnd w:id="22"/>
    <w:p>
      <w:pPr>
        <w:ind w:left="980"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need not express any opinion) appear on their face to be appropriately responsive in all material respects to the requirements of the Securities Act and the applicable rules and regulations of the Commission thereunder.</w:t>
      </w:r>
    </w:p>
    <w:p>
      <w:pPr>
        <w:spacing w:after="0" w:line="62" w:lineRule="exact"/>
        <w:rPr>
          <w:sz w:val="20"/>
          <w:szCs w:val="20"/>
          <w:color w:val="auto"/>
        </w:rPr>
      </w:pPr>
    </w:p>
    <w:p>
      <w:pPr>
        <w:ind w:left="980" w:right="180" w:firstLine="408"/>
        <w:spacing w:after="0" w:line="277" w:lineRule="auto"/>
        <w:tabs>
          <w:tab w:leader="none" w:pos="18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1420" w:right="20" w:firstLine="391"/>
        <w:spacing w:after="0" w:line="293" w:lineRule="auto"/>
        <w:tabs>
          <w:tab w:leader="none" w:pos="2233"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56" w:lineRule="exact"/>
        <w:rPr>
          <w:rFonts w:ascii="Arial" w:cs="Arial" w:eastAsia="Arial" w:hAnsi="Arial"/>
          <w:sz w:val="16"/>
          <w:szCs w:val="16"/>
          <w:color w:val="auto"/>
        </w:rPr>
      </w:pPr>
    </w:p>
    <w:p>
      <w:pPr>
        <w:ind w:left="1420" w:right="40" w:firstLine="391"/>
        <w:spacing w:after="0" w:line="259" w:lineRule="auto"/>
        <w:tabs>
          <w:tab w:leader="none" w:pos="2223"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1420" w:firstLine="391"/>
        <w:spacing w:after="0" w:line="301" w:lineRule="auto"/>
        <w:tabs>
          <w:tab w:leader="none" w:pos="2223"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49" w:lineRule="exact"/>
        <w:rPr>
          <w:rFonts w:ascii="Arial" w:cs="Arial" w:eastAsia="Arial" w:hAnsi="Arial"/>
          <w:sz w:val="16"/>
          <w:szCs w:val="16"/>
          <w:color w:val="auto"/>
        </w:rPr>
      </w:pPr>
    </w:p>
    <w:p>
      <w:pPr>
        <w:ind w:left="980" w:right="200" w:firstLine="408"/>
        <w:spacing w:after="0" w:line="277" w:lineRule="auto"/>
        <w:tabs>
          <w:tab w:leader="none" w:pos="191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440" w:right="300" w:firstLine="419"/>
        <w:spacing w:after="0" w:line="277" w:lineRule="auto"/>
        <w:tabs>
          <w:tab w:leader="none" w:pos="1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its own counsel, in a form acceptable to the Manager, dated the Closing Date.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3" w:name="page24"/>
    <w:bookmarkEnd w:id="2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80" w:lineRule="exact"/>
        <w:rPr>
          <w:sz w:val="20"/>
          <w:szCs w:val="20"/>
          <w:color w:val="auto"/>
        </w:rPr>
      </w:pPr>
    </w:p>
    <w:p>
      <w:pPr>
        <w:ind w:left="440" w:firstLine="419"/>
        <w:spacing w:after="0" w:line="279" w:lineRule="auto"/>
        <w:tabs>
          <w:tab w:leader="none" w:pos="123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63" w:lineRule="exact"/>
        <w:rPr>
          <w:rFonts w:ascii="Arial" w:cs="Arial" w:eastAsia="Arial" w:hAnsi="Arial"/>
          <w:sz w:val="17"/>
          <w:szCs w:val="17"/>
          <w:color w:val="auto"/>
        </w:rPr>
      </w:pPr>
    </w:p>
    <w:p>
      <w:pPr>
        <w:ind w:left="440" w:right="120" w:firstLine="419"/>
        <w:spacing w:after="0" w:line="301" w:lineRule="auto"/>
        <w:tabs>
          <w:tab w:leader="none" w:pos="12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49" w:lineRule="exact"/>
        <w:rPr>
          <w:rFonts w:ascii="Arial" w:cs="Arial" w:eastAsia="Arial" w:hAnsi="Arial"/>
          <w:sz w:val="16"/>
          <w:szCs w:val="16"/>
          <w:color w:val="auto"/>
        </w:rPr>
      </w:pPr>
    </w:p>
    <w:p>
      <w:pPr>
        <w:ind w:left="440" w:right="120" w:firstLine="419"/>
        <w:spacing w:after="0" w:line="279" w:lineRule="auto"/>
        <w:tabs>
          <w:tab w:leader="none" w:pos="12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440" w:right="40" w:firstLine="419"/>
        <w:spacing w:after="0" w:line="311" w:lineRule="auto"/>
        <w:tabs>
          <w:tab w:leader="none" w:pos="12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40" w:lineRule="exact"/>
        <w:rPr>
          <w:rFonts w:ascii="Arial" w:cs="Arial" w:eastAsia="Arial" w:hAnsi="Arial"/>
          <w:sz w:val="16"/>
          <w:szCs w:val="16"/>
          <w:color w:val="auto"/>
        </w:rPr>
      </w:pPr>
    </w:p>
    <w:p>
      <w:pPr>
        <w:ind w:left="440" w:right="60" w:firstLine="419"/>
        <w:spacing w:after="0" w:line="259" w:lineRule="auto"/>
        <w:tabs>
          <w:tab w:leader="none" w:pos="12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4" w:name="page25"/>
    <w:bookmarkEnd w:id="24"/>
    <w:p>
      <w:pPr>
        <w:ind w:right="60" w:firstLine="419"/>
        <w:spacing w:after="0" w:line="277" w:lineRule="auto"/>
        <w:tabs>
          <w:tab w:leader="none" w:pos="803"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filing, using or referring to any free writing prospectus relating to the Offered Securities, to furnish the Manager a copy of each such free writing prospectus.</w:t>
      </w:r>
    </w:p>
    <w:p>
      <w:pPr>
        <w:spacing w:after="0" w:line="62" w:lineRule="exact"/>
        <w:rPr>
          <w:rFonts w:ascii="Arial" w:cs="Arial" w:eastAsia="Arial" w:hAnsi="Arial"/>
          <w:sz w:val="18"/>
          <w:szCs w:val="18"/>
          <w:color w:val="auto"/>
        </w:rPr>
      </w:pPr>
    </w:p>
    <w:p>
      <w:pPr>
        <w:ind w:right="200" w:firstLine="419"/>
        <w:spacing w:after="0" w:line="263" w:lineRule="auto"/>
        <w:tabs>
          <w:tab w:leader="none" w:pos="8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5" w:lineRule="exact"/>
        <w:rPr>
          <w:rFonts w:ascii="Arial" w:cs="Arial" w:eastAsia="Arial" w:hAnsi="Arial"/>
          <w:sz w:val="18"/>
          <w:szCs w:val="18"/>
          <w:color w:val="auto"/>
        </w:rPr>
      </w:pPr>
    </w:p>
    <w:p>
      <w:pPr>
        <w:ind w:firstLine="419"/>
        <w:spacing w:after="0" w:line="269" w:lineRule="auto"/>
        <w:tabs>
          <w:tab w:leader="none" w:pos="803"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77" w:lineRule="exact"/>
        <w:rPr>
          <w:rFonts w:ascii="Arial" w:cs="Arial" w:eastAsia="Arial" w:hAnsi="Arial"/>
          <w:sz w:val="17"/>
          <w:szCs w:val="17"/>
          <w:color w:val="auto"/>
        </w:rPr>
      </w:pPr>
    </w:p>
    <w:p>
      <w:pPr>
        <w:ind w:firstLine="419"/>
        <w:spacing w:after="0" w:line="287" w:lineRule="auto"/>
        <w:tabs>
          <w:tab w:leader="none" w:pos="7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25" w:name="page26"/>
    <w:bookmarkEnd w:id="25"/>
    <w:p>
      <w:pPr>
        <w:ind w:right="340" w:firstLine="419"/>
        <w:spacing w:after="0" w:line="342" w:lineRule="auto"/>
        <w:tabs>
          <w:tab w:leader="none" w:pos="809"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5" w:lineRule="exact"/>
        <w:rPr>
          <w:rFonts w:ascii="Arial" w:cs="Arial" w:eastAsia="Arial" w:hAnsi="Arial"/>
          <w:sz w:val="16"/>
          <w:szCs w:val="16"/>
          <w:color w:val="auto"/>
        </w:rPr>
      </w:pPr>
    </w:p>
    <w:p>
      <w:pPr>
        <w:ind w:right="60" w:firstLine="419"/>
        <w:spacing w:after="0" w:line="279" w:lineRule="auto"/>
        <w:tabs>
          <w:tab w:leader="none" w:pos="80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63" w:lineRule="exact"/>
        <w:rPr>
          <w:rFonts w:ascii="Arial" w:cs="Arial" w:eastAsia="Arial" w:hAnsi="Arial"/>
          <w:sz w:val="17"/>
          <w:szCs w:val="17"/>
          <w:color w:val="auto"/>
        </w:rPr>
      </w:pPr>
    </w:p>
    <w:p>
      <w:pPr>
        <w:ind w:right="40" w:firstLine="419"/>
        <w:spacing w:after="0" w:line="259" w:lineRule="auto"/>
        <w:tabs>
          <w:tab w:leader="none" w:pos="7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right="260" w:firstLine="419"/>
        <w:spacing w:after="0" w:line="259" w:lineRule="auto"/>
        <w:tabs>
          <w:tab w:leader="none" w:pos="7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380" w:firstLine="419"/>
        <w:spacing w:after="0" w:line="277" w:lineRule="auto"/>
        <w:tabs>
          <w:tab w:leader="none" w:pos="8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19"/>
        <w:spacing w:after="0" w:line="269" w:lineRule="auto"/>
        <w:tabs>
          <w:tab w:leader="none" w:pos="7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26" w:name="page27"/>
    <w:bookmarkEnd w:id="26"/>
    <w:p>
      <w:pPr>
        <w:ind w:left="4"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57" w:lineRule="exact"/>
        <w:rPr>
          <w:sz w:val="20"/>
          <w:szCs w:val="20"/>
          <w:color w:val="auto"/>
        </w:rPr>
      </w:pPr>
    </w:p>
    <w:p>
      <w:pPr>
        <w:ind w:left="4" w:firstLine="419"/>
        <w:spacing w:after="0" w:line="275" w:lineRule="auto"/>
        <w:tabs>
          <w:tab w:leader="none" w:pos="866" w:val="left"/>
        </w:tabs>
        <w:numPr>
          <w:ilvl w:val="1"/>
          <w:numId w:val="17"/>
        </w:numPr>
        <w:rPr>
          <w:rFonts w:ascii="Arial" w:cs="Arial" w:eastAsia="Arial" w:hAnsi="Arial"/>
          <w:sz w:val="17"/>
          <w:szCs w:val="17"/>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68" w:lineRule="exact"/>
        <w:rPr>
          <w:rFonts w:ascii="Arial" w:cs="Arial" w:eastAsia="Arial" w:hAnsi="Arial"/>
          <w:sz w:val="17"/>
          <w:szCs w:val="17"/>
          <w:color w:val="auto"/>
        </w:rPr>
      </w:pPr>
    </w:p>
    <w:p>
      <w:pPr>
        <w:ind w:left="4" w:right="20" w:firstLine="419"/>
        <w:spacing w:after="0" w:line="284" w:lineRule="auto"/>
        <w:tabs>
          <w:tab w:leader="none" w:pos="816" w:val="left"/>
        </w:tabs>
        <w:numPr>
          <w:ilvl w:val="1"/>
          <w:numId w:val="17"/>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w:t>
      </w:r>
    </w:p>
    <w:p>
      <w:pPr>
        <w:spacing w:after="0" w:line="4" w:lineRule="exact"/>
        <w:rPr>
          <w:rFonts w:ascii="Arial" w:cs="Arial" w:eastAsia="Arial" w:hAnsi="Arial"/>
          <w:sz w:val="16"/>
          <w:szCs w:val="16"/>
          <w:color w:val="auto"/>
        </w:rPr>
      </w:pPr>
    </w:p>
    <w:p>
      <w:pPr>
        <w:ind w:left="4" w:hanging="4"/>
        <w:spacing w:after="0" w:line="286" w:lineRule="auto"/>
        <w:tabs>
          <w:tab w:leader="none" w:pos="2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02"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24"/>
          </w:cols>
          <w:pgMar w:left="876" w:top="274" w:right="49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left="440" w:firstLine="419"/>
        <w:spacing w:after="0" w:line="301" w:lineRule="auto"/>
        <w:tabs>
          <w:tab w:leader="none" w:pos="123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49" w:lineRule="exact"/>
        <w:rPr>
          <w:rFonts w:ascii="Arial" w:cs="Arial" w:eastAsia="Arial" w:hAnsi="Arial"/>
          <w:sz w:val="16"/>
          <w:szCs w:val="16"/>
          <w:color w:val="auto"/>
        </w:rPr>
      </w:pPr>
    </w:p>
    <w:p>
      <w:pPr>
        <w:ind w:left="440" w:firstLine="419"/>
        <w:spacing w:after="0" w:line="285" w:lineRule="auto"/>
        <w:tabs>
          <w:tab w:leader="none" w:pos="125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276" w:lineRule="exact"/>
        <w:rPr>
          <w:rFonts w:ascii="Arial" w:cs="Arial" w:eastAsia="Arial" w:hAnsi="Arial"/>
          <w:sz w:val="16"/>
          <w:szCs w:val="16"/>
          <w:color w:val="auto"/>
        </w:rPr>
      </w:pPr>
    </w:p>
    <w:p>
      <w:pPr>
        <w:ind w:left="440" w:right="40" w:firstLine="419"/>
        <w:spacing w:after="0" w:line="279" w:lineRule="auto"/>
        <w:tabs>
          <w:tab w:leader="none" w:pos="123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80" w:lineRule="exact"/>
        <w:rPr>
          <w:sz w:val="20"/>
          <w:szCs w:val="20"/>
          <w:color w:val="auto"/>
        </w:rPr>
      </w:pPr>
    </w:p>
    <w:p>
      <w:pPr>
        <w:ind w:right="20" w:firstLine="419"/>
        <w:spacing w:after="0" w:line="257" w:lineRule="auto"/>
        <w:tabs>
          <w:tab w:leader="none" w:pos="8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79" w:lineRule="exact"/>
        <w:rPr>
          <w:rFonts w:ascii="Arial" w:cs="Arial" w:eastAsia="Arial" w:hAnsi="Arial"/>
          <w:sz w:val="18"/>
          <w:szCs w:val="18"/>
          <w:color w:val="auto"/>
        </w:rPr>
      </w:pPr>
    </w:p>
    <w:p>
      <w:pPr>
        <w:ind w:right="280" w:firstLine="419"/>
        <w:spacing w:after="0" w:line="263"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5" w:lineRule="exact"/>
        <w:rPr>
          <w:rFonts w:ascii="Arial" w:cs="Arial" w:eastAsia="Arial" w:hAnsi="Arial"/>
          <w:sz w:val="18"/>
          <w:szCs w:val="18"/>
          <w:color w:val="auto"/>
        </w:rPr>
      </w:pPr>
    </w:p>
    <w:p>
      <w:pPr>
        <w:ind w:right="120" w:firstLine="419"/>
        <w:spacing w:after="0" w:line="255" w:lineRule="auto"/>
        <w:tabs>
          <w:tab w:leader="none" w:pos="7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84" w:lineRule="exact"/>
        <w:rPr>
          <w:rFonts w:ascii="Arial" w:cs="Arial" w:eastAsia="Arial" w:hAnsi="Arial"/>
          <w:sz w:val="18"/>
          <w:szCs w:val="18"/>
          <w:color w:val="auto"/>
        </w:rPr>
      </w:pPr>
    </w:p>
    <w:p>
      <w:pPr>
        <w:ind w:right="140" w:firstLine="419"/>
        <w:spacing w:after="0" w:line="275" w:lineRule="auto"/>
        <w:tabs>
          <w:tab w:leader="none" w:pos="8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68" w:lineRule="exact"/>
        <w:rPr>
          <w:rFonts w:ascii="Arial" w:cs="Arial" w:eastAsia="Arial" w:hAnsi="Arial"/>
          <w:sz w:val="17"/>
          <w:szCs w:val="17"/>
          <w:color w:val="auto"/>
        </w:rPr>
      </w:pPr>
    </w:p>
    <w:p>
      <w:pPr>
        <w:ind w:right="240" w:firstLine="419"/>
        <w:spacing w:after="0" w:line="263" w:lineRule="auto"/>
        <w:tabs>
          <w:tab w:leader="none" w:pos="8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29" w:name="page30"/>
    <w:bookmarkEnd w:id="29"/>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76" w:lineRule="exact"/>
        <w:rPr>
          <w:sz w:val="20"/>
          <w:szCs w:val="20"/>
          <w:color w:val="auto"/>
        </w:rPr>
      </w:pPr>
    </w:p>
    <w:p>
      <w:pPr>
        <w:ind w:left="764" w:hanging="341"/>
        <w:spacing w:after="0"/>
        <w:tabs>
          <w:tab w:leader="none" w:pos="7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4" w:firstLine="419"/>
        <w:spacing w:after="0" w:line="285" w:lineRule="auto"/>
        <w:tabs>
          <w:tab w:leader="none" w:pos="773"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w:t>
      </w:r>
    </w:p>
    <w:p>
      <w:pPr>
        <w:spacing w:after="0" w:line="1" w:lineRule="exact"/>
        <w:rPr>
          <w:rFonts w:ascii="Arial" w:cs="Arial" w:eastAsia="Arial" w:hAnsi="Arial"/>
          <w:sz w:val="16"/>
          <w:szCs w:val="16"/>
          <w:color w:val="auto"/>
        </w:rPr>
      </w:pPr>
    </w:p>
    <w:p>
      <w:pPr>
        <w:ind w:left="4" w:right="360" w:hanging="4"/>
        <w:spacing w:after="0" w:line="260"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above, for any such default or violation that would not, individually or in the aggregate, reasonably be expected to have a material adverse effect on the Company and its subsidiaries, taken as a whole.</w:t>
      </w:r>
    </w:p>
    <w:p>
      <w:pPr>
        <w:spacing w:after="0" w:line="77" w:lineRule="exact"/>
        <w:rPr>
          <w:rFonts w:ascii="Arial" w:cs="Arial" w:eastAsia="Arial" w:hAnsi="Arial"/>
          <w:sz w:val="18"/>
          <w:szCs w:val="18"/>
          <w:color w:val="auto"/>
        </w:rPr>
      </w:pPr>
    </w:p>
    <w:p>
      <w:pPr>
        <w:ind w:left="4" w:firstLine="419"/>
        <w:spacing w:after="0" w:line="255" w:lineRule="auto"/>
        <w:tabs>
          <w:tab w:leader="none" w:pos="81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84" w:lineRule="exact"/>
        <w:rPr>
          <w:rFonts w:ascii="Arial" w:cs="Arial" w:eastAsia="Arial" w:hAnsi="Arial"/>
          <w:sz w:val="18"/>
          <w:szCs w:val="18"/>
          <w:color w:val="auto"/>
        </w:rPr>
      </w:pPr>
    </w:p>
    <w:p>
      <w:pPr>
        <w:ind w:left="4" w:right="20" w:firstLine="419"/>
        <w:spacing w:after="0" w:line="263" w:lineRule="auto"/>
        <w:tabs>
          <w:tab w:leader="none" w:pos="7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75" w:lineRule="exact"/>
        <w:rPr>
          <w:rFonts w:ascii="Arial" w:cs="Arial" w:eastAsia="Arial" w:hAnsi="Arial"/>
          <w:sz w:val="18"/>
          <w:szCs w:val="18"/>
          <w:color w:val="auto"/>
        </w:rPr>
      </w:pPr>
    </w:p>
    <w:p>
      <w:pPr>
        <w:ind w:left="4" w:right="280" w:firstLine="419"/>
        <w:spacing w:after="0" w:line="263" w:lineRule="auto"/>
        <w:tabs>
          <w:tab w:leader="none" w:pos="8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5" w:lineRule="exact"/>
        <w:rPr>
          <w:rFonts w:ascii="Arial" w:cs="Arial" w:eastAsia="Arial" w:hAnsi="Arial"/>
          <w:sz w:val="18"/>
          <w:szCs w:val="18"/>
          <w:color w:val="auto"/>
        </w:rPr>
      </w:pPr>
    </w:p>
    <w:p>
      <w:pPr>
        <w:ind w:left="4" w:right="60" w:firstLine="419"/>
        <w:spacing w:after="0" w:line="275" w:lineRule="auto"/>
        <w:tabs>
          <w:tab w:leader="none" w:pos="813"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10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274" w:right="459" w:bottom="1440" w:gutter="0" w:footer="0" w:header="0"/>
        </w:sectPr>
      </w:pPr>
    </w:p>
    <w:bookmarkStart w:id="30" w:name="page31"/>
    <w:bookmarkEnd w:id="30"/>
    <w:p>
      <w:pPr>
        <w:ind w:left="440" w:right="80" w:firstLine="419"/>
        <w:spacing w:after="0" w:line="263" w:lineRule="auto"/>
        <w:tabs>
          <w:tab w:leader="none" w:pos="1253"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5" w:lineRule="exact"/>
        <w:rPr>
          <w:rFonts w:ascii="Arial" w:cs="Arial" w:eastAsia="Arial" w:hAnsi="Arial"/>
          <w:sz w:val="18"/>
          <w:szCs w:val="18"/>
          <w:color w:val="auto"/>
        </w:rPr>
      </w:pPr>
    </w:p>
    <w:p>
      <w:pPr>
        <w:ind w:left="440" w:right="340" w:firstLine="419"/>
        <w:spacing w:after="0" w:line="263" w:lineRule="auto"/>
        <w:tabs>
          <w:tab w:leader="none" w:pos="1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1" w:name="page32"/>
    <w:bookmarkEnd w:id="31"/>
    <w:p>
      <w:pPr>
        <w:ind w:left="4"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2"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w:t>
      </w:r>
    </w:p>
    <w:p>
      <w:pPr>
        <w:spacing w:after="0" w:line="1" w:lineRule="exact"/>
        <w:rPr>
          <w:sz w:val="20"/>
          <w:szCs w:val="20"/>
          <w:color w:val="auto"/>
        </w:rPr>
      </w:pPr>
    </w:p>
    <w:p>
      <w:pPr>
        <w:ind w:left="4" w:hanging="4"/>
        <w:spacing w:after="0" w:line="268" w:lineRule="auto"/>
        <w:tabs>
          <w:tab w:leader="none" w:pos="269"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2" w:name="page33"/>
    <w:bookmarkEnd w:id="3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8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jc w:val="both"/>
        <w:ind w:left="440" w:right="100" w:firstLine="419"/>
        <w:spacing w:after="0" w:line="263" w:lineRule="auto"/>
        <w:tabs>
          <w:tab w:leader="none" w:pos="12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8"/>
          <w:szCs w:val="18"/>
          <w:color w:val="auto"/>
        </w:rPr>
      </w:pPr>
    </w:p>
    <w:p>
      <w:pPr>
        <w:ind w:left="440" w:firstLine="419"/>
        <w:spacing w:after="0" w:line="254" w:lineRule="auto"/>
        <w:tabs>
          <w:tab w:leader="none" w:pos="12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VIII.</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IX.</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8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34" w:name="page35"/>
    <w:bookmarkEnd w:id="34"/>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6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58" w:lineRule="exact"/>
        <w:rPr>
          <w:sz w:val="20"/>
          <w:szCs w:val="20"/>
          <w:color w:val="auto"/>
        </w:rPr>
      </w:pPr>
    </w:p>
    <w:p>
      <w:pPr>
        <w:ind w:left="1240" w:hanging="381"/>
        <w:spacing w:after="0"/>
        <w:tabs>
          <w:tab w:leader="none" w:pos="12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“BHC Act Affiliate” has the meaning assigned to the term “affiliate” in, and shall be interpreted in accordance with, 12 U.S.C. §</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1841(k);</w:t>
      </w:r>
    </w:p>
    <w:p>
      <w:pPr>
        <w:spacing w:after="0" w:line="102" w:lineRule="exact"/>
        <w:rPr>
          <w:rFonts w:ascii="Arial" w:cs="Arial" w:eastAsia="Arial" w:hAnsi="Arial"/>
          <w:sz w:val="17"/>
          <w:szCs w:val="17"/>
          <w:color w:val="auto"/>
        </w:rPr>
      </w:pPr>
    </w:p>
    <w:p>
      <w:pPr>
        <w:ind w:left="440" w:right="220" w:firstLine="419"/>
        <w:spacing w:after="0" w:line="263" w:lineRule="auto"/>
        <w:tabs>
          <w:tab w:leader="none" w:pos="12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75" w:lineRule="exact"/>
        <w:rPr>
          <w:rFonts w:ascii="Arial" w:cs="Arial" w:eastAsia="Arial" w:hAnsi="Arial"/>
          <w:sz w:val="18"/>
          <w:szCs w:val="18"/>
          <w:color w:val="auto"/>
        </w:rPr>
      </w:pPr>
    </w:p>
    <w:p>
      <w:pPr>
        <w:ind w:left="440" w:right="380" w:firstLine="419"/>
        <w:spacing w:after="0" w:line="277" w:lineRule="auto"/>
        <w:tabs>
          <w:tab w:leader="none" w:pos="12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“Default Right” has the meaning assigned to that term in, and shall be interpreted in accordance with, 12 C.F.R. §§ 252.81, 47.2 or 382.1, as applicable; and</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35" w:name="page36"/>
    <w:bookmarkEnd w:id="35"/>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5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right="80"/>
        <w:spacing w:after="0" w:line="449"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21</w:t>
      </w:r>
    </w:p>
    <w:p>
      <w:pPr>
        <w:sectPr>
          <w:pgSz w:w="11900" w:h="16838" w:orient="portrait"/>
          <w:cols w:equalWidth="0" w:num="1">
            <w:col w:w="10960"/>
          </w:cols>
          <w:pgMar w:left="440" w:top="274" w:right="4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15, 2021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Trustee is the trustee for any and all securities issued under the Indenture. Pursuant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Section 2.04(c) of the Indenture, the undersigned officers do hereby certify, in connection with the issuance of $500,000,000 aggregate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of 1.125% Notes due 2026 (the “</w:t>
      </w:r>
      <w:r>
        <w:rPr>
          <w:rFonts w:ascii="Arial" w:cs="Arial" w:eastAsia="Arial" w:hAnsi="Arial"/>
          <w:sz w:val="16"/>
          <w:szCs w:val="16"/>
          <w:b w:val="1"/>
          <w:bCs w:val="1"/>
          <w:color w:val="auto"/>
        </w:rPr>
        <w:t>2026 Notes</w:t>
      </w:r>
      <w:r>
        <w:rPr>
          <w:rFonts w:ascii="Arial" w:cs="Arial" w:eastAsia="Arial" w:hAnsi="Arial"/>
          <w:sz w:val="16"/>
          <w:szCs w:val="16"/>
          <w:color w:val="auto"/>
        </w:rPr>
        <w:t>”), $500,000,000 aggregate principal amount of 1.900% Notes due 2031 (the “</w:t>
      </w:r>
      <w:r>
        <w:rPr>
          <w:rFonts w:ascii="Arial" w:cs="Arial" w:eastAsia="Arial" w:hAnsi="Arial"/>
          <w:sz w:val="16"/>
          <w:szCs w:val="16"/>
          <w:b w:val="1"/>
          <w:bCs w:val="1"/>
          <w:color w:val="auto"/>
        </w:rPr>
        <w:t>2031 Notes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$500,000,000 aggregate principal amount of 2.700% Notes due 2051 (the “</w:t>
      </w:r>
      <w:r>
        <w:rPr>
          <w:rFonts w:ascii="Arial" w:cs="Arial" w:eastAsia="Arial" w:hAnsi="Arial"/>
          <w:sz w:val="16"/>
          <w:szCs w:val="16"/>
          <w:b w:val="1"/>
          <w:bCs w:val="1"/>
          <w:color w:val="auto"/>
        </w:rPr>
        <w:t>2051 Notes</w:t>
      </w:r>
      <w:r>
        <w:rPr>
          <w:rFonts w:ascii="Arial" w:cs="Arial" w:eastAsia="Arial" w:hAnsi="Arial"/>
          <w:sz w:val="16"/>
          <w:szCs w:val="16"/>
          <w:color w:val="auto"/>
        </w:rPr>
        <w:t>” and, together with the 2026 Notes and the 2031 Notes,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that (i) the form and terms of the Notes have been established pursuant to Section 2.01 and Section 2.03 of the Indenture and comply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 and (ii) the terms of the Notes are as follows: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ectPr>
          <w:pgSz w:w="11900" w:h="16838" w:orient="portrait"/>
          <w:cols w:equalWidth="0" w:num="1">
            <w:col w:w="11020"/>
          </w:cols>
          <w:pgMar w:left="440" w:top="121" w:right="43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2026 Notes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1.125% Notes due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1.125%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 commencing on March 15, 2022.</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Prior to August 15, 2026 (the date that is one month prior to the maturity date of the 2026 Notes), the Issuer may at its option redeem the 2026 Notes, in whole or in part at any time, or from time to time, on at least 15 days</w:t>
      </w:r>
    </w:p>
    <w:p>
      <w:pPr>
        <w:sectPr>
          <w:pgSz w:w="11900" w:h="16838" w:orient="portrait"/>
          <w:cols w:equalWidth="0" w:num="2">
            <w:col w:w="2980" w:space="440"/>
            <w:col w:w="7600"/>
          </w:cols>
          <w:pgMar w:left="440" w:top="121" w:right="439" w:bottom="1440" w:gutter="0" w:footer="0" w:header="0"/>
          <w:type w:val="continuous"/>
        </w:sectPr>
      </w:pPr>
    </w:p>
    <w:bookmarkStart w:id="37" w:name="page38"/>
    <w:bookmarkEnd w:id="37"/>
    <w:p>
      <w:pPr>
        <w:ind w:left="242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but not more than 60 days prior notice mailed to the registered address of each holder of the 2026 Notes, at a redemption price, calculated by the Issuer, equal to the greater of:</w:t>
      </w:r>
    </w:p>
    <w:p>
      <w:pPr>
        <w:spacing w:after="0" w:line="76" w:lineRule="exact"/>
        <w:rPr>
          <w:sz w:val="20"/>
          <w:szCs w:val="20"/>
          <w:color w:val="auto"/>
        </w:rPr>
      </w:pPr>
    </w:p>
    <w:p>
      <w:pPr>
        <w:ind w:left="2620" w:hanging="209"/>
        <w:spacing w:after="0"/>
        <w:tabs>
          <w:tab w:leader="none" w:pos="2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 of the principal amount of the 2026 Notes to be redeemed; and</w:t>
      </w:r>
    </w:p>
    <w:p>
      <w:pPr>
        <w:spacing w:after="0" w:line="130" w:lineRule="exact"/>
        <w:rPr>
          <w:rFonts w:ascii="Arial" w:cs="Arial" w:eastAsia="Arial" w:hAnsi="Arial"/>
          <w:sz w:val="18"/>
          <w:szCs w:val="18"/>
          <w:color w:val="auto"/>
        </w:rPr>
      </w:pPr>
    </w:p>
    <w:p>
      <w:pPr>
        <w:ind w:left="2420" w:hanging="9"/>
        <w:spacing w:after="0" w:line="255" w:lineRule="auto"/>
        <w:tabs>
          <w:tab w:leader="none" w:pos="26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sum of the present values of the principal amount of such 2026 Notes and the scheduled payments of interest thereon (not including any portion of such payments of interest accrued as of the date of redemption) from the date of redemption to August 15, 2026 (the date that is one month prior to the maturity date of the 2026 Notes), in each case discounted to the date of redemption on a semi-annual basis (assuming a 360-day year consisting of twelve 30-day months) at the Treasury Rate (as defined in the 2026 Notes), plus 5 basis points;</w:t>
      </w:r>
    </w:p>
    <w:p>
      <w:pPr>
        <w:spacing w:after="0" w:line="9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left="2420" w:right="40"/>
        <w:spacing w:after="0" w:line="275" w:lineRule="auto"/>
        <w:rPr>
          <w:sz w:val="20"/>
          <w:szCs w:val="20"/>
          <w:color w:val="auto"/>
        </w:rPr>
      </w:pPr>
      <w:r>
        <w:rPr>
          <w:rFonts w:ascii="Arial" w:cs="Arial" w:eastAsia="Arial" w:hAnsi="Arial"/>
          <w:sz w:val="17"/>
          <w:szCs w:val="17"/>
          <w:color w:val="auto"/>
        </w:rPr>
        <w:t>At any time on or after August 15, 2026 (the date that is one month prior to the maturity date of the 2026 Notes), the Issuer may at its option redeem the 2026 Notes, in whole or in part at any time and from time to time, on at least 15 days but not more than 60 days prior notice mailed to the registered address of each holder of the 2026 Notes, at a redemption price equal to 100% of the principal amount of the 2026 Notes to be redeemed plus accrued interest thereon to the date of redemption.</w:t>
      </w:r>
    </w:p>
    <w:p>
      <w:pPr>
        <w:spacing w:after="0" w:line="82" w:lineRule="exact"/>
        <w:rPr>
          <w:sz w:val="20"/>
          <w:szCs w:val="20"/>
          <w:color w:val="auto"/>
        </w:rPr>
      </w:pPr>
    </w:p>
    <w:p>
      <w:pPr>
        <w:ind w:left="2420" w:right="60"/>
        <w:spacing w:after="0" w:line="270" w:lineRule="auto"/>
        <w:rPr>
          <w:sz w:val="20"/>
          <w:szCs w:val="20"/>
          <w:color w:val="auto"/>
        </w:rPr>
      </w:pPr>
      <w:r>
        <w:rPr>
          <w:rFonts w:ascii="Arial" w:cs="Arial" w:eastAsia="Arial" w:hAnsi="Arial"/>
          <w:sz w:val="17"/>
          <w:szCs w:val="17"/>
          <w:color w:val="auto"/>
        </w:rPr>
        <w:t>The Issuer will deliver to the Trustee at least 15 days prior to the date on which notice of a redemption is mailed to holders of the 2026 Notes (unless a shorter time period shall be acceptable to the Trustee) an Officers’ Certificate stating the aggregate principal amount of 2026 Notes to be redeemed. Notice of any redemption of 2026 Notes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ectPr>
          <w:pgSz w:w="11900" w:h="16838" w:orient="portrait"/>
          <w:cols w:equalWidth="0" w:num="1">
            <w:col w:w="10000"/>
          </w:cols>
          <w:pgMar w:left="1440" w:top="274" w:right="45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Sinking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2031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If less than all the 2026 Notes are to be redeemed, the Trustee shall select, in such manner as it shall deem appropriate and fair, the 2026 Notes to be redeemed in whole or in part. 2026 Notes shall be excluded from eligibility for selection for redemption if they are identified by registration and certificate number, in an Officers’ Certificate delivered to the Trustee at least 15 days prior to the date on which notice of redemption is mailed to holders of the 2026 Notes,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-1197610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in excess thereof.</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terms of the 2026 Notes shall include such other terms as are set forth in the form of 2026 Notes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in the Indenture.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1.900% Notes due 2031.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1.900%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2021.</w:t>
      </w:r>
    </w:p>
    <w:p>
      <w:pPr>
        <w:sectPr>
          <w:pgSz w:w="11900" w:h="16838" w:orient="portrait"/>
          <w:cols w:equalWidth="0" w:num="2">
            <w:col w:w="2980" w:space="440"/>
            <w:col w:w="7560"/>
          </w:cols>
          <w:pgMar w:left="440" w:top="274" w:right="479" w:bottom="1440" w:gutter="0" w:footer="0" w:header="0"/>
        </w:sectPr>
      </w:pPr>
    </w:p>
    <w:bookmarkStart w:id="39" w:name="page40"/>
    <w:bookmarkEnd w:id="39"/>
    <w:p>
      <w:pPr>
        <w:spacing w:after="0"/>
        <w:rPr>
          <w:sz w:val="20"/>
          <w:szCs w:val="20"/>
          <w:color w:val="auto"/>
        </w:rPr>
      </w:pPr>
      <w:r>
        <w:rPr>
          <w:rFonts w:ascii="Arial" w:cs="Arial" w:eastAsia="Arial" w:hAnsi="Arial"/>
          <w:sz w:val="16"/>
          <w:szCs w:val="16"/>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15 and September 15, commencing on 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-201295</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700" w:space="720"/>
            <w:col w:w="7580"/>
          </w:cols>
          <w:pgMar w:left="440" w:top="274" w:right="459" w:bottom="1440" w:gutter="0" w:footer="0" w:header="0"/>
        </w:sectPr>
      </w:pPr>
    </w:p>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ind w:right="100"/>
        <w:spacing w:after="0" w:line="301" w:lineRule="auto"/>
        <w:rPr>
          <w:sz w:val="20"/>
          <w:szCs w:val="20"/>
          <w:color w:val="auto"/>
        </w:rPr>
      </w:pPr>
      <w:r>
        <w:rPr>
          <w:rFonts w:ascii="Arial" w:cs="Arial" w:eastAsia="Arial" w:hAnsi="Arial"/>
          <w:sz w:val="16"/>
          <w:szCs w:val="16"/>
          <w:color w:val="auto"/>
        </w:rPr>
        <w:t>Prior to June 15, 2031 (the date that is three months prior to the maturity date of the 2031 Notes), the Issuer may at its option redeem the 2031 Notes, in whole or in part at any time, or from time to time, on at least 15 days but not more than 60 days prior notice mailed to the registered address of each holder of the 2031 Notes, at a redemption price, calculated by the Issuer, equal to the greater of:</w:t>
      </w:r>
    </w:p>
    <w:p>
      <w:pPr>
        <w:spacing w:after="0" w:line="63" w:lineRule="exact"/>
        <w:rPr>
          <w:sz w:val="20"/>
          <w:szCs w:val="20"/>
          <w:color w:val="auto"/>
        </w:rPr>
      </w:pPr>
    </w:p>
    <w:p>
      <w:pPr>
        <w:sectPr>
          <w:pgSz w:w="11900" w:h="16838" w:orient="portrait"/>
          <w:cols w:equalWidth="0" w:num="2">
            <w:col w:w="2700" w:space="720"/>
            <w:col w:w="7580"/>
          </w:cols>
          <w:pgMar w:left="440" w:top="274" w:right="459" w:bottom="1440" w:gutter="0" w:footer="0" w:header="0"/>
          <w:type w:val="continuous"/>
        </w:sectPr>
      </w:pPr>
    </w:p>
    <w:p>
      <w:pPr>
        <w:ind w:left="3420"/>
        <w:spacing w:after="0"/>
        <w:rPr>
          <w:sz w:val="20"/>
          <w:szCs w:val="20"/>
          <w:color w:val="auto"/>
        </w:rPr>
      </w:pPr>
      <w:r>
        <w:rPr>
          <w:rFonts w:ascii="Arial" w:cs="Arial" w:eastAsia="Arial" w:hAnsi="Arial"/>
          <w:sz w:val="18"/>
          <w:szCs w:val="18"/>
          <w:color w:val="auto"/>
        </w:rPr>
        <w:t>(i) 100% of the principal amount of the 2031 Notes to be redeemed; and</w:t>
      </w:r>
    </w:p>
    <w:p>
      <w:pPr>
        <w:spacing w:after="0" w:line="131" w:lineRule="exact"/>
        <w:rPr>
          <w:sz w:val="20"/>
          <w:szCs w:val="20"/>
          <w:color w:val="auto"/>
        </w:rPr>
      </w:pPr>
    </w:p>
    <w:p>
      <w:pPr>
        <w:ind w:left="3420"/>
        <w:spacing w:after="0" w:line="255" w:lineRule="auto"/>
        <w:rPr>
          <w:sz w:val="20"/>
          <w:szCs w:val="20"/>
          <w:color w:val="auto"/>
        </w:rPr>
      </w:pPr>
      <w:r>
        <w:rPr>
          <w:rFonts w:ascii="Arial" w:cs="Arial" w:eastAsia="Arial" w:hAnsi="Arial"/>
          <w:sz w:val="18"/>
          <w:szCs w:val="18"/>
          <w:color w:val="auto"/>
        </w:rPr>
        <w:t>(ii) the sum of the present values of the principal amount of such 2031 Notes and the scheduled payments of interest thereon (not including any portion of such payments of interest accrued as of the date of redemption) from the date of redemption to June 15, 2031 (the date that is three months prior to the maturity date of the 2031 Notes), in each case discounted to the date of redemption on a semi-annual basis (assuming a 360-day year consisting of twelve 30-day months) at the Treasury Rate (as defined in the 2031 Notes), plus 10 basis points;</w:t>
      </w:r>
    </w:p>
    <w:p>
      <w:pPr>
        <w:spacing w:after="0" w:line="98"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left="3420" w:right="40"/>
        <w:spacing w:after="0" w:line="275" w:lineRule="auto"/>
        <w:rPr>
          <w:sz w:val="20"/>
          <w:szCs w:val="20"/>
          <w:color w:val="auto"/>
        </w:rPr>
      </w:pPr>
      <w:r>
        <w:rPr>
          <w:rFonts w:ascii="Arial" w:cs="Arial" w:eastAsia="Arial" w:hAnsi="Arial"/>
          <w:sz w:val="17"/>
          <w:szCs w:val="17"/>
          <w:color w:val="auto"/>
        </w:rPr>
        <w:t>At any time on or after June 15, 2031 (the date that is three months prior to the maturity date of the 2031 Notes), the Issuer may at its option redeem the 2031 Notes, in whole or in part at any time and from time to time, on at least 15 days but not more than 60 days prior notice mailed to the registered address of each holder of the 2031 Notes, at a redemption price equal to 100% of the principal amount of the 2031 Notes to be redeemed plus accrued interest thereon to the date of redemption.</w:t>
      </w:r>
    </w:p>
    <w:p>
      <w:pPr>
        <w:spacing w:after="0" w:line="82" w:lineRule="exact"/>
        <w:rPr>
          <w:sz w:val="20"/>
          <w:szCs w:val="20"/>
          <w:color w:val="auto"/>
        </w:rPr>
      </w:pPr>
    </w:p>
    <w:p>
      <w:pPr>
        <w:ind w:left="3420" w:right="60"/>
        <w:spacing w:after="0" w:line="259" w:lineRule="auto"/>
        <w:rPr>
          <w:sz w:val="20"/>
          <w:szCs w:val="20"/>
          <w:color w:val="auto"/>
        </w:rPr>
      </w:pPr>
      <w:r>
        <w:rPr>
          <w:rFonts w:ascii="Arial" w:cs="Arial" w:eastAsia="Arial" w:hAnsi="Arial"/>
          <w:sz w:val="18"/>
          <w:szCs w:val="18"/>
          <w:color w:val="auto"/>
        </w:rPr>
        <w:t>The Issuer will deliver to the Trustee at least 15 days prior to the date on which notice of a redemption is mailed to holders of the 2031 Notes (unless a shorter time period shall be acceptable to the Trustee) an Officers’ Certificate stating the aggregate principal amount of 2031 Notes to be redeemed. Notice of any redemption of 2031 Notes may, at the Issuer’s</w:t>
      </w:r>
    </w:p>
    <w:p>
      <w:pPr>
        <w:sectPr>
          <w:pgSz w:w="11900" w:h="16838" w:orient="portrait"/>
          <w:cols w:equalWidth="0" w:num="1">
            <w:col w:w="11000"/>
          </w:cols>
          <w:pgMar w:left="440" w:top="274" w:right="459" w:bottom="1440" w:gutter="0" w:footer="0" w:header="0"/>
          <w:type w:val="continuous"/>
        </w:sectPr>
      </w:pPr>
    </w:p>
    <w:bookmarkStart w:id="40" w:name="page41"/>
    <w:bookmarkEnd w:id="40"/>
    <w:p>
      <w:pPr>
        <w:ind w:left="34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53" w:lineRule="exact"/>
        <w:rPr>
          <w:sz w:val="20"/>
          <w:szCs w:val="20"/>
          <w:color w:val="auto"/>
        </w:rPr>
      </w:pPr>
    </w:p>
    <w:p>
      <w:pPr>
        <w:ind w:left="3420" w:right="20"/>
        <w:spacing w:after="0" w:line="254" w:lineRule="auto"/>
        <w:rPr>
          <w:sz w:val="20"/>
          <w:szCs w:val="20"/>
          <w:color w:val="auto"/>
        </w:rPr>
      </w:pPr>
      <w:r>
        <w:rPr>
          <w:rFonts w:ascii="Arial" w:cs="Arial" w:eastAsia="Arial" w:hAnsi="Arial"/>
          <w:sz w:val="18"/>
          <w:szCs w:val="18"/>
          <w:color w:val="auto"/>
        </w:rPr>
        <w:t>If less than all the 2031 Notes are to be redeemed, the Trustee shall select, in such manner as it shall deem appropriate and fair, the 2031 Notes to be redeemed in whole or in part. 2031 Notes shall be excluded from eligibility for selection for redemption if they are identified by registration and certificate number, in an Officers’ Certificate delivered to the Trustee at least 15 days prior to the date on which notice of redemption is mailed to holders of the 2031 Notes,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ectPr>
          <w:pgSz w:w="11900" w:h="16838" w:orient="portrait"/>
          <w:cols w:equalWidth="0" w:num="1">
            <w:col w:w="11000"/>
          </w:cols>
          <w:pgMar w:left="440" w:top="274" w:right="45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2700" w:space="720"/>
            <w:col w:w="758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2700" w:space="720"/>
            <w:col w:w="758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2700" w:space="720"/>
            <w:col w:w="758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 xml:space="preserve">The terms of the 2031 Notes shall include such other terms as are set forth in the form of 2031 Notes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in the Indenture.</w:t>
      </w:r>
    </w:p>
    <w:p>
      <w:pPr>
        <w:spacing w:after="0" w:line="58" w:lineRule="exact"/>
        <w:rPr>
          <w:sz w:val="20"/>
          <w:szCs w:val="20"/>
          <w:color w:val="auto"/>
        </w:rPr>
      </w:pPr>
    </w:p>
    <w:p>
      <w:pPr>
        <w:sectPr>
          <w:pgSz w:w="11900" w:h="16838" w:orient="portrait"/>
          <w:cols w:equalWidth="0" w:num="2">
            <w:col w:w="2700" w:space="720"/>
            <w:col w:w="758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2051 Notes</w:t>
      </w:r>
    </w:p>
    <w:p>
      <w:pPr>
        <w:sectPr>
          <w:pgSz w:w="11900" w:h="16838" w:orient="portrait"/>
          <w:cols w:equalWidth="0" w:num="1">
            <w:col w:w="11000"/>
          </w:cols>
          <w:pgMar w:left="440" w:top="274" w:right="4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2.700% Notes due 2051.</w:t>
      </w:r>
    </w:p>
    <w:p>
      <w:pPr>
        <w:spacing w:after="0" w:line="151" w:lineRule="exact"/>
        <w:rPr>
          <w:sz w:val="20"/>
          <w:szCs w:val="20"/>
          <w:color w:val="auto"/>
        </w:rPr>
      </w:pPr>
    </w:p>
    <w:p>
      <w:pPr>
        <w:sectPr>
          <w:pgSz w:w="11900" w:h="16838" w:orient="portrait"/>
          <w:cols w:equalWidth="0" w:num="2">
            <w:col w:w="2700" w:space="720"/>
            <w:col w:w="758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Instruments Incorporated.</w:t>
      </w:r>
    </w:p>
    <w:p>
      <w:pPr>
        <w:spacing w:after="0" w:line="140" w:lineRule="exact"/>
        <w:rPr>
          <w:sz w:val="20"/>
          <w:szCs w:val="20"/>
          <w:color w:val="auto"/>
        </w:rPr>
      </w:pPr>
    </w:p>
    <w:p>
      <w:pPr>
        <w:sectPr>
          <w:pgSz w:w="11900" w:h="16838" w:orient="portrait"/>
          <w:cols w:equalWidth="0" w:num="2">
            <w:col w:w="2700" w:space="720"/>
            <w:col w:w="7580"/>
          </w:cols>
          <w:pgMar w:left="440" w:top="274" w:right="459" w:bottom="1440" w:gutter="0" w:footer="0" w:header="0"/>
          <w:type w:val="continuous"/>
        </w:sectPr>
      </w:pPr>
    </w:p>
    <w:p>
      <w:pPr>
        <w:spacing w:after="0" w:line="342" w:lineRule="auto"/>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140" w:lineRule="exact"/>
        <w:rPr>
          <w:sz w:val="20"/>
          <w:szCs w:val="20"/>
          <w:color w:val="auto"/>
        </w:rPr>
      </w:pPr>
    </w:p>
    <w:p>
      <w:pPr>
        <w:sectPr>
          <w:pgSz w:w="11900" w:h="16838" w:orient="portrait"/>
          <w:cols w:equalWidth="0" w:num="2">
            <w:col w:w="2960" w:space="460"/>
            <w:col w:w="758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$500,000,000.</w:t>
      </w:r>
    </w:p>
    <w:p>
      <w:pPr>
        <w:sectPr>
          <w:pgSz w:w="11900" w:h="16838" w:orient="portrait"/>
          <w:cols w:equalWidth="0" w:num="2">
            <w:col w:w="2980" w:space="440"/>
            <w:col w:w="7580"/>
          </w:cols>
          <w:pgMar w:left="440" w:top="274" w:right="4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8"/>
          <w:szCs w:val="18"/>
          <w:color w:val="auto"/>
        </w:rPr>
        <w:t>September 15,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-215900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left="9"/>
        <w:spacing w:after="0"/>
        <w:rPr>
          <w:sz w:val="20"/>
          <w:szCs w:val="20"/>
          <w:color w:val="auto"/>
        </w:rPr>
      </w:pPr>
      <w:r>
        <w:rPr>
          <w:rFonts w:ascii="Arial" w:cs="Arial" w:eastAsia="Arial" w:hAnsi="Arial"/>
          <w:sz w:val="18"/>
          <w:szCs w:val="18"/>
          <w:color w:val="auto"/>
        </w:rPr>
        <w:t>2.700% per annum.</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8"/>
          <w:szCs w:val="18"/>
          <w:color w:val="auto"/>
        </w:rPr>
        <w:t>September 15, 2021.</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8"/>
          <w:szCs w:val="18"/>
          <w:color w:val="auto"/>
        </w:rPr>
        <w:t>March 15 and September 15, commencing on March 15, 2022.</w:t>
      </w:r>
    </w:p>
    <w:p>
      <w:pPr>
        <w:spacing w:after="0" w:line="117" w:lineRule="exact"/>
        <w:rPr>
          <w:sz w:val="20"/>
          <w:szCs w:val="20"/>
          <w:color w:val="auto"/>
        </w:rPr>
      </w:pPr>
    </w:p>
    <w:p>
      <w:pPr>
        <w:ind w:left="9" w:right="100"/>
        <w:spacing w:after="0" w:line="301" w:lineRule="auto"/>
        <w:rPr>
          <w:sz w:val="20"/>
          <w:szCs w:val="20"/>
          <w:color w:val="auto"/>
        </w:rPr>
      </w:pPr>
      <w:r>
        <w:rPr>
          <w:rFonts w:ascii="Arial" w:cs="Arial" w:eastAsia="Arial" w:hAnsi="Arial"/>
          <w:sz w:val="16"/>
          <w:szCs w:val="16"/>
          <w:color w:val="auto"/>
        </w:rPr>
        <w:t>Prior to March 15, 2051 (the date that is six months prior to the maturity date of the 2051 Notes), the Issuer may at its option redeem the 2051 Notes, in whole or in part at any time, or from time to time, on at least 15 days but not more than 60 days prior notice mailed to the registered address of each holder of the 2051 Notes, at a redemption price, calculated by the Issuer, equal to the greater of:</w:t>
      </w:r>
    </w:p>
    <w:p>
      <w:pPr>
        <w:spacing w:after="0" w:line="63" w:lineRule="exact"/>
        <w:rPr>
          <w:sz w:val="20"/>
          <w:szCs w:val="20"/>
          <w:color w:val="auto"/>
        </w:rPr>
      </w:pPr>
    </w:p>
    <w:p>
      <w:pPr>
        <w:ind w:left="209" w:hanging="209"/>
        <w:spacing w:after="0"/>
        <w:tabs>
          <w:tab w:leader="none" w:pos="2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of the principal amount of the 2051 Notes to be redeemed; and</w:t>
      </w:r>
    </w:p>
    <w:p>
      <w:pPr>
        <w:spacing w:after="0" w:line="130" w:lineRule="exact"/>
        <w:rPr>
          <w:rFonts w:ascii="Arial" w:cs="Arial" w:eastAsia="Arial" w:hAnsi="Arial"/>
          <w:sz w:val="18"/>
          <w:szCs w:val="18"/>
          <w:color w:val="auto"/>
        </w:rPr>
      </w:pPr>
    </w:p>
    <w:p>
      <w:pPr>
        <w:ind w:left="9" w:hanging="9"/>
        <w:spacing w:after="0" w:line="255" w:lineRule="auto"/>
        <w:tabs>
          <w:tab w:leader="none" w:pos="2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sum of the present values of the principal amount of such 2051 Notes and the scheduled payments of interest thereon (not including any portion of such payments of interest accrued as of the date of redemption) from the date of redemption to March 15, 2051 (the date that is six months prior to the maturity date of the 2051 Notes), in each case discounted to the date of redemption on a semi-annual basis (assuming a 360-day year consisting of twelve 30-day months) at the Treasury Rate (as defined in the 2051 Notes), plus 12.5 basis points;</w:t>
      </w:r>
    </w:p>
    <w:p>
      <w:pPr>
        <w:spacing w:after="0" w:line="98" w:lineRule="exact"/>
        <w:rPr>
          <w:sz w:val="20"/>
          <w:szCs w:val="20"/>
          <w:color w:val="auto"/>
        </w:rPr>
      </w:pPr>
    </w:p>
    <w:p>
      <w:pPr>
        <w:ind w:left="9"/>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left="9" w:right="40"/>
        <w:spacing w:after="0" w:line="275" w:lineRule="auto"/>
        <w:rPr>
          <w:sz w:val="20"/>
          <w:szCs w:val="20"/>
          <w:color w:val="auto"/>
        </w:rPr>
      </w:pPr>
      <w:r>
        <w:rPr>
          <w:rFonts w:ascii="Arial" w:cs="Arial" w:eastAsia="Arial" w:hAnsi="Arial"/>
          <w:sz w:val="17"/>
          <w:szCs w:val="17"/>
          <w:color w:val="auto"/>
        </w:rPr>
        <w:t>At any time on or after March 15, 2051 (the date that is six months prior to the maturity date of the 2051 Notes), the Issuer may at its option redeem the 2051 Notes, in whole or in part at any time and from time to time, on at least 15 days but not more than 60 days prior notice mailed to the registered address of each holder of the 2051 Notes, at a redemption price equal to 100% of the principal amount of the 2051 Notes to be redeemed plus accrued interest thereon to the date of redemption.</w:t>
      </w:r>
    </w:p>
    <w:p>
      <w:pPr>
        <w:sectPr>
          <w:pgSz w:w="11900" w:h="16838" w:orient="portrait"/>
          <w:cols w:equalWidth="0" w:num="2">
            <w:col w:w="2720" w:space="691"/>
            <w:col w:w="7589"/>
          </w:cols>
          <w:pgMar w:left="440" w:top="274" w:right="459" w:bottom="1440" w:gutter="0" w:footer="0" w:header="0"/>
        </w:sectPr>
      </w:pPr>
    </w:p>
    <w:bookmarkStart w:id="42" w:name="page43"/>
    <w:bookmarkEnd w:id="42"/>
    <w:p>
      <w:pPr>
        <w:ind w:left="3420"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will deliver to the Trustee at least 15 days prior to the date on which notice of a redemption is mailed to holders of the 2051 Notes (unless a shorter time period shall be acceptable to the Trustee) an Officers’ Certificate stating the aggregate principal amount of 2051 Notes to be redeemed. Notice of any redemption of 2051 Notes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73" w:lineRule="exact"/>
        <w:rPr>
          <w:sz w:val="20"/>
          <w:szCs w:val="20"/>
          <w:color w:val="auto"/>
        </w:rPr>
      </w:pPr>
    </w:p>
    <w:p>
      <w:pPr>
        <w:ind w:left="3420"/>
        <w:spacing w:after="0" w:line="254" w:lineRule="auto"/>
        <w:rPr>
          <w:sz w:val="20"/>
          <w:szCs w:val="20"/>
          <w:color w:val="auto"/>
        </w:rPr>
      </w:pPr>
      <w:r>
        <w:rPr>
          <w:rFonts w:ascii="Arial" w:cs="Arial" w:eastAsia="Arial" w:hAnsi="Arial"/>
          <w:sz w:val="18"/>
          <w:szCs w:val="18"/>
          <w:color w:val="auto"/>
        </w:rPr>
        <w:t>If less than all the 2051 Notes are to be redeemed, the Trustee shall select, in such manner as it shall deem appropriate and fair, the 2051 Notes to be redeemed in whole or in part. 2051 Notes shall be excluded from eligibility for selection for redemption if they are identified by registration and certificate number, in an Officers’ Certificate delivered to the Trustee at least 15 days prior to the date on which notice of redemption is mailed to holders of the 2051 Notes,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ectPr>
          <w:pgSz w:w="11900" w:h="16838" w:orient="portrait"/>
          <w:cols w:equalWidth="0" w:num="1">
            <w:col w:w="10980"/>
          </w:cols>
          <w:pgMar w:left="440" w:top="274" w:right="47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2700" w:space="720"/>
            <w:col w:w="756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2700" w:space="720"/>
            <w:col w:w="756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2700" w:space="720"/>
            <w:col w:w="756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 xml:space="preserve">The terms of the 2051 Notes shall include such other terms as are set forth in the form of 2051 Notes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and in the Indenture.</w:t>
      </w:r>
    </w:p>
    <w:p>
      <w:pPr>
        <w:spacing w:after="0" w:line="170" w:lineRule="exact"/>
        <w:rPr>
          <w:sz w:val="20"/>
          <w:szCs w:val="20"/>
          <w:color w:val="auto"/>
        </w:rPr>
      </w:pPr>
    </w:p>
    <w:p>
      <w:pPr>
        <w:sectPr>
          <w:pgSz w:w="11900" w:h="16838" w:orient="portrait"/>
          <w:cols w:equalWidth="0" w:num="2">
            <w:col w:w="2700" w:space="720"/>
            <w:col w:w="7560"/>
          </w:cols>
          <w:pgMar w:left="440" w:top="274" w:right="479" w:bottom="1440" w:gutter="0" w:footer="0" w:header="0"/>
          <w:type w:val="continuous"/>
        </w:sectPr>
      </w:pPr>
    </w:p>
    <w:p>
      <w:pPr>
        <w:ind w:right="40" w:firstLine="440"/>
        <w:spacing w:after="0" w:line="259" w:lineRule="auto"/>
        <w:rPr>
          <w:sz w:val="20"/>
          <w:szCs w:val="20"/>
          <w:color w:val="auto"/>
        </w:rPr>
      </w:pPr>
      <w:r>
        <w:rPr>
          <w:rFonts w:ascii="Arial" w:cs="Arial" w:eastAsia="Arial" w:hAnsi="Arial"/>
          <w:sz w:val="18"/>
          <w:szCs w:val="18"/>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2026 Notes, the 2031 Notes, or the 2051 Notes, as the case may be,</w:t>
      </w:r>
    </w:p>
    <w:p>
      <w:pPr>
        <w:sectPr>
          <w:pgSz w:w="11900" w:h="16838" w:orient="portrait"/>
          <w:cols w:equalWidth="0" w:num="1">
            <w:col w:w="10980"/>
          </w:cols>
          <w:pgMar w:left="440" w:top="274" w:right="47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with respect to the date of issuance, the issue price and interest accrued prior to the issue date of the additional notes (together, the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Notes</w:t>
      </w:r>
      <w:r>
        <w:rPr>
          <w:rFonts w:ascii="Arial" w:cs="Arial" w:eastAsia="Arial" w:hAnsi="Arial"/>
          <w:sz w:val="18"/>
          <w:szCs w:val="18"/>
          <w:color w:val="auto"/>
        </w:rPr>
        <w:t xml:space="preserve">”). The Additional Notes of a series will have the same CUSIP number as the applicable series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applicable series of Notes for U.S. federal income tax purposes will be issued under a separate CUSIP number. Any Additional Notes will be issued in accordance with Section 2.03 of the Indenture.</w:t>
      </w:r>
    </w:p>
    <w:p>
      <w:pPr>
        <w:spacing w:after="0" w:line="19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660"/>
          </w:cols>
          <w:pgMar w:left="880" w:top="274" w:right="1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2026]</w:t>
      </w:r>
    </w:p>
    <w:p>
      <w:pPr>
        <w:spacing w:after="0" w:line="225"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UNLESS THIS NOTE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9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87"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70" w:right="4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1.125% Notes due 2026</w:t>
      </w:r>
    </w:p>
    <w:p>
      <w:pPr>
        <w:spacing w:after="0" w:line="238" w:lineRule="exact"/>
        <w:rPr>
          <w:sz w:val="20"/>
          <w:szCs w:val="20"/>
          <w:color w:val="auto"/>
        </w:rPr>
      </w:pPr>
    </w:p>
    <w:p>
      <w:pPr>
        <w:spacing w:after="0"/>
        <w:tabs>
          <w:tab w:leader="none" w:pos="9200" w:val="left"/>
        </w:tabs>
        <w:rPr>
          <w:sz w:val="20"/>
          <w:szCs w:val="20"/>
          <w:color w:val="auto"/>
        </w:rPr>
      </w:pPr>
      <w:r>
        <w:rPr>
          <w:rFonts w:ascii="Arial" w:cs="Arial" w:eastAsia="Arial" w:hAnsi="Arial"/>
          <w:sz w:val="18"/>
          <w:szCs w:val="18"/>
          <w:color w:val="auto"/>
        </w:rPr>
        <w:t>No. [1]</w:t>
      </w:r>
      <w:r>
        <w:rPr>
          <w:sz w:val="20"/>
          <w:szCs w:val="20"/>
          <w:color w:val="auto"/>
        </w:rPr>
        <w:tab/>
      </w:r>
      <w:r>
        <w:rPr>
          <w:rFonts w:ascii="Arial" w:cs="Arial" w:eastAsia="Arial" w:hAnsi="Arial"/>
          <w:sz w:val="16"/>
          <w:szCs w:val="16"/>
          <w:color w:val="auto"/>
        </w:rPr>
        <w:t>CUSIP No.: 882508BK9</w:t>
      </w:r>
    </w:p>
    <w:p>
      <w:pPr>
        <w:spacing w:after="0" w:line="23" w:lineRule="exact"/>
        <w:rPr>
          <w:sz w:val="20"/>
          <w:szCs w:val="20"/>
          <w:color w:val="auto"/>
        </w:rPr>
      </w:pPr>
    </w:p>
    <w:p>
      <w:pPr>
        <w:ind w:left="9060"/>
        <w:spacing w:after="0"/>
        <w:rPr>
          <w:sz w:val="20"/>
          <w:szCs w:val="20"/>
          <w:color w:val="auto"/>
        </w:rPr>
      </w:pPr>
      <w:r>
        <w:rPr>
          <w:rFonts w:ascii="Arial" w:cs="Arial" w:eastAsia="Arial" w:hAnsi="Arial"/>
          <w:sz w:val="17"/>
          <w:szCs w:val="17"/>
          <w:color w:val="auto"/>
        </w:rPr>
        <w:t>ISIN No.: US882508BK94</w:t>
      </w:r>
    </w:p>
    <w:p>
      <w:pPr>
        <w:spacing w:after="0" w:line="114" w:lineRule="exact"/>
        <w:rPr>
          <w:sz w:val="20"/>
          <w:szCs w:val="20"/>
          <w:color w:val="auto"/>
        </w:rPr>
      </w:pPr>
    </w:p>
    <w:p>
      <w:pPr>
        <w:ind w:left="10260"/>
        <w:spacing w:after="0"/>
        <w:tabs>
          <w:tab w:leader="none" w:pos="10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TEXAS INSTRUMENTS INCORPORATED, a Delaware corporation (the “</w:t>
      </w:r>
      <w:r>
        <w:rPr>
          <w:rFonts w:ascii="Arial" w:cs="Arial" w:eastAsia="Arial" w:hAnsi="Arial"/>
          <w:sz w:val="17"/>
          <w:szCs w:val="17"/>
          <w:b w:val="1"/>
          <w:bCs w:val="1"/>
          <w:color w:val="auto"/>
        </w:rPr>
        <w:t>Issuer</w:t>
      </w:r>
      <w:r>
        <w:rPr>
          <w:rFonts w:ascii="Arial" w:cs="Arial" w:eastAsia="Arial" w:hAnsi="Arial"/>
          <w:sz w:val="17"/>
          <w:szCs w:val="17"/>
          <w:color w:val="auto"/>
        </w:rPr>
        <w:t>”), for value received promises to pay to CEDE &amp; CO. or</w:t>
      </w:r>
    </w:p>
    <w:p>
      <w:pPr>
        <w:spacing w:after="0" w:line="3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registered assigns the principal sum of $[</w:t>
      </w:r>
      <w:r>
        <w:rPr>
          <w:sz w:val="20"/>
          <w:szCs w:val="20"/>
          <w:color w:val="auto"/>
        </w:rPr>
        <w:tab/>
      </w:r>
      <w:r>
        <w:rPr>
          <w:rFonts w:ascii="Arial" w:cs="Arial" w:eastAsia="Arial" w:hAnsi="Arial"/>
          <w:sz w:val="16"/>
          <w:szCs w:val="16"/>
          <w:color w:val="auto"/>
        </w:rPr>
        <w:t>] on September 15, 2026.</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March 15 and September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March 15, 2022.</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Interest Record Dates: The 15</w:t>
      </w:r>
      <w:r>
        <w:rPr>
          <w:rFonts w:ascii="Arial" w:cs="Arial" w:eastAsia="Arial" w:hAnsi="Arial"/>
          <w:sz w:val="15"/>
          <w:szCs w:val="15"/>
          <w:color w:val="auto"/>
        </w:rPr>
        <w:t>th</w:t>
      </w:r>
      <w:r>
        <w:rPr>
          <w:rFonts w:ascii="Arial" w:cs="Arial" w:eastAsia="Arial" w:hAnsi="Arial"/>
          <w:sz w:val="18"/>
          <w:szCs w:val="18"/>
          <w:color w:val="auto"/>
        </w:rPr>
        <w:t xml:space="preserve"> calendar day immediately preceding the relevant Interest Payment Date (whether or not a business day)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sectPr>
      </w:pPr>
    </w:p>
    <w:bookmarkStart w:id="47" w:name="page48"/>
    <w:bookmarkEnd w:id="4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Rick Logsdon</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Assistant Secretary</w:t>
      </w:r>
    </w:p>
    <w:p>
      <w:pPr>
        <w:sectPr>
          <w:pgSz w:w="11900" w:h="16838" w:orient="portrait"/>
          <w:cols w:equalWidth="0" w:num="1">
            <w:col w:w="11000"/>
          </w:cols>
          <w:pgMar w:left="440" w:top="274" w:right="45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15,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U.S. BANK NATIONAL ASSOCIATION,</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K. Herberger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019"/>
          </w:cols>
          <w:pgMar w:left="440" w:top="274"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1.125% Notes due 2026</w:t>
      </w:r>
    </w:p>
    <w:p>
      <w:pPr>
        <w:spacing w:after="0" w:line="225" w:lineRule="exact"/>
        <w:rPr>
          <w:sz w:val="20"/>
          <w:szCs w:val="20"/>
          <w:color w:val="auto"/>
        </w:rPr>
      </w:pPr>
    </w:p>
    <w:p>
      <w:pPr>
        <w:ind w:left="760" w:hanging="32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September 15, 2021. Interest on this Note will be paid to but excluding the relevant Interest Payment Date. The Issuer will pay interest semi-annually in arrears on each Interest Payment Date, commencing March 15, 2022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278" w:lineRule="exact"/>
        <w:rPr>
          <w:sz w:val="20"/>
          <w:szCs w:val="20"/>
          <w:color w:val="auto"/>
        </w:rPr>
      </w:pPr>
    </w:p>
    <w:p>
      <w:pPr>
        <w:ind w:left="760" w:hanging="32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3"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274" w:lineRule="exact"/>
        <w:rPr>
          <w:sz w:val="20"/>
          <w:szCs w:val="20"/>
          <w:color w:val="auto"/>
        </w:rPr>
      </w:pPr>
    </w:p>
    <w:p>
      <w:pPr>
        <w:ind w:left="760" w:hanging="32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1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This Note is one of the 1.125% Notes due 2026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September 15, 2021,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w:t>
      </w:r>
    </w:p>
    <w:p>
      <w:pPr>
        <w:sectPr>
          <w:pgSz w:w="11900" w:h="16838" w:orient="portrait"/>
          <w:cols w:equalWidth="0" w:num="1">
            <w:col w:w="11000"/>
          </w:cols>
          <w:pgMar w:left="440" w:top="274" w:right="459" w:bottom="1440" w:gutter="0" w:footer="0" w:header="0"/>
        </w:sectPr>
      </w:pPr>
    </w:p>
    <w:bookmarkStart w:id="50" w:name="page51"/>
    <w:bookmarkEnd w:id="5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pacing w:after="0" w:line="63" w:lineRule="exact"/>
        <w:rPr>
          <w:sz w:val="20"/>
          <w:szCs w:val="20"/>
          <w:color w:val="auto"/>
        </w:rPr>
      </w:pPr>
    </w:p>
    <w:p>
      <w:pPr>
        <w:ind w:left="440" w:right="40" w:firstLine="423"/>
        <w:spacing w:after="0" w:line="273" w:lineRule="auto"/>
        <w:rPr>
          <w:sz w:val="20"/>
          <w:szCs w:val="20"/>
          <w:color w:val="auto"/>
        </w:rPr>
      </w:pPr>
      <w:r>
        <w:rPr>
          <w:rFonts w:ascii="Arial" w:cs="Arial" w:eastAsia="Arial" w:hAnsi="Arial"/>
          <w:sz w:val="17"/>
          <w:szCs w:val="17"/>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286" w:lineRule="exact"/>
        <w:rPr>
          <w:sz w:val="20"/>
          <w:szCs w:val="20"/>
          <w:color w:val="auto"/>
        </w:rPr>
      </w:pPr>
    </w:p>
    <w:p>
      <w:pPr>
        <w:ind w:left="760" w:hanging="32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300"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ectPr>
          <w:pgSz w:w="11900" w:h="16838" w:orient="portrait"/>
          <w:cols w:equalWidth="0" w:num="1">
            <w:col w:w="11000"/>
          </w:cols>
          <w:pgMar w:left="440" w:top="274" w:right="459" w:bottom="1440" w:gutter="0" w:footer="0" w:header="0"/>
        </w:sectPr>
      </w:pPr>
    </w:p>
    <w:bookmarkStart w:id="51" w:name="page52"/>
    <w:bookmarkEnd w:id="51"/>
    <w:p>
      <w:pPr>
        <w:ind w:left="760" w:hanging="32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p>
    <w:p>
      <w:pPr>
        <w:spacing w:after="0" w:line="117" w:lineRule="exact"/>
        <w:rPr>
          <w:sz w:val="20"/>
          <w:szCs w:val="20"/>
          <w:color w:val="auto"/>
        </w:rPr>
      </w:pPr>
    </w:p>
    <w:p>
      <w:pPr>
        <w:ind w:right="180" w:firstLine="436"/>
        <w:spacing w:after="0" w:line="263"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August 15, 2026 (the date that is one month prior to the maturity date of the Notes), the Issuer may at its option redeem the Notes, in whole or in part at any time, or from time to time, on at least 15 days but not more than 60 days prior notice, at a redemption price calculated by the Issuer equal to the greater of:</w:t>
      </w:r>
    </w:p>
    <w:p>
      <w:pPr>
        <w:spacing w:after="0" w:line="184" w:lineRule="exact"/>
        <w:rPr>
          <w:sz w:val="20"/>
          <w:szCs w:val="20"/>
          <w:color w:val="auto"/>
        </w:rPr>
      </w:pPr>
    </w:p>
    <w:p>
      <w:pPr>
        <w:ind w:left="780" w:hanging="344"/>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ind w:right="40" w:firstLine="436"/>
        <w:spacing w:after="0" w:line="259"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August 15, 2026 (the date that is one month prior to the maturity date of the Notes), in each case discounted to the date of redemption on a semi-annual basis (assuming a 360-day year consisting of twelve 30-day months) at the Treasury Rate (as defined below), plus 5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jc w:val="both"/>
        <w:ind w:firstLine="436"/>
        <w:spacing w:after="0" w:line="286" w:lineRule="auto"/>
        <w:tabs>
          <w:tab w:leader="none" w:pos="6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At any time on or after August 15, 2026 (the date that is one month prior to the maturity date of the Notes), the Issuer may at its option redeem the Notes, in whole or in part at any time and from time to time, on at least 15 days but not more than 60 days prior notice, at a redemption price equal to 100% of the principal amount of the Notes to be redeemed plus accrued interest thereon to the date of redemption.</w:t>
      </w:r>
    </w:p>
    <w:p>
      <w:pPr>
        <w:spacing w:after="0" w:line="16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jc w:val="both"/>
        <w:ind w:right="2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ectPr>
          <w:pgSz w:w="11900" w:h="16838" w:orient="portrait"/>
          <w:cols w:equalWidth="0" w:num="1">
            <w:col w:w="11000"/>
          </w:cols>
          <w:pgMar w:left="440" w:top="274" w:right="459" w:bottom="1440" w:gutter="0" w:footer="0" w:header="0"/>
        </w:sectPr>
      </w:pPr>
    </w:p>
    <w:bookmarkStart w:id="52" w:name="page53"/>
    <w:bookmarkEnd w:id="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xml:space="preserve">” means (i) Barclays Capital Inc., J.P. Morgan Securities LLC (or their respective affiliates that are Primary Treasury Dealers) and a Primary Treasury Dealer selected by MUFG Securities Americas Inc. and their respective successors;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65"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Notice of any redemption will be mailed at least 15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296" w:lineRule="exact"/>
        <w:rPr>
          <w:sz w:val="20"/>
          <w:szCs w:val="20"/>
          <w:color w:val="auto"/>
        </w:rPr>
      </w:pPr>
    </w:p>
    <w:p>
      <w:pPr>
        <w:ind w:left="760" w:hanging="32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w:t>
      </w:r>
    </w:p>
    <w:p>
      <w:pPr>
        <w:sectPr>
          <w:pgSz w:w="11900" w:h="16838" w:orient="portrait"/>
          <w:cols w:equalWidth="0" w:num="1">
            <w:col w:w="11000"/>
          </w:cols>
          <w:pgMar w:left="440" w:top="270" w:right="459" w:bottom="1440" w:gutter="0" w:footer="0" w:header="0"/>
        </w:sectPr>
      </w:pPr>
    </w:p>
    <w:bookmarkStart w:id="53" w:name="page54"/>
    <w:bookmarkEnd w:id="53"/>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65"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333"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Abbreviations and Defined Terms.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CUSIP Numbers.</w:t>
      </w:r>
    </w:p>
    <w:p>
      <w:pPr>
        <w:spacing w:after="0" w:line="117" w:lineRule="exact"/>
        <w:rPr>
          <w:sz w:val="20"/>
          <w:szCs w:val="20"/>
          <w:color w:val="auto"/>
        </w:rPr>
      </w:pPr>
    </w:p>
    <w:p>
      <w:pPr>
        <w:jc w:val="both"/>
        <w:ind w:right="44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273" w:lineRule="exact"/>
        <w:rPr>
          <w:sz w:val="20"/>
          <w:szCs w:val="20"/>
          <w:color w:val="auto"/>
        </w:rPr>
      </w:pPr>
    </w:p>
    <w:p>
      <w:pPr>
        <w:ind w:left="840" w:hanging="404"/>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0940"/>
          </w:cols>
          <w:pgMar w:left="440" w:top="274" w:right="51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8500" w:type="dxa"/>
            <w:vAlign w:val="bottom"/>
            <w:gridSpan w:val="3"/>
          </w:tcPr>
          <w:p>
            <w:pPr>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97"/>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r>
        <w:trPr>
          <w:trHeight w:val="385"/>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w w:val="89"/>
              </w:rPr>
              <w:t>Your Signature:</w:t>
            </w:r>
          </w:p>
        </w:tc>
        <w:tc>
          <w:tcPr>
            <w:tcW w:w="4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306070</wp:posOffset>
            </wp:positionV>
            <wp:extent cx="32143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55" w:name="page56"/>
    <w:bookmarkEnd w:id="55"/>
    <w:p>
      <w:pPr>
        <w:ind w:left="3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Physical Notes or a part of another Global Note have been made:</w:t>
      </w:r>
    </w:p>
    <w:p>
      <w:pPr>
        <w:sectPr>
          <w:pgSz w:w="11900" w:h="16838" w:orient="portrait"/>
          <w:cols w:equalWidth="0" w:num="1">
            <w:col w:w="10520"/>
          </w:cols>
          <w:pgMar w:left="440" w:top="274" w:right="93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9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4"/>
                <w:szCs w:val="14"/>
                <w:color w:val="auto"/>
              </w:rPr>
            </w:pPr>
          </w:p>
        </w:tc>
        <w:tc>
          <w:tcPr>
            <w:tcW w:w="190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Principal amount of</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0"/>
              </w:rPr>
              <w:t>Amount of increase</w:t>
            </w:r>
          </w:p>
        </w:tc>
        <w:tc>
          <w:tcPr>
            <w:tcW w:w="19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940" w:type="dxa"/>
            <w:vAlign w:val="bottom"/>
            <w:gridSpan w:val="2"/>
            <w:vMerge w:val="continue"/>
          </w:tcPr>
          <w:p>
            <w:pPr>
              <w:spacing w:after="0"/>
              <w:rPr>
                <w:sz w:val="12"/>
                <w:szCs w:val="12"/>
                <w:color w:val="auto"/>
              </w:rPr>
            </w:pPr>
          </w:p>
        </w:tc>
        <w:tc>
          <w:tcPr>
            <w:tcW w:w="19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19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decrease (or</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officer of</w:t>
            </w:r>
          </w:p>
        </w:tc>
        <w:tc>
          <w:tcPr>
            <w:tcW w:w="0" w:type="dxa"/>
            <w:vAlign w:val="bottom"/>
          </w:tcPr>
          <w:p>
            <w:pPr>
              <w:spacing w:after="0"/>
              <w:rPr>
                <w:sz w:val="1"/>
                <w:szCs w:val="1"/>
                <w:color w:val="auto"/>
              </w:rPr>
            </w:pPr>
          </w:p>
        </w:tc>
      </w:tr>
      <w:tr>
        <w:trPr>
          <w:trHeight w:val="171"/>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this Global Note</w:t>
            </w:r>
          </w:p>
        </w:tc>
        <w:tc>
          <w:tcPr>
            <w:tcW w:w="7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7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-7620</wp:posOffset>
            </wp:positionV>
            <wp:extent cx="642937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265430</wp:posOffset>
            </wp:positionV>
            <wp:extent cx="642937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ectPr>
          <w:pgSz w:w="11900" w:h="16838" w:orient="portrait"/>
          <w:cols w:equalWidth="0" w:num="2">
            <w:col w:w="4640" w:space="720"/>
            <w:col w:w="5160"/>
          </w:cols>
          <w:pgMar w:left="440" w:top="274" w:right="9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2031]</w:t>
      </w:r>
    </w:p>
    <w:p>
      <w:pPr>
        <w:spacing w:after="0" w:line="225"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UNLESS THIS NOTE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9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87"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70" w:right="4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1.900% Notes due 2031</w:t>
      </w:r>
    </w:p>
    <w:p>
      <w:pPr>
        <w:spacing w:after="0" w:line="238" w:lineRule="exact"/>
        <w:rPr>
          <w:sz w:val="20"/>
          <w:szCs w:val="20"/>
          <w:color w:val="auto"/>
        </w:rPr>
      </w:pPr>
    </w:p>
    <w:p>
      <w:pPr>
        <w:spacing w:after="0"/>
        <w:tabs>
          <w:tab w:leader="none" w:pos="9220" w:val="left"/>
        </w:tabs>
        <w:rPr>
          <w:sz w:val="20"/>
          <w:szCs w:val="20"/>
          <w:color w:val="auto"/>
        </w:rPr>
      </w:pPr>
      <w:r>
        <w:rPr>
          <w:rFonts w:ascii="Arial" w:cs="Arial" w:eastAsia="Arial" w:hAnsi="Arial"/>
          <w:sz w:val="18"/>
          <w:szCs w:val="18"/>
          <w:color w:val="auto"/>
        </w:rPr>
        <w:t>No. [1]</w:t>
      </w:r>
      <w:r>
        <w:rPr>
          <w:sz w:val="20"/>
          <w:szCs w:val="20"/>
          <w:color w:val="auto"/>
        </w:rPr>
        <w:tab/>
      </w:r>
      <w:r>
        <w:rPr>
          <w:rFonts w:ascii="Arial" w:cs="Arial" w:eastAsia="Arial" w:hAnsi="Arial"/>
          <w:sz w:val="16"/>
          <w:szCs w:val="16"/>
          <w:color w:val="auto"/>
        </w:rPr>
        <w:t>CUSIP No.: 882508BL7</w:t>
      </w:r>
    </w:p>
    <w:p>
      <w:pPr>
        <w:spacing w:after="0" w:line="23"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ISIN No.: US882508BL77</w:t>
      </w:r>
    </w:p>
    <w:p>
      <w:pPr>
        <w:spacing w:after="0" w:line="222" w:lineRule="exact"/>
        <w:rPr>
          <w:sz w:val="20"/>
          <w:szCs w:val="20"/>
          <w:color w:val="auto"/>
        </w:rPr>
      </w:pPr>
    </w:p>
    <w:p>
      <w:pPr>
        <w:ind w:left="10260"/>
        <w:spacing w:after="0"/>
        <w:tabs>
          <w:tab w:leader="none" w:pos="10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TEXAS INSTRUMENTS INCORPORATED, a Delaware corporation (the “</w:t>
      </w:r>
      <w:r>
        <w:rPr>
          <w:rFonts w:ascii="Arial" w:cs="Arial" w:eastAsia="Arial" w:hAnsi="Arial"/>
          <w:sz w:val="17"/>
          <w:szCs w:val="17"/>
          <w:b w:val="1"/>
          <w:bCs w:val="1"/>
          <w:color w:val="auto"/>
        </w:rPr>
        <w:t>Issuer</w:t>
      </w:r>
      <w:r>
        <w:rPr>
          <w:rFonts w:ascii="Arial" w:cs="Arial" w:eastAsia="Arial" w:hAnsi="Arial"/>
          <w:sz w:val="17"/>
          <w:szCs w:val="17"/>
          <w:color w:val="auto"/>
        </w:rPr>
        <w:t>”), for value received promises to pay to CEDE &amp; CO. or</w:t>
      </w:r>
    </w:p>
    <w:p>
      <w:pPr>
        <w:spacing w:after="0" w:line="3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registered assigns the principal sum of $[</w:t>
      </w:r>
      <w:r>
        <w:rPr>
          <w:sz w:val="20"/>
          <w:szCs w:val="20"/>
          <w:color w:val="auto"/>
        </w:rPr>
        <w:tab/>
      </w:r>
      <w:r>
        <w:rPr>
          <w:rFonts w:ascii="Arial" w:cs="Arial" w:eastAsia="Arial" w:hAnsi="Arial"/>
          <w:sz w:val="16"/>
          <w:szCs w:val="16"/>
          <w:color w:val="auto"/>
        </w:rPr>
        <w:t>] on September 15, 2031.</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March 15 and September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March 15, 2022.</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Interest Record Dates: The 15</w:t>
      </w:r>
      <w:r>
        <w:rPr>
          <w:rFonts w:ascii="Arial" w:cs="Arial" w:eastAsia="Arial" w:hAnsi="Arial"/>
          <w:sz w:val="15"/>
          <w:szCs w:val="15"/>
          <w:color w:val="auto"/>
        </w:rPr>
        <w:t>th</w:t>
      </w:r>
      <w:r>
        <w:rPr>
          <w:rFonts w:ascii="Arial" w:cs="Arial" w:eastAsia="Arial" w:hAnsi="Arial"/>
          <w:sz w:val="18"/>
          <w:szCs w:val="18"/>
          <w:color w:val="auto"/>
        </w:rPr>
        <w:t xml:space="preserve"> calendar day immediately preceding the relevant Interest Payment Date (whether or not a business day)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sectPr>
      </w:pPr>
    </w:p>
    <w:bookmarkStart w:id="58" w:name="page59"/>
    <w:bookmarkEnd w:id="5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Rick Logsdon</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Assistant Secretary</w:t>
      </w:r>
    </w:p>
    <w:p>
      <w:pPr>
        <w:sectPr>
          <w:pgSz w:w="11900" w:h="16838" w:orient="portrait"/>
          <w:cols w:equalWidth="0" w:num="1">
            <w:col w:w="11000"/>
          </w:cols>
          <w:pgMar w:left="440" w:top="274" w:right="459" w:bottom="1440" w:gutter="0" w:footer="0" w:header="0"/>
        </w:sectPr>
      </w:pPr>
    </w:p>
    <w:bookmarkStart w:id="59" w:name="page60"/>
    <w:bookmarkEnd w:id="5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15,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Trustee</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K. Herberger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600"/>
          </w:cols>
          <w:pgMar w:left="440" w:top="274" w:right="8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1.900% Notes due 2031</w:t>
      </w:r>
    </w:p>
    <w:p>
      <w:pPr>
        <w:spacing w:after="0" w:line="225" w:lineRule="exact"/>
        <w:rPr>
          <w:sz w:val="20"/>
          <w:szCs w:val="20"/>
          <w:color w:val="auto"/>
        </w:rPr>
      </w:pPr>
    </w:p>
    <w:p>
      <w:pPr>
        <w:ind w:left="760" w:hanging="324"/>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September 15, 2021. Interest on this Note will be paid to but excluding the relevant Interest Payment Date. The Issuer will pay interest semi-annually in arrears on each Interest Payment Date, commencing March 15, 2022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278" w:lineRule="exact"/>
        <w:rPr>
          <w:sz w:val="20"/>
          <w:szCs w:val="20"/>
          <w:color w:val="auto"/>
        </w:rPr>
      </w:pPr>
    </w:p>
    <w:p>
      <w:pPr>
        <w:ind w:left="760" w:hanging="32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3"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274" w:lineRule="exact"/>
        <w:rPr>
          <w:sz w:val="20"/>
          <w:szCs w:val="20"/>
          <w:color w:val="auto"/>
        </w:rPr>
      </w:pPr>
    </w:p>
    <w:p>
      <w:pPr>
        <w:ind w:left="760" w:hanging="32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1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This Note is one of the 1.900% Notes due 2031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September 15, 2021,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w:t>
      </w:r>
    </w:p>
    <w:p>
      <w:pPr>
        <w:sectPr>
          <w:pgSz w:w="11900" w:h="16838" w:orient="portrait"/>
          <w:cols w:equalWidth="0" w:num="1">
            <w:col w:w="11000"/>
          </w:cols>
          <w:pgMar w:left="440" w:top="274" w:right="459" w:bottom="1440" w:gutter="0" w:footer="0" w:header="0"/>
        </w:sectPr>
      </w:pPr>
    </w:p>
    <w:bookmarkStart w:id="61" w:name="page62"/>
    <w:bookmarkEnd w:id="6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pacing w:after="0" w:line="63" w:lineRule="exact"/>
        <w:rPr>
          <w:sz w:val="20"/>
          <w:szCs w:val="20"/>
          <w:color w:val="auto"/>
        </w:rPr>
      </w:pPr>
    </w:p>
    <w:p>
      <w:pPr>
        <w:ind w:left="440" w:right="40" w:firstLine="423"/>
        <w:spacing w:after="0" w:line="273" w:lineRule="auto"/>
        <w:rPr>
          <w:sz w:val="20"/>
          <w:szCs w:val="20"/>
          <w:color w:val="auto"/>
        </w:rPr>
      </w:pPr>
      <w:r>
        <w:rPr>
          <w:rFonts w:ascii="Arial" w:cs="Arial" w:eastAsia="Arial" w:hAnsi="Arial"/>
          <w:sz w:val="17"/>
          <w:szCs w:val="17"/>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286" w:lineRule="exact"/>
        <w:rPr>
          <w:sz w:val="20"/>
          <w:szCs w:val="20"/>
          <w:color w:val="auto"/>
        </w:rPr>
      </w:pPr>
    </w:p>
    <w:p>
      <w:pPr>
        <w:ind w:left="760" w:hanging="32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300"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ectPr>
          <w:pgSz w:w="11900" w:h="16838" w:orient="portrait"/>
          <w:cols w:equalWidth="0" w:num="1">
            <w:col w:w="11000"/>
          </w:cols>
          <w:pgMar w:left="440" w:top="274" w:right="459" w:bottom="1440" w:gutter="0" w:footer="0" w:header="0"/>
        </w:sectPr>
      </w:pPr>
    </w:p>
    <w:bookmarkStart w:id="62" w:name="page63"/>
    <w:bookmarkEnd w:id="62"/>
    <w:p>
      <w:pPr>
        <w:ind w:left="760" w:hanging="32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p>
    <w:p>
      <w:pPr>
        <w:spacing w:after="0" w:line="117" w:lineRule="exact"/>
        <w:rPr>
          <w:sz w:val="20"/>
          <w:szCs w:val="20"/>
          <w:color w:val="auto"/>
        </w:rPr>
      </w:pPr>
    </w:p>
    <w:p>
      <w:pPr>
        <w:ind w:right="200" w:firstLine="436"/>
        <w:spacing w:after="0" w:line="263"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Prior to June 15, 2031 (the date that is three months prior to the maturity date of the Notes), the Issuer may at its option redeem the Notes, in whole or in part at any time, or from time to time, on at least 15 days but not more than 60 days prior notice, at a redemption price calculated by the Issuer equal to the greater of:</w:t>
      </w:r>
    </w:p>
    <w:p>
      <w:pPr>
        <w:spacing w:after="0" w:line="184" w:lineRule="exact"/>
        <w:rPr>
          <w:sz w:val="20"/>
          <w:szCs w:val="20"/>
          <w:color w:val="auto"/>
        </w:rPr>
      </w:pPr>
    </w:p>
    <w:p>
      <w:pPr>
        <w:ind w:left="780" w:hanging="344"/>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ind w:right="40" w:firstLine="436"/>
        <w:spacing w:after="0" w:line="259" w:lineRule="auto"/>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June 15, 2031 (the date that is three months prior to the maturity date of the Notes), in each case discounted to the date of redemption on a semi-annual basis (assuming a 360-day year consisting of twelve 30-day months) at the Treasury Rate (as defined below), plus 10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jc w:val="both"/>
        <w:ind w:firstLine="436"/>
        <w:spacing w:after="0" w:line="286" w:lineRule="auto"/>
        <w:tabs>
          <w:tab w:leader="none" w:pos="69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At any time on or after June 15, 2031 (the date that is three months prior to the maturity date of the Notes), the Issuer may at its option redeem the Notes, in whole or in part at any time and from time to time, on at least 15 days but not more than 60 days prior notice, at a redemption price equal to 100% of the principal amount of the Notes to be redeemed plus accrued interest thereon to the date of redemption.</w:t>
      </w:r>
    </w:p>
    <w:p>
      <w:pPr>
        <w:spacing w:after="0" w:line="16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jc w:val="both"/>
        <w:ind w:right="2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ectPr>
          <w:pgSz w:w="11900" w:h="16838" w:orient="portrait"/>
          <w:cols w:equalWidth="0" w:num="1">
            <w:col w:w="11000"/>
          </w:cols>
          <w:pgMar w:left="440" w:top="274" w:right="459" w:bottom="1440" w:gutter="0" w:footer="0" w:header="0"/>
        </w:sectPr>
      </w:pPr>
    </w:p>
    <w:bookmarkStart w:id="63" w:name="page64"/>
    <w:bookmarkEnd w:id="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xml:space="preserve">” means (i) Barclays Capital Inc., J.P. Morgan Securities LLC (or their respective affiliates that are Primary Treasury Dealers) and a Primary Treasury Dealer selected by MUFG Securities Americas Inc. and their respective successors;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65"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Notice of any redemption will be mailed at least 15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296" w:lineRule="exact"/>
        <w:rPr>
          <w:sz w:val="20"/>
          <w:szCs w:val="20"/>
          <w:color w:val="auto"/>
        </w:rPr>
      </w:pPr>
    </w:p>
    <w:p>
      <w:pPr>
        <w:ind w:left="760" w:hanging="32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w:t>
      </w:r>
    </w:p>
    <w:p>
      <w:pPr>
        <w:sectPr>
          <w:pgSz w:w="11900" w:h="16838" w:orient="portrait"/>
          <w:cols w:equalWidth="0" w:num="1">
            <w:col w:w="11000"/>
          </w:cols>
          <w:pgMar w:left="440" w:top="270" w:right="459" w:bottom="1440" w:gutter="0" w:footer="0" w:header="0"/>
        </w:sectPr>
      </w:pPr>
    </w:p>
    <w:bookmarkStart w:id="64" w:name="page65"/>
    <w:bookmarkEnd w:id="64"/>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65"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333"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Abbreviations and Defined Terms.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CUSIP Numbers.</w:t>
      </w:r>
    </w:p>
    <w:p>
      <w:pPr>
        <w:spacing w:after="0" w:line="117" w:lineRule="exact"/>
        <w:rPr>
          <w:sz w:val="20"/>
          <w:szCs w:val="20"/>
          <w:color w:val="auto"/>
        </w:rPr>
      </w:pPr>
    </w:p>
    <w:p>
      <w:pPr>
        <w:jc w:val="both"/>
        <w:ind w:right="44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273" w:lineRule="exact"/>
        <w:rPr>
          <w:sz w:val="20"/>
          <w:szCs w:val="20"/>
          <w:color w:val="auto"/>
        </w:rPr>
      </w:pPr>
    </w:p>
    <w:p>
      <w:pPr>
        <w:ind w:left="840" w:hanging="404"/>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0940"/>
          </w:cols>
          <w:pgMar w:left="440" w:top="274" w:right="51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8460" w:type="dxa"/>
            <w:vAlign w:val="bottom"/>
            <w:gridSpan w:val="2"/>
          </w:tcPr>
          <w:p>
            <w:pPr>
              <w:ind w:left="14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57"/>
        </w:trPr>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458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r>
      <w:tr>
        <w:trPr>
          <w:trHeight w:val="385"/>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w w:val="92"/>
              </w:rPr>
              <w:t>Your Signature:</w:t>
            </w:r>
          </w:p>
        </w:tc>
        <w:tc>
          <w:tcPr>
            <w:tcW w:w="4580" w:type="dxa"/>
            <w:vAlign w:val="bottom"/>
            <w:tcBorders>
              <w:bottom w:val="single" w:sz="8" w:color="auto"/>
            </w:tcBorders>
          </w:tcPr>
          <w:p>
            <w:pPr>
              <w:spacing w:after="0"/>
              <w:rPr>
                <w:sz w:val="24"/>
                <w:szCs w:val="24"/>
                <w:color w:val="auto"/>
              </w:rPr>
            </w:pPr>
          </w:p>
        </w:tc>
        <w:tc>
          <w:tcPr>
            <w:tcW w:w="3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306070</wp:posOffset>
            </wp:positionV>
            <wp:extent cx="32829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6"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66" w:name="page67"/>
    <w:bookmarkEnd w:id="66"/>
    <w:p>
      <w:pPr>
        <w:ind w:left="3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Physical Notes or a part of another Global Note have been made:</w:t>
      </w:r>
    </w:p>
    <w:p>
      <w:pPr>
        <w:sectPr>
          <w:pgSz w:w="11900" w:h="16838" w:orient="portrait"/>
          <w:cols w:equalWidth="0" w:num="1">
            <w:col w:w="10520"/>
          </w:cols>
          <w:pgMar w:left="440" w:top="274" w:right="93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9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4"/>
                <w:szCs w:val="14"/>
                <w:color w:val="auto"/>
              </w:rPr>
            </w:pPr>
          </w:p>
        </w:tc>
        <w:tc>
          <w:tcPr>
            <w:tcW w:w="190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Principal amount of</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0"/>
              </w:rPr>
              <w:t>Amount of increase</w:t>
            </w:r>
          </w:p>
        </w:tc>
        <w:tc>
          <w:tcPr>
            <w:tcW w:w="19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940" w:type="dxa"/>
            <w:vAlign w:val="bottom"/>
            <w:gridSpan w:val="2"/>
            <w:vMerge w:val="continue"/>
          </w:tcPr>
          <w:p>
            <w:pPr>
              <w:spacing w:after="0"/>
              <w:rPr>
                <w:sz w:val="12"/>
                <w:szCs w:val="12"/>
                <w:color w:val="auto"/>
              </w:rPr>
            </w:pPr>
          </w:p>
        </w:tc>
        <w:tc>
          <w:tcPr>
            <w:tcW w:w="19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19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decrease (or</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officer of</w:t>
            </w:r>
          </w:p>
        </w:tc>
        <w:tc>
          <w:tcPr>
            <w:tcW w:w="0" w:type="dxa"/>
            <w:vAlign w:val="bottom"/>
          </w:tcPr>
          <w:p>
            <w:pPr>
              <w:spacing w:after="0"/>
              <w:rPr>
                <w:sz w:val="1"/>
                <w:szCs w:val="1"/>
                <w:color w:val="auto"/>
              </w:rPr>
            </w:pPr>
          </w:p>
        </w:tc>
      </w:tr>
      <w:tr>
        <w:trPr>
          <w:trHeight w:val="171"/>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this Global Note</w:t>
            </w:r>
          </w:p>
        </w:tc>
        <w:tc>
          <w:tcPr>
            <w:tcW w:w="7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7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-7620</wp:posOffset>
            </wp:positionV>
            <wp:extent cx="642937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266065</wp:posOffset>
            </wp:positionV>
            <wp:extent cx="642937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ectPr>
          <w:pgSz w:w="11900" w:h="16838" w:orient="portrait"/>
          <w:cols w:equalWidth="0" w:num="2">
            <w:col w:w="4640" w:space="720"/>
            <w:col w:w="5160"/>
          </w:cols>
          <w:pgMar w:left="440" w:top="274" w:right="9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2051]</w:t>
      </w:r>
    </w:p>
    <w:p>
      <w:pPr>
        <w:spacing w:after="0" w:line="225"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UNLESS THIS NOTE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9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87"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70" w:right="4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2.700% Notes due 2051</w:t>
      </w:r>
    </w:p>
    <w:p>
      <w:pPr>
        <w:spacing w:after="0" w:line="238" w:lineRule="exact"/>
        <w:rPr>
          <w:sz w:val="20"/>
          <w:szCs w:val="20"/>
          <w:color w:val="auto"/>
        </w:rPr>
      </w:pPr>
    </w:p>
    <w:p>
      <w:pPr>
        <w:spacing w:after="0"/>
        <w:tabs>
          <w:tab w:leader="none" w:pos="9180" w:val="left"/>
        </w:tabs>
        <w:rPr>
          <w:sz w:val="20"/>
          <w:szCs w:val="20"/>
          <w:color w:val="auto"/>
        </w:rPr>
      </w:pPr>
      <w:r>
        <w:rPr>
          <w:rFonts w:ascii="Arial" w:cs="Arial" w:eastAsia="Arial" w:hAnsi="Arial"/>
          <w:sz w:val="18"/>
          <w:szCs w:val="18"/>
          <w:color w:val="auto"/>
        </w:rPr>
        <w:t>No. [1]</w:t>
      </w:r>
      <w:r>
        <w:rPr>
          <w:sz w:val="20"/>
          <w:szCs w:val="20"/>
          <w:color w:val="auto"/>
        </w:rPr>
        <w:tab/>
      </w:r>
      <w:r>
        <w:rPr>
          <w:rFonts w:ascii="Arial" w:cs="Arial" w:eastAsia="Arial" w:hAnsi="Arial"/>
          <w:sz w:val="16"/>
          <w:szCs w:val="16"/>
          <w:color w:val="auto"/>
        </w:rPr>
        <w:t>CUSIP No.: 882508BM5</w:t>
      </w:r>
    </w:p>
    <w:p>
      <w:pPr>
        <w:spacing w:after="0" w:line="23" w:lineRule="exact"/>
        <w:rPr>
          <w:sz w:val="20"/>
          <w:szCs w:val="20"/>
          <w:color w:val="auto"/>
        </w:rPr>
      </w:pPr>
    </w:p>
    <w:p>
      <w:pPr>
        <w:ind w:left="9020"/>
        <w:spacing w:after="0"/>
        <w:rPr>
          <w:sz w:val="20"/>
          <w:szCs w:val="20"/>
          <w:color w:val="auto"/>
        </w:rPr>
      </w:pPr>
      <w:r>
        <w:rPr>
          <w:rFonts w:ascii="Arial" w:cs="Arial" w:eastAsia="Arial" w:hAnsi="Arial"/>
          <w:sz w:val="17"/>
          <w:szCs w:val="17"/>
          <w:color w:val="auto"/>
        </w:rPr>
        <w:t>ISIN No.: US882508BM50</w:t>
      </w:r>
    </w:p>
    <w:p>
      <w:pPr>
        <w:spacing w:after="0" w:line="114" w:lineRule="exact"/>
        <w:rPr>
          <w:sz w:val="20"/>
          <w:szCs w:val="20"/>
          <w:color w:val="auto"/>
        </w:rPr>
      </w:pPr>
    </w:p>
    <w:p>
      <w:pPr>
        <w:ind w:left="10260"/>
        <w:spacing w:after="0"/>
        <w:tabs>
          <w:tab w:leader="none" w:pos="10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TEXAS INSTRUMENTS INCORPORATED, a Delaware corporation (the “</w:t>
      </w:r>
      <w:r>
        <w:rPr>
          <w:rFonts w:ascii="Arial" w:cs="Arial" w:eastAsia="Arial" w:hAnsi="Arial"/>
          <w:sz w:val="17"/>
          <w:szCs w:val="17"/>
          <w:b w:val="1"/>
          <w:bCs w:val="1"/>
          <w:color w:val="auto"/>
        </w:rPr>
        <w:t>Issuer</w:t>
      </w:r>
      <w:r>
        <w:rPr>
          <w:rFonts w:ascii="Arial" w:cs="Arial" w:eastAsia="Arial" w:hAnsi="Arial"/>
          <w:sz w:val="17"/>
          <w:szCs w:val="17"/>
          <w:color w:val="auto"/>
        </w:rPr>
        <w:t>”), for value received promises to pay to CEDE &amp; CO. or</w:t>
      </w:r>
    </w:p>
    <w:p>
      <w:pPr>
        <w:spacing w:after="0" w:line="3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registered assigns the principal sum of $[</w:t>
      </w:r>
      <w:r>
        <w:rPr>
          <w:sz w:val="20"/>
          <w:szCs w:val="20"/>
          <w:color w:val="auto"/>
        </w:rPr>
        <w:tab/>
      </w:r>
      <w:r>
        <w:rPr>
          <w:rFonts w:ascii="Arial" w:cs="Arial" w:eastAsia="Arial" w:hAnsi="Arial"/>
          <w:sz w:val="16"/>
          <w:szCs w:val="16"/>
          <w:color w:val="auto"/>
        </w:rPr>
        <w:t>] on September 15, 2051.</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March 15 and September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March 15, 2022.</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Interest Record Dates: The 15</w:t>
      </w:r>
      <w:r>
        <w:rPr>
          <w:rFonts w:ascii="Arial" w:cs="Arial" w:eastAsia="Arial" w:hAnsi="Arial"/>
          <w:sz w:val="15"/>
          <w:szCs w:val="15"/>
          <w:color w:val="auto"/>
        </w:rPr>
        <w:t>th</w:t>
      </w:r>
      <w:r>
        <w:rPr>
          <w:rFonts w:ascii="Arial" w:cs="Arial" w:eastAsia="Arial" w:hAnsi="Arial"/>
          <w:sz w:val="18"/>
          <w:szCs w:val="18"/>
          <w:color w:val="auto"/>
        </w:rPr>
        <w:t xml:space="preserve"> calendar day immediately preceding the relevant Interest Payment Date (whether or not a business day)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sectPr>
      </w:pPr>
    </w:p>
    <w:bookmarkStart w:id="69" w:name="page70"/>
    <w:bookmarkEnd w:id="6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25114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440"/>
        <w:spacing w:after="0"/>
        <w:tabs>
          <w:tab w:leader="none" w:pos="1120" w:val="left"/>
        </w:tabs>
        <w:rPr>
          <w:sz w:val="20"/>
          <w:szCs w:val="20"/>
          <w:color w:val="auto"/>
        </w:rPr>
      </w:pPr>
      <w:r>
        <w:rPr>
          <w:rFonts w:ascii="Arial" w:cs="Arial" w:eastAsia="Arial" w:hAnsi="Arial"/>
          <w:sz w:val="18"/>
          <w:szCs w:val="18"/>
          <w:color w:val="auto"/>
        </w:rPr>
        <w:t>Name:</w:t>
        <w:tab/>
        <w:t>Rick Logsdon</w:t>
      </w:r>
    </w:p>
    <w:p>
      <w:pPr>
        <w:spacing w:after="0" w:line="23" w:lineRule="exact"/>
        <w:rPr>
          <w:sz w:val="20"/>
          <w:szCs w:val="20"/>
          <w:color w:val="auto"/>
        </w:rPr>
      </w:pPr>
    </w:p>
    <w:p>
      <w:pPr>
        <w:ind w:left="44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Assistant Secretary</w:t>
      </w:r>
    </w:p>
    <w:p>
      <w:pPr>
        <w:sectPr>
          <w:pgSz w:w="11900" w:h="16838" w:orient="portrait"/>
          <w:cols w:equalWidth="0" w:num="1">
            <w:col w:w="11000"/>
          </w:cols>
          <w:pgMar w:left="440" w:top="274" w:right="45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15,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Trustee</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K. Herberger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600"/>
          </w:cols>
          <w:pgMar w:left="440" w:top="274" w:right="8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2.700% Notes due 2051</w:t>
      </w:r>
    </w:p>
    <w:p>
      <w:pPr>
        <w:spacing w:after="0" w:line="225" w:lineRule="exact"/>
        <w:rPr>
          <w:sz w:val="20"/>
          <w:szCs w:val="20"/>
          <w:color w:val="auto"/>
        </w:rPr>
      </w:pPr>
    </w:p>
    <w:p>
      <w:pPr>
        <w:ind w:left="760" w:hanging="324"/>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September 15, 2021. Interest on this Note will be paid to but excluding the relevant Interest Payment Date. The Issuer will pay interest semi-annually in arrears on each Interest Payment Date, commencing March 15, 2022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278" w:lineRule="exact"/>
        <w:rPr>
          <w:sz w:val="20"/>
          <w:szCs w:val="20"/>
          <w:color w:val="auto"/>
        </w:rPr>
      </w:pPr>
    </w:p>
    <w:p>
      <w:pPr>
        <w:ind w:left="760" w:hanging="324"/>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3"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274" w:lineRule="exact"/>
        <w:rPr>
          <w:sz w:val="20"/>
          <w:szCs w:val="20"/>
          <w:color w:val="auto"/>
        </w:rPr>
      </w:pPr>
    </w:p>
    <w:p>
      <w:pPr>
        <w:ind w:left="760" w:hanging="324"/>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1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This Note is one of the 2.700% Notes due 2051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September 15, 2021,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w:t>
      </w:r>
    </w:p>
    <w:p>
      <w:pPr>
        <w:sectPr>
          <w:pgSz w:w="11900" w:h="16838" w:orient="portrait"/>
          <w:cols w:equalWidth="0" w:num="1">
            <w:col w:w="11000"/>
          </w:cols>
          <w:pgMar w:left="440" w:top="274" w:right="45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pacing w:after="0" w:line="76" w:lineRule="exact"/>
        <w:rPr>
          <w:sz w:val="20"/>
          <w:szCs w:val="20"/>
          <w:color w:val="auto"/>
        </w:rPr>
      </w:pPr>
    </w:p>
    <w:p>
      <w:pPr>
        <w:ind w:left="440" w:right="40" w:firstLine="423"/>
        <w:spacing w:after="0" w:line="273" w:lineRule="auto"/>
        <w:rPr>
          <w:sz w:val="20"/>
          <w:szCs w:val="20"/>
          <w:color w:val="auto"/>
        </w:rPr>
      </w:pPr>
      <w:r>
        <w:rPr>
          <w:rFonts w:ascii="Arial" w:cs="Arial" w:eastAsia="Arial" w:hAnsi="Arial"/>
          <w:sz w:val="17"/>
          <w:szCs w:val="17"/>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286" w:lineRule="exact"/>
        <w:rPr>
          <w:sz w:val="20"/>
          <w:szCs w:val="20"/>
          <w:color w:val="auto"/>
        </w:rPr>
      </w:pPr>
    </w:p>
    <w:p>
      <w:pPr>
        <w:ind w:left="760" w:hanging="324"/>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300"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303" w:lineRule="exact"/>
        <w:rPr>
          <w:sz w:val="20"/>
          <w:szCs w:val="20"/>
          <w:color w:val="auto"/>
        </w:rPr>
      </w:pPr>
    </w:p>
    <w:p>
      <w:pPr>
        <w:ind w:left="760" w:hanging="32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right="200" w:firstLine="436"/>
        <w:spacing w:after="0" w:line="263" w:lineRule="auto"/>
        <w:tabs>
          <w:tab w:leader="none" w:pos="6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to March 15, 2051 (the date that is six months prior to the maturity date of the Notes), the Issuer may at its option redeem the Notes, in whole or in part at any time, or from time to time, on at least 15 days but not more than 60 days prior notice, at a redemption price calculated by the Issuer equal to the greater of:</w:t>
      </w:r>
    </w:p>
    <w:p>
      <w:pPr>
        <w:spacing w:after="0" w:line="184" w:lineRule="exact"/>
        <w:rPr>
          <w:sz w:val="20"/>
          <w:szCs w:val="20"/>
          <w:color w:val="auto"/>
        </w:rPr>
      </w:pPr>
    </w:p>
    <w:p>
      <w:pPr>
        <w:ind w:left="780" w:hanging="344"/>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ectPr>
          <w:pgSz w:w="11900" w:h="16838" w:orient="portrait"/>
          <w:cols w:equalWidth="0" w:num="1">
            <w:col w:w="11000"/>
          </w:cols>
          <w:pgMar w:left="440" w:top="274" w:right="459" w:bottom="1440" w:gutter="0" w:footer="0" w:header="0"/>
        </w:sectPr>
      </w:pPr>
    </w:p>
    <w:bookmarkStart w:id="73" w:name="page74"/>
    <w:bookmarkEnd w:id="73"/>
    <w:p>
      <w:pPr>
        <w:ind w:right="40" w:firstLine="436"/>
        <w:spacing w:after="0" w:line="259"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of the present values of the principal amount of such Notes and the scheduled payments of interest thereon (not including any portion of such payments of interest accrued as of the date of redemption) from the date of redemption to March 15, 2051 (the date that is six months prior to the maturity date of the Notes), in each case discounted to the date of redemption on a semi-annual basis (assuming a 360-day year consisting of twelve 30-day months) at the Treasury Rate (as defined below), plus 12.5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firstLine="436"/>
        <w:spacing w:after="0" w:line="286" w:lineRule="auto"/>
        <w:tabs>
          <w:tab w:leader="none" w:pos="69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At any time on or after March 15, 2051 (the date that is six months prior to the maturity date of the Notes), the Issuer may at its option redeem the Notes, in whole or in part at any time and from time to time, on at least 15 days but not more than 60 days prior notice, at a redemption price equal to 100% of the principal amount of the Notes to be redeemed plus accrued interest thereon to the date of redemption.</w:t>
      </w:r>
    </w:p>
    <w:p>
      <w:pPr>
        <w:spacing w:after="0" w:line="16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jc w:val="both"/>
        <w:ind w:right="2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xml:space="preserve">” means (i) Barclays Capital Inc., J.P. Morgan Securities LLC (or their respective affiliates that are Primary Treasury Dealers) and a Primary Treasury Dealer selected by MUFG Securities Americas Inc. and their respective successors;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ectPr>
          <w:pgSz w:w="11900" w:h="16838" w:orient="portrait"/>
          <w:cols w:equalWidth="0" w:num="1">
            <w:col w:w="11000"/>
          </w:cols>
          <w:pgMar w:left="440" w:top="274" w:right="459" w:bottom="1440" w:gutter="0" w:footer="0" w:header="0"/>
        </w:sectPr>
      </w:pPr>
    </w:p>
    <w:bookmarkStart w:id="74" w:name="page75"/>
    <w:bookmarkEnd w:id="74"/>
    <w:p>
      <w:pPr>
        <w:ind w:right="14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Notice of any redemption will be mailed at least 15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296" w:lineRule="exact"/>
        <w:rPr>
          <w:sz w:val="20"/>
          <w:szCs w:val="20"/>
          <w:color w:val="auto"/>
        </w:rPr>
      </w:pPr>
    </w:p>
    <w:p>
      <w:pPr>
        <w:ind w:left="760" w:hanging="324"/>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74"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ectPr>
          <w:pgSz w:w="11900" w:h="16838" w:orient="portrait"/>
          <w:cols w:equalWidth="0" w:num="1">
            <w:col w:w="11000"/>
          </w:cols>
          <w:pgMar w:left="440" w:top="270" w:right="459" w:bottom="1440" w:gutter="0" w:footer="0" w:header="0"/>
        </w:sectPr>
      </w:pPr>
    </w:p>
    <w:bookmarkStart w:id="75" w:name="page76"/>
    <w:bookmarkEnd w:id="75"/>
    <w:p>
      <w:pPr>
        <w:ind w:left="440"/>
        <w:spacing w:after="0"/>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w:t>
      </w:r>
      <w:r>
        <w:rPr>
          <w:sz w:val="20"/>
          <w:szCs w:val="20"/>
          <w:color w:val="auto"/>
        </w:rPr>
        <w:tab/>
      </w:r>
      <w:r>
        <w:rPr>
          <w:rFonts w:ascii="Arial" w:cs="Arial" w:eastAsia="Arial" w:hAnsi="Arial"/>
          <w:sz w:val="16"/>
          <w:szCs w:val="16"/>
          <w:color w:val="auto"/>
        </w:rPr>
        <w:t>Abbreviations and Defined Terms.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CUSIP Numbers.</w:t>
      </w:r>
    </w:p>
    <w:p>
      <w:pPr>
        <w:spacing w:after="0" w:line="117" w:lineRule="exact"/>
        <w:rPr>
          <w:sz w:val="20"/>
          <w:szCs w:val="20"/>
          <w:color w:val="auto"/>
        </w:rPr>
      </w:pPr>
    </w:p>
    <w:p>
      <w:pPr>
        <w:jc w:val="both"/>
        <w:ind w:right="44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273" w:lineRule="exact"/>
        <w:rPr>
          <w:sz w:val="20"/>
          <w:szCs w:val="20"/>
          <w:color w:val="auto"/>
        </w:rPr>
      </w:pPr>
    </w:p>
    <w:p>
      <w:pPr>
        <w:ind w:left="840" w:hanging="404"/>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0940"/>
          </w:cols>
          <w:pgMar w:left="440" w:top="274" w:right="51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8460" w:type="dxa"/>
            <w:vAlign w:val="bottom"/>
            <w:gridSpan w:val="2"/>
          </w:tcPr>
          <w:p>
            <w:pPr>
              <w:ind w:left="14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56"/>
        </w:trPr>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spacing w:after="0"/>
              <w:rPr>
                <w:sz w:val="22"/>
                <w:szCs w:val="22"/>
                <w:color w:val="auto"/>
              </w:rPr>
            </w:pPr>
          </w:p>
        </w:tc>
        <w:tc>
          <w:tcPr>
            <w:tcW w:w="5180" w:type="dxa"/>
            <w:vAlign w:val="bottom"/>
            <w:tcBorders>
              <w:bottom w:val="single" w:sz="8" w:color="auto"/>
            </w:tcBorders>
          </w:tcPr>
          <w:p>
            <w:pPr>
              <w:spacing w:after="0"/>
              <w:rPr>
                <w:sz w:val="22"/>
                <w:szCs w:val="22"/>
                <w:color w:val="auto"/>
              </w:rPr>
            </w:pPr>
          </w:p>
        </w:tc>
      </w:tr>
      <w:tr>
        <w:trPr>
          <w:trHeight w:val="385"/>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w w:val="92"/>
              </w:rPr>
              <w:t>Your Signature:</w:t>
            </w:r>
          </w:p>
        </w:tc>
        <w:tc>
          <w:tcPr>
            <w:tcW w:w="3280" w:type="dxa"/>
            <w:vAlign w:val="bottom"/>
            <w:tcBorders>
              <w:bottom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306070</wp:posOffset>
            </wp:positionV>
            <wp:extent cx="32829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77" w:name="page78"/>
    <w:bookmarkEnd w:id="77"/>
    <w:p>
      <w:pPr>
        <w:ind w:left="3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of a part of this Global Note for Physical Notes or a part of another Global Note have been made:</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Amount of decrease in</w:t>
            </w:r>
          </w:p>
        </w:tc>
        <w:tc>
          <w:tcPr>
            <w:tcW w:w="20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Amount of increase in</w:t>
            </w:r>
          </w:p>
        </w:tc>
        <w:tc>
          <w:tcPr>
            <w:tcW w:w="20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Principal amount of</w:t>
            </w:r>
          </w:p>
        </w:tc>
        <w:tc>
          <w:tcPr>
            <w:tcW w:w="12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1560" w:type="dxa"/>
            <w:vAlign w:val="bottom"/>
          </w:tcPr>
          <w:p>
            <w:pPr>
              <w:spacing w:after="0"/>
              <w:rPr>
                <w:sz w:val="12"/>
                <w:szCs w:val="12"/>
                <w:color w:val="auto"/>
              </w:rPr>
            </w:pPr>
          </w:p>
        </w:tc>
        <w:tc>
          <w:tcPr>
            <w:tcW w:w="2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2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20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authorized officer of</w:t>
            </w:r>
          </w:p>
        </w:tc>
        <w:tc>
          <w:tcPr>
            <w:tcW w:w="0" w:type="dxa"/>
            <w:vAlign w:val="bottom"/>
          </w:tcPr>
          <w:p>
            <w:pPr>
              <w:spacing w:after="0"/>
              <w:rPr>
                <w:sz w:val="1"/>
                <w:szCs w:val="1"/>
                <w:color w:val="auto"/>
              </w:rPr>
            </w:pPr>
          </w:p>
        </w:tc>
      </w:tr>
      <w:tr>
        <w:trPr>
          <w:trHeight w:val="165"/>
        </w:trPr>
        <w:tc>
          <w:tcPr>
            <w:tcW w:w="108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208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3"/>
              </w:rPr>
              <w:t>this Global Note</w:t>
            </w:r>
          </w:p>
        </w:tc>
        <w:tc>
          <w:tcPr>
            <w:tcW w:w="208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3"/>
              </w:rPr>
              <w:t>this Global Note</w:t>
            </w:r>
          </w:p>
        </w:tc>
        <w:tc>
          <w:tcPr>
            <w:tcW w:w="204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88"/>
              </w:rPr>
              <w:t>decrease (or increase)</w:t>
            </w:r>
          </w:p>
        </w:tc>
        <w:tc>
          <w:tcPr>
            <w:tcW w:w="12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440" w:top="274" w:right="8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9979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davispolk.com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have acted as special counsel for Texas Instruments Incorporated,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Company’s offering of $500,000,000 aggregate principal amount of 1.125% Notes due 2026, $500,000,000 aggregate principal amount of 1.900% Notes due 2031 and $500,000,000 aggregate principal amount of 2.700% Notes due 2051 (collectively, the “</w:t>
      </w:r>
      <w:r>
        <w:rPr>
          <w:rFonts w:ascii="Arial" w:cs="Arial" w:eastAsia="Arial" w:hAnsi="Arial"/>
          <w:sz w:val="17"/>
          <w:szCs w:val="17"/>
          <w:b w:val="1"/>
          <w:bCs w:val="1"/>
          <w:color w:val="auto"/>
        </w:rPr>
        <w:t>Notes</w:t>
      </w:r>
      <w:r>
        <w:rPr>
          <w:rFonts w:ascii="Arial" w:cs="Arial" w:eastAsia="Arial" w:hAnsi="Arial"/>
          <w:sz w:val="17"/>
          <w:szCs w:val="17"/>
          <w:color w:val="auto"/>
        </w:rPr>
        <w:t>”) in an underwritten public offering pursuant to an underwriting agreement dated September 7, 2021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among the Company and Barclays Capital Inc., J.P. Morgan Securities LLC and MUFG Securities Americas Inc. (the “</w:t>
      </w:r>
      <w:r>
        <w:rPr>
          <w:rFonts w:ascii="Arial" w:cs="Arial" w:eastAsia="Arial" w:hAnsi="Arial"/>
          <w:sz w:val="17"/>
          <w:szCs w:val="17"/>
          <w:b w:val="1"/>
          <w:bCs w:val="1"/>
          <w:color w:val="auto"/>
        </w:rPr>
        <w:t>Representatives</w:t>
      </w:r>
      <w:r>
        <w:rPr>
          <w:rFonts w:ascii="Arial" w:cs="Arial" w:eastAsia="Arial" w:hAnsi="Arial"/>
          <w:sz w:val="17"/>
          <w:szCs w:val="17"/>
          <w:color w:val="auto"/>
        </w:rPr>
        <w:t>”), as representatives of the several underwriters listed in Schedule II thereto (the “</w:t>
      </w:r>
      <w:r>
        <w:rPr>
          <w:rFonts w:ascii="Arial" w:cs="Arial" w:eastAsia="Arial" w:hAnsi="Arial"/>
          <w:sz w:val="17"/>
          <w:szCs w:val="17"/>
          <w:b w:val="1"/>
          <w:bCs w:val="1"/>
          <w:color w:val="auto"/>
        </w:rPr>
        <w:t>Underwriters</w:t>
      </w:r>
      <w:r>
        <w:rPr>
          <w:rFonts w:ascii="Arial" w:cs="Arial" w:eastAsia="Arial" w:hAnsi="Arial"/>
          <w:sz w:val="17"/>
          <w:szCs w:val="17"/>
          <w:color w:val="auto"/>
        </w:rPr>
        <w:t>”). The Notes are to be issued pursuant to an Indenture dated as of May 23, 2011 (the “</w:t>
      </w:r>
      <w:r>
        <w:rPr>
          <w:rFonts w:ascii="Arial" w:cs="Arial" w:eastAsia="Arial" w:hAnsi="Arial"/>
          <w:sz w:val="17"/>
          <w:szCs w:val="17"/>
          <w:b w:val="1"/>
          <w:bCs w:val="1"/>
          <w:color w:val="auto"/>
        </w:rPr>
        <w:t>Indenture</w:t>
      </w:r>
      <w:r>
        <w:rPr>
          <w:rFonts w:ascii="Arial" w:cs="Arial" w:eastAsia="Arial" w:hAnsi="Arial"/>
          <w:sz w:val="17"/>
          <w:szCs w:val="17"/>
          <w:color w:val="auto"/>
        </w:rPr>
        <w:t>”) by and between the Company and U.S. Bank National Association, as Trustee, and an Officers’ Certificate to be issued pursuant thereto on or about September 15, 2021. The Company has filed with the Securities and Exchange Commission a Registration Statement on Form S-3 (File No. 333-229797,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offer and sale of certain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Notes.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w:t>
      </w:r>
    </w:p>
    <w:p>
      <w:pPr>
        <w:sectPr>
          <w:pgSz w:w="11900" w:h="16838" w:orient="portrait"/>
          <w:cols w:equalWidth="0" w:num="1">
            <w:col w:w="11020"/>
          </w:cols>
          <w:pgMar w:left="440" w:top="121" w:right="439" w:bottom="1440" w:gutter="0" w:footer="0" w:header="0"/>
        </w:sectPr>
      </w:pPr>
    </w:p>
    <w:bookmarkStart w:id="79" w:name="page80"/>
    <w:bookmarkEnd w:id="79"/>
    <w:p>
      <w:pPr>
        <w:spacing w:after="0"/>
        <w:tabs>
          <w:tab w:leader="none" w:pos="55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September 15, 2021</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opinion expressed above, we have assumed that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lowerRoman"/>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lowerLetter"/>
      <w:start w:val="1"/>
    </w:lvl>
    <w:lvl w:ilvl="1">
      <w:lvlJc w:val="left"/>
      <w:lvlText w:val="(%2)"/>
      <w:numFmt w:val="lowerLetter"/>
      <w:start w:val="9"/>
    </w:lvl>
  </w:abstractNum>
  <w:abstractNum w:abstractNumId="5">
    <w:nsid w:val="4516DDE9"/>
    <w:multiLevelType w:val="hybridMultilevel"/>
    <w:lvl w:ilvl="0">
      <w:lvlJc w:val="left"/>
      <w:lvlText w:val="(%1)"/>
      <w:numFmt w:val="lowerRoman"/>
      <w:start w:val="2"/>
    </w:lvl>
    <w:lvl w:ilvl="1">
      <w:lvlJc w:val="left"/>
      <w:lvlText w:val="(%2)"/>
      <w:numFmt w:val="upperLetter"/>
      <w:start w:val="1"/>
    </w:lvl>
  </w:abstractNum>
  <w:abstractNum w:abstractNumId="6">
    <w:nsid w:val="3006C83E"/>
    <w:multiLevelType w:val="hybridMultilevel"/>
    <w:lvl w:ilvl="0">
      <w:lvlJc w:val="left"/>
      <w:lvlText w:val="(%1)"/>
      <w:numFmt w:val="lowerRoman"/>
      <w:start w:val="8"/>
    </w:lvl>
    <w:lvl w:ilvl="1">
      <w:lvlJc w:val="left"/>
      <w:lvlText w:val="(%2)"/>
      <w:numFmt w:val="upperLetter"/>
      <w:start w:val="1"/>
    </w:lvl>
  </w:abstractNum>
  <w:abstractNum w:abstractNumId="7">
    <w:nsid w:val="614FD4A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
    <w:nsid w:val="419AC241"/>
    <w:multiLevelType w:val="hybridMultilevel"/>
    <w:lvl w:ilvl="0">
      <w:lvlJc w:val="left"/>
      <w:lvlText w:val="(%1)"/>
      <w:numFmt w:val="lowerRoman"/>
      <w:start w:val="4"/>
    </w:lvl>
    <w:lvl w:ilvl="1">
      <w:lvlJc w:val="left"/>
      <w:lvlText w:val="(%2)"/>
      <w:numFmt w:val="upperLetter"/>
      <w:start w:val="1"/>
    </w:lvl>
  </w:abstractNum>
  <w:abstractNum w:abstractNumId="9">
    <w:nsid w:val="5577F8E1"/>
    <w:multiLevelType w:val="hybridMultilevel"/>
    <w:lvl w:ilvl="0">
      <w:lvlJc w:val="left"/>
      <w:lvlText w:val="(%1)"/>
      <w:numFmt w:val="lowerRoman"/>
      <w:start w:val="9"/>
    </w:lvl>
  </w:abstractNum>
  <w:abstractNum w:abstractNumId="10">
    <w:nsid w:val="440BADFC"/>
    <w:multiLevelType w:val="hybridMultilevel"/>
    <w:lvl w:ilvl="0">
      <w:lvlJc w:val="left"/>
      <w:lvlText w:val="%1"/>
      <w:numFmt w:val="lowerLetter"/>
      <w:start w:val="1"/>
    </w:lvl>
    <w:lvl w:ilvl="1">
      <w:lvlJc w:val="left"/>
      <w:lvlText w:val="(%2)"/>
      <w:numFmt w:val="lowerRoman"/>
      <w:start w:val="12"/>
    </w:lvl>
    <w:lvl w:ilvl="2">
      <w:lvlJc w:val="left"/>
      <w:lvlText w:val="(%3)"/>
      <w:numFmt w:val="upperLetter"/>
      <w:start w:val="1"/>
    </w:lvl>
  </w:abstractNum>
  <w:abstractNum w:abstractNumId="11">
    <w:nsid w:val="507236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
    <w:nsid w:val="3804823E"/>
    <w:multiLevelType w:val="hybridMultilevel"/>
    <w:lvl w:ilvl="0">
      <w:lvlJc w:val="left"/>
      <w:lvlText w:val="(%1)"/>
      <w:numFmt w:val="lowerLetter"/>
      <w:start w:val="5"/>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lowerLetter"/>
      <w:start w:val="3"/>
    </w:lvl>
  </w:abstractNum>
  <w:abstractNum w:abstractNumId="15">
    <w:nsid w:val="5C482A97"/>
    <w:multiLevelType w:val="hybridMultilevel"/>
    <w:lvl w:ilvl="0">
      <w:lvlJc w:val="left"/>
      <w:lvlText w:val="(%1)"/>
      <w:numFmt w:val="lowerLetter"/>
      <w:start w:val="7"/>
    </w:lvl>
  </w:abstractNum>
  <w:abstractNum w:abstractNumId="16">
    <w:nsid w:val="2463B9EA"/>
    <w:multiLevelType w:val="hybridMultilevel"/>
    <w:lvl w:ilvl="0">
      <w:lvlJc w:val="left"/>
      <w:lvlText w:val="%1"/>
      <w:numFmt w:val="lowerLetter"/>
      <w:start w:val="1"/>
    </w:lvl>
    <w:lvl w:ilvl="1">
      <w:lvlJc w:val="left"/>
      <w:lvlText w:val="(%2)"/>
      <w:numFmt w:val="lowerLetter"/>
      <w:start w:val="13"/>
    </w:lvl>
  </w:abstractNum>
  <w:abstractNum w:abstractNumId="17">
    <w:nsid w:val="5E884ADC"/>
    <w:multiLevelType w:val="hybridMultilevel"/>
    <w:lvl w:ilvl="0">
      <w:lvlJc w:val="left"/>
      <w:lvlText w:val="(%1)"/>
      <w:numFmt w:val="lowerLetter"/>
      <w:start w:val="22"/>
    </w:lvl>
    <w:lvl w:ilvl="1">
      <w:lvlJc w:val="left"/>
      <w:lvlText w:val="%2"/>
      <w:numFmt w:val="lowerLetter"/>
      <w:start w:val="1"/>
    </w:lvl>
  </w:abstractNum>
  <w:abstractNum w:abstractNumId="18">
    <w:nsid w:val="51EAD36B"/>
    <w:multiLevelType w:val="hybridMultilevel"/>
    <w:lvl w:ilvl="0">
      <w:lvlJc w:val="left"/>
      <w:lvlText w:val="(%1)"/>
      <w:numFmt w:val="lowerLetter"/>
      <w:start w:val="1"/>
    </w:lvl>
  </w:abstractNum>
  <w:abstractNum w:abstractNumId="19">
    <w:nsid w:val="2D517796"/>
    <w:multiLevelType w:val="hybridMultilevel"/>
    <w:lvl w:ilvl="0">
      <w:lvlJc w:val="left"/>
      <w:lvlText w:val="(%1)"/>
      <w:numFmt w:val="lowerLetter"/>
      <w:start w:val="4"/>
    </w:lvl>
  </w:abstractNum>
  <w:abstractNum w:abstractNumId="20">
    <w:nsid w:val="580BD78F"/>
    <w:multiLevelType w:val="hybridMultilevel"/>
    <w:lvl w:ilvl="0">
      <w:lvlJc w:val="left"/>
      <w:lvlText w:val="%1"/>
      <w:numFmt w:val="decimal"/>
      <w:start w:val="1"/>
    </w:lvl>
    <w:lvl w:ilvl="1">
      <w:lvlJc w:val="left"/>
      <w:lvlText w:val="(%2)"/>
      <w:numFmt w:val="lowerLetter"/>
      <w:start w:val="9"/>
    </w:lvl>
  </w:abstractNum>
  <w:abstractNum w:abstractNumId="21">
    <w:nsid w:val="153EA438"/>
    <w:multiLevelType w:val="hybridMultilevel"/>
    <w:lvl w:ilvl="0">
      <w:lvlJc w:val="left"/>
      <w:lvlText w:val="(%1)"/>
      <w:numFmt w:val="decimal"/>
      <w:start w:val="2"/>
    </w:lvl>
    <w:lvl w:ilvl="1">
      <w:lvlJc w:val="left"/>
      <w:lvlText w:val="(%2)"/>
      <w:numFmt w:val="lowerLetter"/>
      <w:start w:val="11"/>
    </w:lvl>
  </w:abstractNum>
  <w:abstractNum w:abstractNumId="22">
    <w:nsid w:val="3855585C"/>
    <w:multiLevelType w:val="hybridMultilevel"/>
    <w:lvl w:ilvl="0">
      <w:lvlJc w:val="left"/>
      <w:lvlText w:val="(%1)"/>
      <w:numFmt w:val="lowerLetter"/>
      <w:start w:val="15"/>
    </w:lvl>
  </w:abstractNum>
  <w:abstractNum w:abstractNumId="23">
    <w:nsid w:val="70A64E2A"/>
    <w:multiLevelType w:val="hybridMultilevel"/>
    <w:lvl w:ilvl="0">
      <w:lvlJc w:val="left"/>
      <w:lvlText w:val="(%1)"/>
      <w:numFmt w:val="lowerRoman"/>
      <w:start w:val="2"/>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1"/>
    </w:lvl>
    <w:lvl w:ilvl="1">
      <w:lvlJc w:val="left"/>
      <w:lvlText w:val="(%2)"/>
      <w:numFmt w:val="lowerLetter"/>
      <w:start w:val="1"/>
    </w:lvl>
  </w:abstractNum>
  <w:abstractNum w:abstractNumId="26">
    <w:nsid w:val="1D4ED43B"/>
    <w:multiLevelType w:val="hybridMultilevel"/>
    <w:lvl w:ilvl="0">
      <w:lvlJc w:val="left"/>
      <w:lvlText w:val="(%1)"/>
      <w:numFmt w:val="lowerLetter"/>
      <w:start w:val="35"/>
    </w:lvl>
    <w:lvl w:ilvl="1">
      <w:lvlJc w:val="left"/>
      <w:lvlText w:val="%2"/>
      <w:numFmt w:val="lowerLetter"/>
      <w:start w:val="1"/>
    </w:lvl>
  </w:abstractNum>
  <w:abstractNum w:abstractNumId="27">
    <w:nsid w:val="725A06FB"/>
    <w:multiLevelType w:val="hybridMultilevel"/>
    <w:lvl w:ilvl="0">
      <w:lvlJc w:val="left"/>
      <w:lvlText w:val="(%1)"/>
      <w:numFmt w:val="lowerRoman"/>
      <w:start w:val="1"/>
    </w:lvl>
  </w:abstractNum>
  <w:abstractNum w:abstractNumId="28">
    <w:nsid w:val="2CD89A32"/>
    <w:multiLevelType w:val="hybridMultilevel"/>
    <w:lvl w:ilvl="0">
      <w:lvlJc w:val="left"/>
      <w:lvlText w:val="(%1)"/>
      <w:numFmt w:val="lowerRoman"/>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2"/>
    </w:lvl>
  </w:abstractNum>
  <w:abstractNum w:abstractNumId="31">
    <w:nsid w:val="4B588F54"/>
    <w:multiLevelType w:val="hybridMultilevel"/>
    <w:lvl w:ilvl="0">
      <w:lvlJc w:val="left"/>
      <w:lvlText w:val="%1."/>
      <w:numFmt w:val="decimal"/>
      <w:start w:val="3"/>
    </w:lvl>
  </w:abstractNum>
  <w:abstractNum w:abstractNumId="32">
    <w:nsid w:val="542289EC"/>
    <w:multiLevelType w:val="hybridMultilevel"/>
    <w:lvl w:ilvl="0">
      <w:lvlJc w:val="left"/>
      <w:lvlText w:val="%1."/>
      <w:numFmt w:val="decimal"/>
      <w:start w:val="4"/>
    </w:lvl>
  </w:abstractNum>
  <w:abstractNum w:abstractNumId="33">
    <w:nsid w:val="6DE91B18"/>
    <w:multiLevelType w:val="hybridMultilevel"/>
    <w:lvl w:ilvl="0">
      <w:lvlJc w:val="left"/>
      <w:lvlText w:val="%1."/>
      <w:numFmt w:val="decimal"/>
      <w:start w:val="6"/>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lowerRoman"/>
      <w:start w:val="1"/>
    </w:lvl>
  </w:abstractNum>
  <w:abstractNum w:abstractNumId="36">
    <w:nsid w:val="32FFF902"/>
    <w:multiLevelType w:val="hybridMultilevel"/>
    <w:lvl w:ilvl="0">
      <w:lvlJc w:val="left"/>
      <w:lvlText w:val="(%1)"/>
      <w:numFmt w:val="lowerLetter"/>
      <w:start w:val="2"/>
    </w:lvl>
  </w:abstractNum>
  <w:abstractNum w:abstractNumId="37">
    <w:nsid w:val="684A481A"/>
    <w:multiLevelType w:val="hybridMultilevel"/>
    <w:lvl w:ilvl="0">
      <w:lvlJc w:val="left"/>
      <w:lvlText w:val="%1."/>
      <w:numFmt w:val="decimal"/>
      <w:start w:val="7"/>
    </w:lvl>
  </w:abstractNum>
  <w:abstractNum w:abstractNumId="38">
    <w:nsid w:val="579478FE"/>
    <w:multiLevelType w:val="hybridMultilevel"/>
    <w:lvl w:ilvl="0">
      <w:lvlJc w:val="left"/>
      <w:lvlText w:val="%1."/>
      <w:numFmt w:val="decimal"/>
      <w:start w:val="1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2"/>
    </w:lvl>
  </w:abstractNum>
  <w:abstractNum w:abstractNumId="41">
    <w:nsid w:val="1BA026FA"/>
    <w:multiLevelType w:val="hybridMultilevel"/>
    <w:lvl w:ilvl="0">
      <w:lvlJc w:val="left"/>
      <w:lvlText w:val="%1."/>
      <w:numFmt w:val="decimal"/>
      <w:start w:val="3"/>
    </w:lvl>
  </w:abstractNum>
  <w:abstractNum w:abstractNumId="42">
    <w:nsid w:val="79A1DEAA"/>
    <w:multiLevelType w:val="hybridMultilevel"/>
    <w:lvl w:ilvl="0">
      <w:lvlJc w:val="left"/>
      <w:lvlText w:val="%1."/>
      <w:numFmt w:val="decimal"/>
      <w:start w:val="4"/>
    </w:lvl>
  </w:abstractNum>
  <w:abstractNum w:abstractNumId="43">
    <w:nsid w:val="75C6C33A"/>
    <w:multiLevelType w:val="hybridMultilevel"/>
    <w:lvl w:ilvl="0">
      <w:lvlJc w:val="left"/>
      <w:lvlText w:val="%1."/>
      <w:numFmt w:val="decimal"/>
      <w:start w:val="6"/>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Roman"/>
      <w:start w:val="1"/>
    </w:lvl>
  </w:abstractNum>
  <w:abstractNum w:abstractNumId="46">
    <w:nsid w:val="520EEDD1"/>
    <w:multiLevelType w:val="hybridMultilevel"/>
    <w:lvl w:ilvl="0">
      <w:lvlJc w:val="left"/>
      <w:lvlText w:val="(%1)"/>
      <w:numFmt w:val="lowerLetter"/>
      <w:start w:val="2"/>
    </w:lvl>
  </w:abstractNum>
  <w:abstractNum w:abstractNumId="47">
    <w:nsid w:val="374A3FE6"/>
    <w:multiLevelType w:val="hybridMultilevel"/>
    <w:lvl w:ilvl="0">
      <w:lvlJc w:val="left"/>
      <w:lvlText w:val="%1."/>
      <w:numFmt w:val="decimal"/>
      <w:start w:val="7"/>
    </w:lvl>
  </w:abstractNum>
  <w:abstractNum w:abstractNumId="48">
    <w:nsid w:val="4F4EF005"/>
    <w:multiLevelType w:val="hybridMultilevel"/>
    <w:lvl w:ilvl="0">
      <w:lvlJc w:val="left"/>
      <w:lvlText w:val="%1."/>
      <w:numFmt w:val="decimal"/>
      <w:start w:val="1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2"/>
    </w:lvl>
  </w:abstractNum>
  <w:abstractNum w:abstractNumId="51">
    <w:nsid w:val="275AC794"/>
    <w:multiLevelType w:val="hybridMultilevel"/>
    <w:lvl w:ilvl="0">
      <w:lvlJc w:val="left"/>
      <w:lvlText w:val="%1."/>
      <w:numFmt w:val="decimal"/>
      <w:start w:val="3"/>
    </w:lvl>
  </w:abstractNum>
  <w:abstractNum w:abstractNumId="52">
    <w:nsid w:val="39386575"/>
    <w:multiLevelType w:val="hybridMultilevel"/>
    <w:lvl w:ilvl="0">
      <w:lvlJc w:val="left"/>
      <w:lvlText w:val="%1."/>
      <w:numFmt w:val="decimal"/>
      <w:start w:val="4"/>
    </w:lvl>
  </w:abstractNum>
  <w:abstractNum w:abstractNumId="53">
    <w:nsid w:val="1CF10FD8"/>
    <w:multiLevelType w:val="hybridMultilevel"/>
    <w:lvl w:ilvl="0">
      <w:lvlJc w:val="left"/>
      <w:lvlText w:val="%1."/>
      <w:numFmt w:val="decimal"/>
      <w:start w:val="6"/>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Roman"/>
      <w:start w:val="1"/>
    </w:lvl>
  </w:abstractNum>
  <w:abstractNum w:abstractNumId="56">
    <w:nsid w:val="47398C89"/>
    <w:multiLevelType w:val="hybridMultilevel"/>
    <w:lvl w:ilvl="0">
      <w:lvlJc w:val="left"/>
      <w:lvlText w:val="(%1)"/>
      <w:numFmt w:val="lowerRoman"/>
      <w:start w:val="2"/>
    </w:lvl>
  </w:abstractNum>
  <w:abstractNum w:abstractNumId="57">
    <w:nsid w:val="354FE9F9"/>
    <w:multiLevelType w:val="hybridMultilevel"/>
    <w:lvl w:ilvl="0">
      <w:lvlJc w:val="left"/>
      <w:lvlText w:val="(%1)"/>
      <w:numFmt w:val="lowerLetter"/>
      <w:start w:val="2"/>
    </w:lvl>
  </w:abstractNum>
  <w:abstractNum w:abstractNumId="58">
    <w:nsid w:val="15B5AF5C"/>
    <w:multiLevelType w:val="hybridMultilevel"/>
    <w:lvl w:ilvl="0">
      <w:lvlJc w:val="left"/>
      <w:lvlText w:val="%1."/>
      <w:numFmt w:val="decimal"/>
      <w:start w:val="7"/>
    </w:lvl>
  </w:abstractNum>
  <w:abstractNum w:abstractNumId="59">
    <w:nsid w:val="741226B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2021-09-15T15:28:44Z</dcterms:created>
  <dcterms:modified xsi:type="dcterms:W3CDTF">2021-09-15T15:28:44Z</dcterms:modified>
</cp:coreProperties>
</file>