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02/07/2011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7,465</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257,501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02/07/2011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7,465</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jc w:val="center"/>
              <w:ind w:right="357"/>
              <w:spacing w:after="0"/>
              <w:rPr>
                <w:sz w:val="20"/>
                <w:szCs w:val="20"/>
                <w:color w:val="auto"/>
              </w:rPr>
            </w:pPr>
            <w:r>
              <w:rPr>
                <w:rFonts w:ascii="Arial" w:cs="Arial" w:eastAsia="Arial" w:hAnsi="Arial"/>
                <w:sz w:val="18"/>
                <w:szCs w:val="18"/>
                <w:color w:val="0000FF"/>
                <w:w w:val="87"/>
              </w:rPr>
              <w:t>16,909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1,736.45</w:t>
            </w:r>
            <w:r>
              <w:rPr>
                <w:rFonts w:ascii="Arial" w:cs="Arial" w:eastAsia="Arial" w:hAnsi="Arial"/>
                <w:sz w:val="22"/>
                <w:szCs w:val="22"/>
                <w:color w:val="008000"/>
                <w:w w:val="84"/>
                <w:vertAlign w:val="superscript"/>
              </w:rPr>
              <w:t>(1)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97.65</w:t>
            </w:r>
            <w:r>
              <w:rPr>
                <w:rFonts w:ascii="Arial" w:cs="Arial" w:eastAsia="Arial" w:hAnsi="Arial"/>
                <w:sz w:val="22"/>
                <w:szCs w:val="22"/>
                <w:color w:val="008000"/>
                <w:w w:val="82"/>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1-31-2011. (Interests in this account are denominated in units. Consequently, share amount shown is an estimate.) This statement does not include changes in beneficial ownership of shares held in this account occurring after 1-31-2011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1-31-2011. (Interests in this account are denominated in units. Consequently, share amount shown is an estimate.) This statement does not include changes in beneficial ownership of shares held in such account occurring after 1-31-2011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02/08/2011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2019-12-17T00:46:48Z</dcterms:created>
  <dcterms:modified xsi:type="dcterms:W3CDTF">2019-12-17T00:46:48Z</dcterms:modified>
</cp:coreProperties>
</file>