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125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Quarter Ended March 31, 1995</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ectPr>
          <w:pgSz w:w="11900" w:h="16838" w:orient="portrait"/>
          <w:cols w:equalWidth="0" w:num="2">
            <w:col w:w="3600" w:space="720"/>
            <w:col w:w="5899"/>
          </w:cols>
          <w:pgMar w:left="240" w:top="125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25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2980" w:space="720"/>
            <w:col w:w="6519"/>
          </w:cols>
          <w:pgMar w:left="240" w:top="125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13500 North Central Expressway, P.O. Box 655474, Dallas, Texas</w:t>
      </w:r>
      <w:r>
        <w:rPr>
          <w:sz w:val="20"/>
          <w:szCs w:val="20"/>
          <w:color w:val="auto"/>
        </w:rPr>
        <w:tab/>
      </w:r>
      <w:r>
        <w:rPr>
          <w:rFonts w:ascii="Courier New" w:cs="Courier New" w:eastAsia="Courier New" w:hAnsi="Courier New"/>
          <w:sz w:val="16"/>
          <w:szCs w:val="16"/>
          <w:color w:val="auto"/>
        </w:rPr>
        <w:t>75265-5474</w:t>
      </w:r>
    </w:p>
    <w:p>
      <w:pPr>
        <w:sectPr>
          <w:pgSz w:w="11900" w:h="16838" w:orient="portrait"/>
          <w:cols w:equalWidth="0" w:num="1">
            <w:col w:w="10219"/>
          </w:cols>
          <w:pgMar w:left="240" w:top="1257"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214-995-3773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tabs>
          <w:tab w:leader="none" w:pos="5040" w:val="left"/>
          <w:tab w:leader="none" w:pos="5680" w:val="left"/>
          <w:tab w:leader="none" w:pos="6200" w:val="left"/>
        </w:tabs>
        <w:rPr>
          <w:sz w:val="20"/>
          <w:szCs w:val="20"/>
          <w:color w:val="auto"/>
        </w:rPr>
      </w:pPr>
      <w:r>
        <w:rPr>
          <w:rFonts w:ascii="Courier New" w:cs="Courier New" w:eastAsia="Courier New" w:hAnsi="Courier New"/>
          <w:sz w:val="18"/>
          <w:szCs w:val="18"/>
          <w:color w:val="auto"/>
        </w:rPr>
        <w:t>such filing requirements for the past 90 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5480"/>
        <w:spacing w:after="0" w:line="237"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93,172,215</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of Registrant's common stock outstanding as of March 31,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54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ind w:left="1580"/>
        <w:spacing w:after="0"/>
        <w:rPr>
          <w:sz w:val="20"/>
          <w:szCs w:val="20"/>
          <w:color w:val="auto"/>
        </w:rPr>
      </w:pPr>
      <w:r>
        <w:rPr>
          <w:rFonts w:ascii="Courier New" w:cs="Courier New" w:eastAsia="Courier New" w:hAnsi="Courier New"/>
          <w:sz w:val="18"/>
          <w:szCs w:val="18"/>
          <w:color w:val="auto"/>
        </w:rPr>
        <w:t>(In millions of dollars, except per-share amounts)</w:t>
      </w:r>
    </w:p>
    <w:p>
      <w:pPr>
        <w:sectPr>
          <w:pgSz w:w="11900" w:h="16838" w:orient="portrait"/>
          <w:cols w:equalWidth="0" w:num="1">
            <w:col w:w="10219"/>
          </w:cols>
          <w:pgMar w:left="240" w:top="125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Three Months Ended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Mar. 31</w:t>
      </w:r>
      <w:r>
        <w:rPr>
          <w:sz w:val="20"/>
          <w:szCs w:val="20"/>
          <w:color w:val="auto"/>
        </w:rPr>
        <w:tab/>
      </w:r>
      <w:r>
        <w:rPr>
          <w:rFonts w:ascii="Courier New" w:cs="Courier New" w:eastAsia="Courier New" w:hAnsi="Courier New"/>
          <w:sz w:val="16"/>
          <w:szCs w:val="16"/>
          <w:color w:val="auto"/>
        </w:rPr>
        <w:t>Mar. 31</w:t>
      </w:r>
    </w:p>
    <w:p>
      <w:pPr>
        <w:ind w:left="4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ectPr>
          <w:pgSz w:w="11900" w:h="16838" w:orient="portrait"/>
          <w:cols w:equalWidth="0" w:num="2">
            <w:col w:w="5600" w:space="720"/>
            <w:col w:w="3899"/>
          </w:cols>
          <w:pgMar w:left="240" w:top="125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w w:val="99"/>
              </w:rPr>
              <w:t>Net revenues...............................................</w:t>
            </w:r>
          </w:p>
        </w:tc>
        <w:tc>
          <w:tcPr>
            <w:tcW w:w="1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$ 2,862</w:t>
            </w:r>
          </w:p>
        </w:tc>
        <w:tc>
          <w:tcPr>
            <w:tcW w:w="1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$ 2,449</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Cost of revenues.........................................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2,035</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1,787</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administrative and marketing....................</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379</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Employees' retirement and profit sharing plans...........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2,518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Profit from operations.....................................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Interest on loans..........................................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Income before provision for income taxes...................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Earnings per common and common equivalent share............</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1.41</w:t>
            </w:r>
          </w:p>
        </w:tc>
      </w:tr>
      <w:tr>
        <w:trPr>
          <w:trHeight w:val="405"/>
        </w:trPr>
        <w:tc>
          <w:tcPr>
            <w:tcW w:w="6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dividends declared per share of common stock..........</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0.18</w:t>
            </w:r>
          </w:p>
        </w:tc>
      </w:tr>
      <w:tr>
        <w:trPr>
          <w:trHeight w:val="608"/>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3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3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Sales and maturities of short-term investments...........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3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Dividends paid on common and preferred stock.............</w:t>
            </w:r>
          </w:p>
        </w:tc>
        <w:tc>
          <w:tcPr>
            <w:tcW w:w="3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Sales and other common stock transactions................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cash provided by financing activities..................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405"/>
        </w:trPr>
        <w:tc>
          <w:tcPr>
            <w:tcW w:w="6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Effect of exchange rate changes on cash....................</w:t>
            </w:r>
          </w:p>
        </w:tc>
        <w:tc>
          <w:tcPr>
            <w:tcW w:w="36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increase in cash and cash equivalents..................</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and cash equivalents, January 1.......................</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and cash equivalents, March 31........................</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638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TEXAS INSTRUMENTS INCORPORATED AND SUBSIDIARIES</w:t>
      </w:r>
    </w:p>
    <w:tbl>
      <w:tblPr>
        <w:tblLayout w:type="fixed"/>
        <w:tblInd w:w="0" w:type="dxa"/>
        <w:tblCellMar>
          <w:top w:w="0" w:type="dxa"/>
          <w:left w:w="0" w:type="dxa"/>
          <w:bottom w:w="0" w:type="dxa"/>
          <w:right w:w="0" w:type="dxa"/>
        </w:tblCellMar>
      </w:tblPr>
      <w:tr>
        <w:trPr>
          <w:trHeight w:val="203"/>
        </w:trPr>
        <w:tc>
          <w:tcPr>
            <w:tcW w:w="7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millions of dollars, except per-share amounts)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748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Mar. 31</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2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917</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427</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 million in 1995 and $37 million in 1994......................</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1,442</w:t>
            </w: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Raw materials....................................................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Work in process..................................................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553</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Finished goods...................................................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Less progress billings...........................................</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Inventories (net of progress billings).........................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882</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Prepaid expenses...................................................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355</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4,363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4,017</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Property, plant and equipment at cost................................</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4,915</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4,895</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(2,327)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(2,327)</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2,568</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246</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$ 7,421</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$ 6,989</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Loans payable and current portion long-term debt...................</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670</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678</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Accrued and other current liabilities..............................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1,509</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2,345</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2,199</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Accrued retirement costs.............................................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740</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Deferred credits and other liabilities...............................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w:t>
            </w:r>
          </w:p>
        </w:tc>
      </w:tr>
      <w:tr>
        <w:trPr>
          <w:trHeight w:val="405"/>
        </w:trPr>
        <w:tc>
          <w:tcPr>
            <w:tcW w:w="7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$25 par value. Authorized - 10,000,000 shares.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 - 300,000,000 shares.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 issued: 1995 - 93,274,869; 1994 - 92,786,992..............</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Paid-in capital....................................................</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2,119</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1,912</w:t>
            </w:r>
          </w:p>
        </w:tc>
      </w:tr>
      <w:tr>
        <w:trPr>
          <w:trHeight w:val="203"/>
        </w:trPr>
        <w:tc>
          <w:tcPr>
            <w:tcW w:w="7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 1995 - 102,654; 1994 - 104,170...........................</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3,273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3,039</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$ 7,421</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$ 6,989</w:t>
            </w:r>
          </w:p>
        </w:tc>
      </w:tr>
      <w:tr>
        <w:trPr>
          <w:trHeight w:val="203"/>
        </w:trPr>
        <w:tc>
          <w:tcPr>
            <w:tcW w:w="748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362" w:gutter="0" w:footer="0" w:header="0"/>
        </w:sectPr>
      </w:pPr>
    </w:p>
    <w:bookmarkStart w:id="3" w:name="page4"/>
    <w:bookmarkEnd w:id="3"/>
    <w:p>
      <w:pPr>
        <w:ind w:left="17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(95.5 and 95.1 million shares for the first quarters of 1995 and 1994). Shares issuable upon exercise of dilutive stock options and upon conversion of dilutive convertible debentures are included in average common and common equivalent shares outstanding. In computing per-share earnings for the periods, net income is increased by $1 million for the first quarter of 1994 for interest (net of tax and profit sharing effect) on the convertible debentures considered dilutive common stock equivalents.</w:t>
      </w:r>
    </w:p>
    <w:p>
      <w:pPr>
        <w:spacing w:after="0" w:line="18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Results for the first quarter 1994 include special pretax charges of $132 million and one-time royalty revenues of $69 million.</w:t>
      </w:r>
    </w:p>
    <w:p>
      <w:pPr>
        <w:spacing w:after="0" w:line="208"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statements of income, statements of cash flows and balance sheet at March 31, 1995,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999"/>
          </w:cols>
          <w:pgMar w:left="460" w:top="717" w:right="1440" w:bottom="1440" w:gutter="0" w:footer="0" w:header="0"/>
        </w:sectPr>
      </w:pPr>
    </w:p>
    <w:bookmarkStart w:id="4" w:name="page5"/>
    <w:bookmarkEnd w:id="4"/>
    <w:p>
      <w:pPr>
        <w:ind w:right="241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Record semiconductor revenues and profits in every major geographic region led the Registrant (the "company" or "TI") to its best quarterly financial performance ever. The company continues to build shareholder value, posting a 20.9 percent return on invested capital for the four quarters ending March 31, 1995.</w:t>
      </w:r>
    </w:p>
    <w:p>
      <w:pPr>
        <w:spacing w:after="0" w:line="20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Based on strength thus far in 1995, TI is raising its estimate of world semiconductor market growth for the year to 28 percent, up from the 21 percent projected earlier in the year.</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Management plans to recommend to the board of directors at its June meeting an increase of approximately 30 percent in the quarterly dividend on TI common stock, effective with the July dividend payment.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SUMMARY</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Net revenues for the first quarter of 1995 were $2862 million, up 17 percent from the first quarter of 1994. The increase resulted primarily from strong growth in semiconductor revenues.</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Profit from operations for the quarter was $344 million, compared with $209 million in the first quarter of 1994. The largest contributor to TI s profit improvement was higher semiconductor operating profit. Net income for the quarter was $230 million, compared with $134 million in the first quarter of 1994. Earnings per share were $2.41, compared with $1.41 in the first quarter of 1994.</w:t>
      </w:r>
    </w:p>
    <w:p>
      <w:pPr>
        <w:spacing w:after="0" w:line="210"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Results for the quarter include several cost-reduction actions, including previously announced consolidations in TI s custom manufacturing services and personal productivity products businesses. These costs were more than offset by favorable adjustments to prior-period accruals for ongoing royalties because of higher than expected shipments by some licensees.</w:t>
      </w:r>
    </w:p>
    <w:p>
      <w:pPr>
        <w:spacing w:after="0" w:line="185"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First-quarter 1994 results included one-time pretax restructuring and divestiture charges of $132 million and one-time royalty revenues of $69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TI s semiconductor orders set new records in every major geographic region. Orders were strong across all major product lines, especially memory. Orders for TI s digital signal processors (DSPs) and mixed-signal devices continue to grow rapidly.</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TI s semiconductor revenues were up strongly from the first quarter of 1994, primarily because of strong memory demand and growth in application-specific products.</w:t>
      </w:r>
    </w:p>
    <w:p>
      <w:pPr>
        <w:spacing w:after="0" w:line="209"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Semiconductor operating profit was up substantially over the first quarter of last year, with strong contributions from memory and application-specific products. Operating profit also increased over the fourth quarter of 1994, with more than half of the increase coming from application-specific, mixed-signal and advanced system logic products. Margins improved over both the first and fourth quarters of 1994, reflecting higher revenues and increased manufacturing productivity.</w:t>
      </w:r>
    </w:p>
    <w:p>
      <w:pPr>
        <w:spacing w:after="0" w:line="18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TI is currently ramping up manufacturing production of microprocessors in its new semiconductor facility in Dallas. In addition to producing CMOS</w:t>
      </w:r>
    </w:p>
    <w:p>
      <w:pPr>
        <w:spacing w:after="0" w:line="16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products on state-of-the-art 8-inch wafers, this facility gives TI a resource for finalizing the 0.35-micron generation of semiconductor products, as well as the capability to develop the next generation of 0.25-micron products.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Capacity addition continues at TI s facility in Avezzano, Italy. Expansions are also under way in the existing joint-venture facilities in Taiwan, Japan and Singapore. Construction began in the first quarter on the TwinStar advanced memory manufacturing facility in Richardson, Texas. TwinStar is a joint venture between TI and Hitachi, Ltd.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DEFENSE ELECTRONICS</w:t>
      </w:r>
    </w:p>
    <w:p>
      <w:pPr>
        <w:spacing w:after="0" w:line="207" w:lineRule="exact"/>
        <w:rPr>
          <w:sz w:val="20"/>
          <w:szCs w:val="20"/>
          <w:color w:val="auto"/>
        </w:rPr>
      </w:pPr>
    </w:p>
    <w:p>
      <w:pPr>
        <w:jc w:val="both"/>
        <w:ind w:right="2319"/>
        <w:spacing w:after="0" w:line="279" w:lineRule="auto"/>
        <w:rPr>
          <w:sz w:val="20"/>
          <w:szCs w:val="20"/>
          <w:color w:val="auto"/>
        </w:rPr>
      </w:pPr>
      <w:r>
        <w:rPr>
          <w:rFonts w:ascii="Courier New" w:cs="Courier New" w:eastAsia="Courier New" w:hAnsi="Courier New"/>
          <w:sz w:val="16"/>
          <w:szCs w:val="16"/>
          <w:color w:val="auto"/>
        </w:rPr>
        <w:t>TI s defense electronics business maintained stable margins on moderately lower revenues. During the quarter, the TI/Martin Marietta joint venture received its second low-rate initial production contract for Javelin</w:t>
      </w:r>
    </w:p>
    <w:p>
      <w:pPr>
        <w:sectPr>
          <w:pgSz w:w="11900" w:h="16838" w:orient="portrait"/>
          <w:cols w:equalWidth="0" w:num="1">
            <w:col w:w="9999"/>
          </w:cols>
          <w:pgMar w:left="460" w:top="520" w:right="1440" w:bottom="0" w:gutter="0" w:footer="0" w:header="0"/>
        </w:sectPr>
      </w:pPr>
    </w:p>
    <w:bookmarkStart w:id="5" w:name="page6"/>
    <w:bookmarkEnd w:id="5"/>
    <w:p>
      <w:pPr>
        <w:ind w:right="2619"/>
        <w:spacing w:after="0" w:line="236" w:lineRule="auto"/>
        <w:rPr>
          <w:sz w:val="20"/>
          <w:szCs w:val="20"/>
          <w:color w:val="auto"/>
        </w:rPr>
      </w:pPr>
      <w:r>
        <w:rPr>
          <w:rFonts w:ascii="Courier New" w:cs="Courier New" w:eastAsia="Courier New" w:hAnsi="Courier New"/>
          <w:sz w:val="18"/>
          <w:szCs w:val="18"/>
          <w:color w:val="auto"/>
        </w:rPr>
        <w:t>antitank weapon systems. TI also has received a subcontract award for the Tomahawk baseline improvement, and an Alliant/TI team won the contract for the Wind-Corrected Munitions Dispenser.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AND CONTROLS</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TI s materials and controls business showed solid growth and financial performance, reflecting strength in the U.S. automotive, climate and materials markets.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PRODUCTIVITY PRODUCTS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Revenues in TI s personal productivity products business were down moderately from the first quarter of 1994, and the business operated at a loss in the quarter. TI s notebook computer product line is transitioning to a new generation of higher performance models, with lower prices on the older product line. TI is increasing marketing and product development investments in this business to strengthen our position in the growing notebook computer market.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w:t>
      </w:r>
    </w:p>
    <w:p>
      <w:pPr>
        <w:spacing w:after="0" w:line="207"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Although down seasonally from the fourth quarter of 1994, revenues in TI s software business were up from the first quarter of 1994. TI is investing to broaden its product line in software development tools and expects to begin introducing new tools for object-based applications development later in the year. TI expects financial performance to be constrained until these and other new products are released.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AND OUTLOOK</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As noted earlier, TI is raising its estimate of world semiconductor market growth for 1995 to 28 percent, up from the 21 percent projected earlier in the year.</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In addition, TI is seeing signs that the longer term growth rate of the world semiconductor market may be higher than its historical average of 15 percent per year. These signs include the increasing semiconductor content in electronic end-equipment as more products become digital; faster growth of the computer and communications industries as they become major contributors to the networked society; and rapidly growing markets in Asia and other parts of the world.</w:t>
      </w:r>
    </w:p>
    <w:p>
      <w:pPr>
        <w:spacing w:after="0" w:line="188"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Continued improvement in TI operations is allowing TI to increase investment in research and development and marketing to capitalize on emerging growth opportunities, including digital signal processing,</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digital imaging and wireless communications. TI expects research and development to be about $850 million in 1995, up from $689 million in 1994 and up from the $800 million announced in January.</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Commenting on the long-term outlook, TI Chairman, President and Chief Executive Officer Jerry R. Junkins said, I believe we are seeing the birth of a new era at Texas Instruments. The networked society is coming of age, and our technologies are at the core of the emerging digital revolution. TI s opportunity goes beyond participating in markets, to actually creating them, in a way that will produce long-term, sustainable value for our stockholders.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FINANCIAL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420" w:type="dxa"/>
            <w:vAlign w:val="bottom"/>
          </w:tcPr>
          <w:p>
            <w:pPr>
              <w:ind w:left="360"/>
              <w:spacing w:after="0"/>
              <w:rPr>
                <w:sz w:val="20"/>
                <w:szCs w:val="20"/>
                <w:color w:val="auto"/>
              </w:rPr>
            </w:pPr>
            <w:r>
              <w:rPr>
                <w:rFonts w:ascii="Courier New" w:cs="Courier New" w:eastAsia="Courier New" w:hAnsi="Courier New"/>
                <w:sz w:val="18"/>
                <w:szCs w:val="18"/>
                <w:color w:val="auto"/>
              </w:rPr>
              <w:t>Change in orders,</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w w:val="96"/>
              </w:rPr>
              <w:t>Change in net revenues,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w:t>
            </w:r>
          </w:p>
        </w:tc>
        <w:tc>
          <w:tcPr>
            <w:tcW w:w="2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1Q95 vs. 1Q94</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1Q95 vs. 1Q94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2420" w:type="dxa"/>
            <w:vAlign w:val="bottom"/>
          </w:tcPr>
          <w:p>
            <w:pPr>
              <w:ind w:left="360"/>
              <w:spacing w:after="0"/>
              <w:rPr>
                <w:sz w:val="20"/>
                <w:szCs w:val="20"/>
                <w:color w:val="auto"/>
              </w:rPr>
            </w:pPr>
            <w:r>
              <w:rPr>
                <w:rFonts w:ascii="Courier New" w:cs="Courier New" w:eastAsia="Courier New" w:hAnsi="Courier New"/>
                <w:sz w:val="18"/>
                <w:szCs w:val="18"/>
                <w:color w:val="auto"/>
              </w:rPr>
              <w:t>up 37%</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up 27%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Electronics</w:t>
            </w:r>
          </w:p>
        </w:tc>
        <w:tc>
          <w:tcPr>
            <w:tcW w:w="2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up 74%</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down 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2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up 7%</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up 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up 37%</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up 17%</w:t>
            </w:r>
          </w:p>
        </w:tc>
      </w:tr>
    </w:tbl>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 s orders for the first quarter of 1995 were $3311 million, compared with $2415 million in the same period of 1994. Semiconductors accounted for essentially all of the increase in the components segment. The increase in defense electronics orders resulted from timing of receipt of orders on programs moving from development to low-rate initial production. The increase in digital products orders was in custom manufacturing services and software.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s revenues for the first quarter of 1995 were $2862 million, compared</w:t>
      </w:r>
    </w:p>
    <w:p>
      <w:pPr>
        <w:sectPr>
          <w:pgSz w:w="11900" w:h="16838" w:orient="portrait"/>
          <w:cols w:equalWidth="0" w:num="1">
            <w:col w:w="9999"/>
          </w:cols>
          <w:pgMar w:left="460" w:top="142" w:right="1440" w:bottom="0" w:gutter="0" w:footer="0" w:header="0"/>
        </w:sectPr>
      </w:pPr>
    </w:p>
    <w:bookmarkStart w:id="6" w:name="page7"/>
    <w:bookmarkEnd w:id="6"/>
    <w:p>
      <w:pPr>
        <w:ind w:right="2519"/>
        <w:spacing w:after="0" w:line="237" w:lineRule="auto"/>
        <w:rPr>
          <w:sz w:val="20"/>
          <w:szCs w:val="20"/>
          <w:color w:val="auto"/>
        </w:rPr>
      </w:pPr>
      <w:r>
        <w:rPr>
          <w:rFonts w:ascii="Courier New" w:cs="Courier New" w:eastAsia="Courier New" w:hAnsi="Courier New"/>
          <w:sz w:val="18"/>
          <w:szCs w:val="18"/>
          <w:color w:val="auto"/>
        </w:rPr>
        <w:t>with $2449 million in the same period of 1994. The increase in components segment revenues resulted from higher semiconductor revenues related to increased shipments and new products. Royalty revenues related to current-quarter licensee shipments were up from a year ago, but total royalties in the segment were down from the first quarter of 1994 because of the absence of one-time royalties. The decrease in defense electronics revenues reflected the gradual decline of mature production programs.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First-quarter 1994 revenues included $69 million in one-time royalties. There were no one-time royalties in the first quarter of 1995, but there was a favorable adjustment of $36 million related to higher than estimated licensee shipments in the second half of 1994. Most of this amount reflects higher than estimated shipments of dynamic random-access memory products into the United States by one licensee, whose license renewal is currently being negotiated. Ongoing royalties in the first quarter of 1995 were up from the first quarter of 1994 and also from the fourth quarter of 1994.</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Components segment profit increased strongly over the first quarter of 1994, primarily because of improved semiconductor operations.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digital segment had a small loss for the quarter. Royalties in the segment increased from the first quarter of 1994. The loss in software widened from the first quarter of 1994, and personal productivity products went from a slight profit to a loss on lower revenues, reflecting the transition to next-generation notebook computers. The calculator business continues to strengthen, with increased revenues and improved profitability over the first quarter of 1994.</w:t>
      </w:r>
    </w:p>
    <w:p>
      <w:pPr>
        <w:spacing w:after="0" w:line="20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income tax rate for the first quarter of 1995 was 34.0 percent, which is the current estimate of the rate for the full year.</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TI's financial condition remains strong. During the quarter, cash and cash equivalents plus short-term investments increased by $54 million to $1344 million. In January, the company reduced to zero (from $125 million) the outstanding balance of its asset securitization agreement and terminated this agreement effective January 30, 1995. As noted above, management intends to recommend to the board of directors at its June meeting an increase of approximately 30 percent in the quarterly dividend on TI stock. The cash requirement for a dividend increase of this amount will be met from cash flow and current cash balances. TI's debt-to-total-capital ratio was .21 at the end of the first quarter, unchanged from year-end 1994.</w:t>
      </w:r>
    </w:p>
    <w:p>
      <w:pPr>
        <w:spacing w:after="0" w:line="216"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TI s backlog of unfilled orders as of March 31, 1995, was $4346 million, up $433 million from the end of 1994 and up $575 million from the first quarter of 1994. Most of the increases were in semiconductors. Defense electronics backlog also increased.</w:t>
      </w:r>
    </w:p>
    <w:p>
      <w:pPr>
        <w:spacing w:after="0" w:line="20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TI-funded R&amp;D was $213 million in the first quarter of 1995, compared with $163 million in the same period of 1994. The increase was driven primarily by investments in differentiated semiconductor products.</w:t>
      </w:r>
    </w:p>
    <w:p>
      <w:pPr>
        <w:spacing w:after="0" w:line="17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Capital expenditures in the first quarter of this year were $223 million, compared with $205 million in the first quarter of 1994.</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Depreciation in the first quarter of 1995 was $176 million, compared with $154 million in last year s first quarter.</w:t>
      </w:r>
    </w:p>
    <w:p>
      <w:pPr>
        <w:spacing w:after="0" w:line="208"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Return on invested capital (ROIC) and return on common equity (ROCE) are measures TI uses to monitor progress in building shareholder value. For the four quarters ending March 31, 1995, ROIC was 20.9 percent, and ROCE was 27.4 percent. In the four quarters ending March 31, 1994, ROIC was 16.1 percent, and ROCE was 25.4 percent.</w:t>
      </w:r>
    </w:p>
    <w:p>
      <w:pPr>
        <w:sectPr>
          <w:pgSz w:w="11900" w:h="16838" w:orient="portrait"/>
          <w:cols w:equalWidth="0" w:num="1">
            <w:col w:w="9999"/>
          </w:cols>
          <w:pgMar w:left="460" w:top="142"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440" w:right="1440" w:bottom="1440" w:gutter="0" w:footer="0" w:header="0"/>
        </w:sectPr>
      </w:pPr>
    </w:p>
    <w:bookmarkStart w:id="8" w:name="page9"/>
    <w:bookmarkEnd w:id="8"/>
    <w:p>
      <w:pPr>
        <w:ind w:left="2100"/>
        <w:spacing w:after="0"/>
        <w:rPr>
          <w:sz w:val="20"/>
          <w:szCs w:val="20"/>
          <w:color w:val="auto"/>
        </w:rPr>
      </w:pPr>
      <w:r>
        <w:rPr>
          <w:rFonts w:ascii="Courier New" w:cs="Courier New" w:eastAsia="Courier New" w:hAnsi="Courier New"/>
          <w:sz w:val="16"/>
          <w:szCs w:val="16"/>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28"/>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780" w:right="693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Designation of Exhibits in</w:t>
      </w:r>
    </w:p>
    <w:p>
      <w:pPr>
        <w:sectPr>
          <w:pgSz w:w="11900" w:h="16838" w:orient="portrait"/>
          <w:cols w:equalWidth="0" w:num="1">
            <w:col w:w="9999"/>
          </w:cols>
          <w:pgMar w:left="460" w:top="520" w:right="1440" w:bottom="1440" w:gutter="0" w:footer="0" w:header="0"/>
        </w:sectPr>
      </w:pPr>
    </w:p>
    <w:p>
      <w:pPr>
        <w:ind w:left="1780"/>
        <w:spacing w:after="0" w:line="233"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3" w:lineRule="auto"/>
        <w:rPr>
          <w:sz w:val="20"/>
          <w:szCs w:val="20"/>
          <w:color w:val="auto"/>
        </w:rPr>
      </w:pPr>
      <w:r>
        <w:rPr>
          <w:rFonts w:ascii="Courier New" w:cs="Courier New" w:eastAsia="Courier New" w:hAnsi="Courier New"/>
          <w:sz w:val="18"/>
          <w:szCs w:val="18"/>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60" w:space="620"/>
            <w:col w:w="6319"/>
          </w:cols>
          <w:pgMar w:left="460" w:top="520" w:right="1440" w:bottom="1440" w:gutter="0" w:footer="0" w:header="0"/>
          <w:type w:val="continuous"/>
        </w:sectPr>
      </w:pPr>
    </w:p>
    <w:p>
      <w:pPr>
        <w:spacing w:after="0" w:line="24" w:lineRule="exact"/>
        <w:rPr>
          <w:sz w:val="20"/>
          <w:szCs w:val="20"/>
          <w:color w:val="auto"/>
        </w:rPr>
      </w:pPr>
    </w:p>
    <w:p>
      <w:pPr>
        <w:ind w:left="3680" w:right="3579" w:hanging="1574"/>
        <w:spacing w:after="0" w:line="237" w:lineRule="auto"/>
        <w:tabs>
          <w:tab w:leader="none" w:pos="36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primary and fully diluted earnings per common and common equiv-alent share.</w:t>
      </w:r>
    </w:p>
    <w:p>
      <w:pPr>
        <w:spacing w:after="0" w:line="207" w:lineRule="exact"/>
        <w:rPr>
          <w:rFonts w:ascii="Courier New" w:cs="Courier New" w:eastAsia="Courier New" w:hAnsi="Courier New"/>
          <w:sz w:val="18"/>
          <w:szCs w:val="18"/>
          <w:color w:val="auto"/>
        </w:rPr>
      </w:pPr>
    </w:p>
    <w:p>
      <w:pPr>
        <w:ind w:left="3680" w:right="3259" w:hanging="1574"/>
        <w:spacing w:after="0" w:line="237" w:lineRule="auto"/>
        <w:tabs>
          <w:tab w:leader="none" w:pos="36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3" w:lineRule="exact"/>
        <w:rPr>
          <w:sz w:val="20"/>
          <w:szCs w:val="20"/>
          <w:color w:val="auto"/>
        </w:rPr>
      </w:pPr>
    </w:p>
    <w:p>
      <w:pPr>
        <w:ind w:left="3680" w:hanging="1574"/>
        <w:spacing w:after="0"/>
        <w:tabs>
          <w:tab w:leader="none" w:pos="36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28"/>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8-K</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with the Securities and Exchange</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Commission during the quarter ended March 31, 1995 a Form 8-K, dated January 27, 1995, relating to the 1995 Annual Meeting of Stockholders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999"/>
          </w:cols>
          <w:pgMar w:left="460" w:top="520" w:right="1440" w:bottom="1440" w:gutter="0" w:footer="0" w:header="0"/>
          <w:type w:val="continuous"/>
        </w:sectPr>
      </w:pPr>
    </w:p>
    <w:bookmarkStart w:id="9" w:name="page10"/>
    <w:bookmarkEnd w:id="9"/>
    <w:p>
      <w:pPr>
        <w:jc w:val="center"/>
        <w:ind w:right="29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10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TEXAS INSTRUMENTS INCORPORATED</w:t>
      </w:r>
    </w:p>
    <w:p>
      <w:pPr>
        <w:spacing w:after="0" w:line="218"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WILLIAM A. AYLESWORTH</w:t>
      </w:r>
    </w:p>
    <w:p>
      <w:pPr>
        <w:ind w:left="44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420"/>
        <w:spacing w:after="0"/>
        <w:rPr>
          <w:sz w:val="20"/>
          <w:szCs w:val="20"/>
          <w:color w:val="auto"/>
        </w:rPr>
      </w:pPr>
      <w:r>
        <w:rPr>
          <w:rFonts w:ascii="Courier New" w:cs="Courier New" w:eastAsia="Courier New" w:hAnsi="Courier New"/>
          <w:sz w:val="18"/>
          <w:szCs w:val="18"/>
          <w:color w:val="auto"/>
        </w:rPr>
        <w:t>Treasurer and</w:t>
      </w:r>
    </w:p>
    <w:p>
      <w:pPr>
        <w:ind w:left="4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April 20,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999"/>
          </w:cols>
          <w:pgMar w:left="460" w:top="717" w:right="1440" w:bottom="1440" w:gutter="0" w:footer="0" w:header="0"/>
        </w:sectPr>
      </w:pPr>
    </w:p>
    <w:bookmarkStart w:id="10" w:name="page11"/>
    <w:bookmarkEnd w:id="10"/>
    <w:p>
      <w:pPr>
        <w:ind w:left="28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999"/>
          </w:cols>
          <w:pgMar w:left="46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40" w:firstLine="105"/>
        <w:spacing w:after="0" w:line="237" w:lineRule="auto"/>
        <w:rPr>
          <w:sz w:val="20"/>
          <w:szCs w:val="20"/>
          <w:color w:val="auto"/>
        </w:rPr>
      </w:pPr>
      <w:r>
        <w:rPr>
          <w:rFonts w:ascii="Courier New" w:cs="Courier New" w:eastAsia="Courier New" w:hAnsi="Courier New"/>
          <w:sz w:val="18"/>
          <w:szCs w:val="18"/>
          <w:color w:val="auto"/>
        </w:rPr>
        <w:t>Designation of Exhibits in this Report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spacing w:after="0" w:line="290" w:lineRule="auto"/>
        <w:rPr>
          <w:sz w:val="20"/>
          <w:szCs w:val="20"/>
          <w:color w:val="auto"/>
        </w:rPr>
      </w:pPr>
      <w:r>
        <w:rPr>
          <w:rFonts w:ascii="Courier New" w:cs="Courier New" w:eastAsia="Courier New" w:hAnsi="Courier New"/>
          <w:sz w:val="16"/>
          <w:szCs w:val="16"/>
          <w:color w:val="auto"/>
        </w:rPr>
        <w:t>Description of Exhibit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Paper (P)</w:t>
      </w:r>
    </w:p>
    <w:p>
      <w:pPr>
        <w:ind w:left="420"/>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3">
            <w:col w:w="2120" w:space="720"/>
            <w:col w:w="2660" w:space="720"/>
            <w:col w:w="3779"/>
          </w:cols>
          <w:pgMar w:left="460" w:top="1128" w:right="1440" w:bottom="1440" w:gutter="0" w:footer="0" w:header="0"/>
          <w:type w:val="continuous"/>
        </w:sectPr>
      </w:pP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Computation of primary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fully diluted earnings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and common equiv-</w:t>
      </w:r>
    </w:p>
    <w:p>
      <w:pPr>
        <w:spacing w:after="0" w:line="238" w:lineRule="auto"/>
        <w:rPr>
          <w:sz w:val="20"/>
          <w:szCs w:val="20"/>
          <w:color w:val="auto"/>
        </w:rPr>
      </w:pPr>
      <w:r>
        <w:rPr>
          <w:rFonts w:ascii="Courier New" w:cs="Courier New" w:eastAsia="Courier New" w:hAnsi="Courier New"/>
          <w:sz w:val="18"/>
          <w:szCs w:val="18"/>
          <w:color w:val="auto"/>
        </w:rPr>
        <w:t>alent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824" w:lineRule="exact"/>
        <w:rPr>
          <w:sz w:val="20"/>
          <w:szCs w:val="20"/>
          <w:color w:val="auto"/>
        </w:rPr>
      </w:pPr>
    </w:p>
    <w:p>
      <w:pPr>
        <w:sectPr>
          <w:pgSz w:w="11900" w:h="16838" w:orient="portrait"/>
          <w:cols w:equalWidth="0" w:num="3">
            <w:col w:w="2020" w:space="720"/>
            <w:col w:w="3280" w:space="720"/>
            <w:col w:w="3259"/>
          </w:cols>
          <w:pgMar w:left="460" w:top="1128" w:right="1440" w:bottom="1440" w:gutter="0" w:footer="0" w:header="0"/>
          <w:type w:val="continuous"/>
        </w:sectPr>
      </w:pP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ind w:right="220"/>
        <w:spacing w:after="0" w:line="237"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1025" w:lineRule="exact"/>
        <w:rPr>
          <w:sz w:val="20"/>
          <w:szCs w:val="20"/>
          <w:color w:val="auto"/>
        </w:rPr>
      </w:pPr>
    </w:p>
    <w:p>
      <w:pPr>
        <w:sectPr>
          <w:pgSz w:w="11900" w:h="16838" w:orient="portrait"/>
          <w:cols w:equalWidth="0" w:num="3">
            <w:col w:w="2020" w:space="720"/>
            <w:col w:w="3280" w:space="720"/>
            <w:col w:w="3259"/>
          </w:cols>
          <w:pgMar w:left="460" w:top="1128" w:right="1440" w:bottom="144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2020" w:space="720"/>
            <w:col w:w="3280" w:space="720"/>
            <w:col w:w="3259"/>
          </w:cols>
          <w:pgMar w:left="460" w:top="1128" w:right="1440" w:bottom="1440" w:gutter="0" w:footer="0" w:header="0"/>
          <w:type w:val="continuous"/>
        </w:sectPr>
      </w:pPr>
    </w:p>
    <w:bookmarkStart w:id="11" w:name="page12"/>
    <w:bookmarkEnd w:id="11"/>
    <w:p>
      <w:pPr>
        <w:jc w:val="right"/>
        <w:ind w:right="1459"/>
        <w:spacing w:after="0"/>
        <w:rPr>
          <w:sz w:val="20"/>
          <w:szCs w:val="20"/>
          <w:color w:val="auto"/>
        </w:rPr>
      </w:pPr>
      <w:r>
        <w:rPr>
          <w:rFonts w:ascii="Courier New" w:cs="Courier New" w:eastAsia="Courier New" w:hAnsi="Courier New"/>
          <w:sz w:val="18"/>
          <w:szCs w:val="18"/>
          <w:color w:val="auto"/>
        </w:rPr>
        <w:t>EXHIBIT 11</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right="1459"/>
        <w:spacing w:after="0" w:line="238" w:lineRule="auto"/>
        <w:rPr>
          <w:sz w:val="20"/>
          <w:szCs w:val="20"/>
          <w:color w:val="auto"/>
        </w:rPr>
      </w:pPr>
      <w:r>
        <w:rPr>
          <w:rFonts w:ascii="Courier New" w:cs="Courier New" w:eastAsia="Courier New" w:hAnsi="Courier New"/>
          <w:sz w:val="18"/>
          <w:szCs w:val="18"/>
          <w:color w:val="auto"/>
        </w:rPr>
        <w:t>PRIMARY AND FULLY DILUTED EARNINGS PER COMMON AND COMMON EQUIVALENT SHARE</w:t>
      </w:r>
    </w:p>
    <w:tbl>
      <w:tblPr>
        <w:tblLayout w:type="fixed"/>
        <w:tblInd w:w="0" w:type="dxa"/>
        <w:tblCellMar>
          <w:top w:w="0" w:type="dxa"/>
          <w:left w:w="0" w:type="dxa"/>
          <w:bottom w:w="0" w:type="dxa"/>
          <w:right w:w="0" w:type="dxa"/>
        </w:tblCellMar>
      </w:tblPr>
      <w:tr>
        <w:trPr>
          <w:trHeight w:val="203"/>
        </w:trPr>
        <w:tc>
          <w:tcPr>
            <w:tcW w:w="6440" w:type="dxa"/>
            <w:vAlign w:val="bottom"/>
          </w:tcPr>
          <w:p>
            <w:pPr>
              <w:ind w:left="2220"/>
              <w:spacing w:after="0"/>
              <w:rPr>
                <w:sz w:val="20"/>
                <w:szCs w:val="20"/>
                <w:color w:val="auto"/>
              </w:rPr>
            </w:pPr>
            <w:r>
              <w:rPr>
                <w:rFonts w:ascii="Courier New" w:cs="Courier New" w:eastAsia="Courier New" w:hAnsi="Courier New"/>
                <w:sz w:val="18"/>
                <w:szCs w:val="18"/>
                <w:color w:val="auto"/>
                <w:w w:val="97"/>
              </w:rPr>
              <w:t>(In thousands, except per-share amounts)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For Three Months Ended</w:t>
            </w:r>
          </w:p>
        </w:tc>
      </w:tr>
      <w:tr>
        <w:trPr>
          <w:trHeight w:val="203"/>
        </w:trPr>
        <w:tc>
          <w:tcPr>
            <w:tcW w:w="644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Mar. 31</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Mar. 31</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$229,990</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$133,702</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net of tax and profit sharing effect, 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convertible debentures assumed converted.............</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net income........................................</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$230,397</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$134,363</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92,838</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91,198</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1,127</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1,444</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1,492</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 common equivalent shares.....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95,457</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95,055</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1.41</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 Full Dilution:</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92,838</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91,198</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1,492</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 common equivalent shares.....</w:t>
            </w:r>
          </w:p>
        </w:tc>
        <w:tc>
          <w:tcPr>
            <w:tcW w:w="2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95,730</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95,071</w:t>
            </w:r>
          </w:p>
        </w:tc>
      </w:tr>
      <w:tr>
        <w:trPr>
          <w:trHeight w:val="203"/>
        </w:trPr>
        <w:tc>
          <w:tcPr>
            <w:tcW w:w="6440" w:type="dxa"/>
            <w:vAlign w:val="bottom"/>
          </w:tcPr>
          <w:p>
            <w:pPr>
              <w:spacing w:after="0"/>
              <w:rPr>
                <w:sz w:val="17"/>
                <w:szCs w:val="17"/>
                <w:color w:val="auto"/>
              </w:rPr>
            </w:pP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 Full Dilution...........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1.41</w:t>
            </w:r>
          </w:p>
        </w:tc>
      </w:tr>
    </w:tbl>
    <w:p>
      <w:pPr>
        <w:sectPr>
          <w:pgSz w:w="11900" w:h="16838" w:orient="portrait"/>
          <w:cols w:equalWidth="0" w:num="1">
            <w:col w:w="10219"/>
          </w:cols>
          <w:pgMar w:left="240" w:top="541"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EXHIBIT 12</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rPr>
              <w:t>TEXAS INSTRUMENTS</w:t>
            </w:r>
          </w:p>
        </w:tc>
        <w:tc>
          <w:tcPr>
            <w:tcW w:w="3260" w:type="dxa"/>
            <w:vAlign w:val="bottom"/>
            <w:gridSpan w:val="7"/>
          </w:tcPr>
          <w:p>
            <w:pPr>
              <w:ind w:left="40"/>
              <w:spacing w:after="0"/>
              <w:rPr>
                <w:sz w:val="20"/>
                <w:szCs w:val="20"/>
                <w:color w:val="auto"/>
              </w:rPr>
            </w:pPr>
            <w:r>
              <w:rPr>
                <w:rFonts w:ascii="Courier New" w:cs="Courier New" w:eastAsia="Courier New" w:hAnsi="Courier New"/>
                <w:sz w:val="18"/>
                <w:szCs w:val="18"/>
                <w:color w:val="auto"/>
              </w:rPr>
              <w:t>INCORPORATED AND SUBSIDIARIES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7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COMPUTATION OF RATIO OF EARNINGS TO FIXED CHARGES</w:t>
            </w:r>
          </w:p>
        </w:tc>
        <w:tc>
          <w:tcPr>
            <w:tcW w:w="1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AND RATIO OF</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EARNINGS TO COMBINED FIXED</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CHARGES</w:t>
            </w:r>
          </w:p>
        </w:tc>
        <w:tc>
          <w:tcPr>
            <w:tcW w:w="320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AND PREFERRED STOCK DIVIDENDS</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For Three Months</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1990</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1991</w:t>
            </w:r>
          </w:p>
        </w:tc>
        <w:tc>
          <w:tcPr>
            <w:tcW w:w="1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1992</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1993</w:t>
            </w:r>
          </w:p>
        </w:tc>
        <w:tc>
          <w:tcPr>
            <w:tcW w:w="2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1994</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1994</w:t>
            </w: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before cumulative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provision for income taxes.......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$ 433</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$ 755</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$1,098</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$ 218</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$ 364</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rental and lease expense.............</w:t>
            </w:r>
          </w:p>
        </w:tc>
        <w:tc>
          <w:tcPr>
            <w:tcW w:w="14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w:t>
            </w:r>
          </w:p>
        </w:tc>
        <w:tc>
          <w:tcPr>
            <w:tcW w:w="1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$ 475</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$ 793</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$1,138</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$ 228</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$ 374</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capitalized).....................</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59</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lease expense....................</w:t>
            </w:r>
          </w:p>
        </w:tc>
        <w:tc>
          <w:tcPr>
            <w:tcW w:w="14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w:t>
            </w:r>
          </w:p>
        </w:tc>
        <w:tc>
          <w:tcPr>
            <w:tcW w:w="1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$ 102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Fixed charges..........................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$ 102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pretax equivalent basis).............</w:t>
            </w:r>
          </w:p>
        </w:tc>
        <w:tc>
          <w:tcPr>
            <w:tcW w:w="14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w:t>
            </w:r>
          </w:p>
        </w:tc>
        <w:tc>
          <w:tcPr>
            <w:tcW w:w="1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$ 133</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$ 136</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$ 154</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w w:val="97"/>
              </w:rPr>
              <w:t>Ratio of earnings to fixed charges.........</w:t>
            </w:r>
          </w:p>
        </w:tc>
        <w:tc>
          <w:tcPr>
            <w:tcW w:w="14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w:t>
            </w:r>
          </w:p>
        </w:tc>
        <w:tc>
          <w:tcPr>
            <w:tcW w:w="2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8.5</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c>
          <w:tcPr>
            <w:tcW w:w="4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9.9</w:t>
            </w: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13.9</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dividends..........................</w:t>
            </w:r>
          </w:p>
        </w:tc>
        <w:tc>
          <w:tcPr>
            <w:tcW w:w="14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2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4600" w:type="dxa"/>
            <w:vAlign w:val="bottom"/>
          </w:tcPr>
          <w:p>
            <w:pPr>
              <w:spacing w:after="0"/>
              <w:rPr>
                <w:sz w:val="17"/>
                <w:szCs w:val="17"/>
                <w:color w:val="auto"/>
              </w:rPr>
            </w:pPr>
          </w:p>
        </w:tc>
        <w:tc>
          <w:tcPr>
            <w:tcW w:w="8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left="120" w:right="420" w:firstLine="99"/>
        <w:spacing w:after="0" w:line="558" w:lineRule="auto"/>
        <w:tabs>
          <w:tab w:leader="none" w:pos="43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$33 million in 1990 and $309 million in 1991. ** Not meaningful. The coverage deficiency was $69 million in 1990 and $343 million in 1991.</w:t>
      </w:r>
    </w:p>
    <w:p>
      <w:pPr>
        <w:sectPr>
          <w:pgSz w:w="11900" w:h="16838" w:orient="portrait"/>
          <w:cols w:equalWidth="0" w:num="1">
            <w:col w:w="10340"/>
          </w:cols>
          <w:pgMar w:left="240" w:top="946" w:right="1319" w:bottom="1440" w:gutter="0" w:footer="0" w:header="0"/>
        </w:sectPr>
      </w:pPr>
    </w:p>
    <w:bookmarkStart w:id="13" w:name="page14"/>
    <w:bookmarkEnd w:id="13"/>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FINANCIAL STATEMENTS OF TEXAS INSTRUMENTS INCORPORATED AND SUBSIDIARIES AS OF MARCH 31, 1995, AND FOR THE THREE MONTHS THEN ENDED,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DEC-31-1995</w:t>
      </w:r>
    </w:p>
    <w:p>
      <w:pPr>
        <w:ind w:left="3540"/>
        <w:spacing w:after="0" w:line="238" w:lineRule="auto"/>
        <w:rPr>
          <w:sz w:val="20"/>
          <w:szCs w:val="20"/>
          <w:color w:val="auto"/>
        </w:rPr>
      </w:pPr>
      <w:r>
        <w:rPr>
          <w:rFonts w:ascii="Courier New" w:cs="Courier New" w:eastAsia="Courier New" w:hAnsi="Courier New"/>
          <w:sz w:val="18"/>
          <w:szCs w:val="18"/>
          <w:color w:val="auto"/>
        </w:rPr>
        <w:t>MAR-31-1995</w:t>
      </w:r>
    </w:p>
    <w:p>
      <w:pPr>
        <w:ind w:left="3440"/>
        <w:spacing w:after="0"/>
        <w:rPr>
          <w:sz w:val="20"/>
          <w:szCs w:val="20"/>
          <w:color w:val="auto"/>
        </w:rPr>
      </w:pPr>
      <w:r>
        <w:rPr>
          <w:rFonts w:ascii="Courier New" w:cs="Courier New" w:eastAsia="Courier New" w:hAnsi="Courier New"/>
          <w:sz w:val="18"/>
          <w:szCs w:val="18"/>
          <w:color w:val="auto"/>
        </w:rPr>
        <w:t>3-mos</w:t>
      </w:r>
    </w:p>
    <w:p>
      <w:pPr>
        <w:jc w:val="center"/>
        <w:ind w:right="239"/>
        <w:spacing w:after="0" w:line="237" w:lineRule="auto"/>
        <w:rPr>
          <w:sz w:val="20"/>
          <w:szCs w:val="20"/>
          <w:color w:val="auto"/>
        </w:rPr>
      </w:pPr>
      <w:r>
        <w:rPr>
          <w:rFonts w:ascii="Courier New" w:cs="Courier New" w:eastAsia="Courier New" w:hAnsi="Courier New"/>
          <w:sz w:val="18"/>
          <w:szCs w:val="18"/>
          <w:color w:val="auto"/>
        </w:rPr>
        <w:t>917</w:t>
      </w:r>
    </w:p>
    <w:p>
      <w:pPr>
        <w:ind w:left="4180"/>
        <w:spacing w:after="0" w:line="238" w:lineRule="auto"/>
        <w:rPr>
          <w:sz w:val="20"/>
          <w:szCs w:val="20"/>
          <w:color w:val="auto"/>
        </w:rPr>
      </w:pPr>
      <w:r>
        <w:rPr>
          <w:rFonts w:ascii="Courier New" w:cs="Courier New" w:eastAsia="Courier New" w:hAnsi="Courier New"/>
          <w:sz w:val="18"/>
          <w:szCs w:val="18"/>
          <w:color w:val="auto"/>
        </w:rPr>
        <w:t>427</w:t>
      </w:r>
    </w:p>
    <w:p>
      <w:pPr>
        <w:ind w:left="3860"/>
        <w:spacing w:after="0"/>
        <w:rPr>
          <w:sz w:val="20"/>
          <w:szCs w:val="20"/>
          <w:color w:val="auto"/>
        </w:rPr>
      </w:pPr>
      <w:r>
        <w:rPr>
          <w:rFonts w:ascii="Courier New" w:cs="Courier New" w:eastAsia="Courier New" w:hAnsi="Courier New"/>
          <w:sz w:val="18"/>
          <w:szCs w:val="18"/>
          <w:color w:val="auto"/>
        </w:rPr>
        <w:t>1,664</w:t>
      </w:r>
    </w:p>
    <w:p>
      <w:pPr>
        <w:ind w:left="4280"/>
        <w:spacing w:after="0" w:line="237" w:lineRule="auto"/>
        <w:rPr>
          <w:sz w:val="20"/>
          <w:szCs w:val="20"/>
          <w:color w:val="auto"/>
        </w:rPr>
      </w:pPr>
      <w:r>
        <w:rPr>
          <w:rFonts w:ascii="Courier New" w:cs="Courier New" w:eastAsia="Courier New" w:hAnsi="Courier New"/>
          <w:sz w:val="18"/>
          <w:szCs w:val="18"/>
          <w:color w:val="auto"/>
        </w:rPr>
        <w:t>41</w:t>
      </w:r>
    </w:p>
    <w:p>
      <w:pPr>
        <w:ind w:left="4280"/>
        <w:spacing w:after="0"/>
        <w:rPr>
          <w:sz w:val="20"/>
          <w:szCs w:val="20"/>
          <w:color w:val="auto"/>
        </w:rPr>
      </w:pPr>
      <w:r>
        <w:rPr>
          <w:rFonts w:ascii="Courier New" w:cs="Courier New" w:eastAsia="Courier New" w:hAnsi="Courier New"/>
          <w:sz w:val="18"/>
          <w:szCs w:val="18"/>
          <w:color w:val="auto"/>
        </w:rPr>
        <w:t>944</w:t>
      </w:r>
    </w:p>
    <w:p>
      <w:pPr>
        <w:ind w:left="3540"/>
        <w:spacing w:after="0" w:line="237" w:lineRule="auto"/>
        <w:rPr>
          <w:sz w:val="20"/>
          <w:szCs w:val="20"/>
          <w:color w:val="auto"/>
        </w:rPr>
      </w:pPr>
      <w:r>
        <w:rPr>
          <w:rFonts w:ascii="Courier New" w:cs="Courier New" w:eastAsia="Courier New" w:hAnsi="Courier New"/>
          <w:sz w:val="18"/>
          <w:szCs w:val="18"/>
          <w:color w:val="auto"/>
        </w:rPr>
        <w:t>4,363</w:t>
      </w:r>
    </w:p>
    <w:p>
      <w:pPr>
        <w:jc w:val="center"/>
        <w:ind w:right="439"/>
        <w:spacing w:after="0"/>
        <w:rPr>
          <w:sz w:val="20"/>
          <w:szCs w:val="20"/>
          <w:color w:val="auto"/>
        </w:rPr>
      </w:pPr>
      <w:r>
        <w:rPr>
          <w:rFonts w:ascii="Courier New" w:cs="Courier New" w:eastAsia="Courier New" w:hAnsi="Courier New"/>
          <w:sz w:val="18"/>
          <w:szCs w:val="18"/>
          <w:color w:val="auto"/>
        </w:rPr>
        <w:t>4,915</w:t>
      </w:r>
    </w:p>
    <w:p>
      <w:pPr>
        <w:ind w:left="3760"/>
        <w:spacing w:after="0" w:line="237" w:lineRule="auto"/>
        <w:rPr>
          <w:sz w:val="20"/>
          <w:szCs w:val="20"/>
          <w:color w:val="auto"/>
        </w:rPr>
      </w:pPr>
      <w:r>
        <w:rPr>
          <w:rFonts w:ascii="Courier New" w:cs="Courier New" w:eastAsia="Courier New" w:hAnsi="Courier New"/>
          <w:sz w:val="18"/>
          <w:szCs w:val="18"/>
          <w:color w:val="auto"/>
        </w:rPr>
        <w:t>2,327</w:t>
      </w:r>
    </w:p>
    <w:p>
      <w:pPr>
        <w:ind w:left="3760"/>
        <w:spacing w:after="0" w:line="238" w:lineRule="auto"/>
        <w:rPr>
          <w:sz w:val="20"/>
          <w:szCs w:val="20"/>
          <w:color w:val="auto"/>
        </w:rPr>
      </w:pPr>
      <w:r>
        <w:rPr>
          <w:rFonts w:ascii="Courier New" w:cs="Courier New" w:eastAsia="Courier New" w:hAnsi="Courier New"/>
          <w:sz w:val="18"/>
          <w:szCs w:val="18"/>
          <w:color w:val="auto"/>
        </w:rPr>
        <w:t>7,421</w:t>
      </w:r>
    </w:p>
    <w:p>
      <w:pPr>
        <w:ind w:left="3020"/>
        <w:spacing w:after="0"/>
        <w:rPr>
          <w:sz w:val="20"/>
          <w:szCs w:val="20"/>
          <w:color w:val="auto"/>
        </w:rPr>
      </w:pPr>
      <w:r>
        <w:rPr>
          <w:rFonts w:ascii="Courier New" w:cs="Courier New" w:eastAsia="Courier New" w:hAnsi="Courier New"/>
          <w:sz w:val="18"/>
          <w:szCs w:val="18"/>
          <w:color w:val="auto"/>
        </w:rPr>
        <w:t>2,345</w:t>
      </w:r>
    </w:p>
    <w:p>
      <w:pPr>
        <w:jc w:val="center"/>
        <w:ind w:right="439"/>
        <w:spacing w:after="0" w:line="237" w:lineRule="auto"/>
        <w:rPr>
          <w:sz w:val="20"/>
          <w:szCs w:val="20"/>
          <w:color w:val="auto"/>
        </w:rPr>
      </w:pPr>
      <w:r>
        <w:rPr>
          <w:rFonts w:ascii="Courier New" w:cs="Courier New" w:eastAsia="Courier New" w:hAnsi="Courier New"/>
          <w:sz w:val="18"/>
          <w:szCs w:val="18"/>
          <w:color w:val="auto"/>
        </w:rPr>
        <w:t>792</w:t>
      </w:r>
    </w:p>
    <w:p>
      <w:pPr>
        <w:ind w:left="344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0</w:t>
      </w:r>
    </w:p>
    <w:p>
      <w:pPr>
        <w:ind w:left="4700"/>
        <w:spacing w:after="0"/>
        <w:rPr>
          <w:sz w:val="20"/>
          <w:szCs w:val="20"/>
          <w:color w:val="auto"/>
        </w:rPr>
      </w:pPr>
      <w:r>
        <w:rPr>
          <w:rFonts w:ascii="Courier New" w:cs="Courier New" w:eastAsia="Courier New" w:hAnsi="Courier New"/>
          <w:sz w:val="18"/>
          <w:szCs w:val="18"/>
          <w:color w:val="auto"/>
        </w:rPr>
        <w:t>93</w:t>
      </w:r>
    </w:p>
    <w:p>
      <w:pPr>
        <w:ind w:left="4180"/>
        <w:spacing w:after="0" w:line="237" w:lineRule="auto"/>
        <w:rPr>
          <w:sz w:val="20"/>
          <w:szCs w:val="20"/>
          <w:color w:val="auto"/>
        </w:rPr>
      </w:pPr>
      <w:r>
        <w:rPr>
          <w:rFonts w:ascii="Courier New" w:cs="Courier New" w:eastAsia="Courier New" w:hAnsi="Courier New"/>
          <w:sz w:val="18"/>
          <w:szCs w:val="18"/>
          <w:color w:val="auto"/>
        </w:rPr>
        <w:t>3,180</w:t>
      </w:r>
    </w:p>
    <w:p>
      <w:pPr>
        <w:ind w:left="2280"/>
        <w:spacing w:after="0" w:line="238" w:lineRule="auto"/>
        <w:rPr>
          <w:sz w:val="20"/>
          <w:szCs w:val="20"/>
          <w:color w:val="auto"/>
        </w:rPr>
      </w:pPr>
      <w:r>
        <w:rPr>
          <w:rFonts w:ascii="Courier New" w:cs="Courier New" w:eastAsia="Courier New" w:hAnsi="Courier New"/>
          <w:sz w:val="18"/>
          <w:szCs w:val="18"/>
          <w:color w:val="auto"/>
        </w:rPr>
        <w:t>7,421</w:t>
      </w:r>
    </w:p>
    <w:p>
      <w:pPr>
        <w:ind w:left="4500"/>
        <w:spacing w:after="0"/>
        <w:rPr>
          <w:sz w:val="20"/>
          <w:szCs w:val="20"/>
          <w:color w:val="auto"/>
        </w:rPr>
      </w:pPr>
      <w:r>
        <w:rPr>
          <w:rFonts w:ascii="Courier New" w:cs="Courier New" w:eastAsia="Courier New" w:hAnsi="Courier New"/>
          <w:sz w:val="18"/>
          <w:szCs w:val="18"/>
          <w:color w:val="auto"/>
        </w:rPr>
        <w:t>2,862</w:t>
      </w:r>
    </w:p>
    <w:p>
      <w:pPr>
        <w:ind w:left="3540"/>
        <w:spacing w:after="0" w:line="237" w:lineRule="auto"/>
        <w:rPr>
          <w:sz w:val="20"/>
          <w:szCs w:val="20"/>
          <w:color w:val="auto"/>
        </w:rPr>
      </w:pPr>
      <w:r>
        <w:rPr>
          <w:rFonts w:ascii="Courier New" w:cs="Courier New" w:eastAsia="Courier New" w:hAnsi="Courier New"/>
          <w:sz w:val="18"/>
          <w:szCs w:val="18"/>
          <w:color w:val="auto"/>
        </w:rPr>
        <w:t>2,862</w:t>
      </w:r>
    </w:p>
    <w:p>
      <w:pPr>
        <w:jc w:val="center"/>
        <w:ind w:right="239"/>
        <w:spacing w:after="0"/>
        <w:rPr>
          <w:sz w:val="20"/>
          <w:szCs w:val="20"/>
          <w:color w:val="auto"/>
        </w:rPr>
      </w:pPr>
      <w:r>
        <w:rPr>
          <w:rFonts w:ascii="Courier New" w:cs="Courier New" w:eastAsia="Courier New" w:hAnsi="Courier New"/>
          <w:sz w:val="18"/>
          <w:szCs w:val="18"/>
          <w:color w:val="auto"/>
        </w:rPr>
        <w:t>2,035</w:t>
      </w:r>
    </w:p>
    <w:p>
      <w:pPr>
        <w:ind w:left="3860"/>
        <w:spacing w:after="0" w:line="237" w:lineRule="auto"/>
        <w:rPr>
          <w:sz w:val="20"/>
          <w:szCs w:val="20"/>
          <w:color w:val="auto"/>
        </w:rPr>
      </w:pPr>
      <w:r>
        <w:rPr>
          <w:rFonts w:ascii="Courier New" w:cs="Courier New" w:eastAsia="Courier New" w:hAnsi="Courier New"/>
          <w:sz w:val="18"/>
          <w:szCs w:val="18"/>
          <w:color w:val="auto"/>
        </w:rPr>
        <w:t>2,035</w:t>
      </w:r>
    </w:p>
    <w:p>
      <w:pPr>
        <w:ind w:left="3760"/>
        <w:spacing w:after="0"/>
        <w:rPr>
          <w:sz w:val="20"/>
          <w:szCs w:val="20"/>
          <w:color w:val="auto"/>
        </w:rPr>
      </w:pPr>
      <w:r>
        <w:rPr>
          <w:rFonts w:ascii="Courier New" w:cs="Courier New" w:eastAsia="Courier New" w:hAnsi="Courier New"/>
          <w:sz w:val="18"/>
          <w:szCs w:val="18"/>
          <w:color w:val="auto"/>
        </w:rPr>
        <w:t>113</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13</w:t>
      </w:r>
    </w:p>
    <w:p>
      <w:pPr>
        <w:ind w:left="3860"/>
        <w:spacing w:after="0" w:line="237" w:lineRule="auto"/>
        <w:rPr>
          <w:sz w:val="20"/>
          <w:szCs w:val="20"/>
          <w:color w:val="auto"/>
        </w:rPr>
      </w:pPr>
      <w:r>
        <w:rPr>
          <w:rFonts w:ascii="Courier New" w:cs="Courier New" w:eastAsia="Courier New" w:hAnsi="Courier New"/>
          <w:sz w:val="18"/>
          <w:szCs w:val="18"/>
          <w:color w:val="auto"/>
        </w:rPr>
        <w:t>348</w:t>
      </w:r>
    </w:p>
    <w:p>
      <w:pPr>
        <w:ind w:left="4180"/>
        <w:spacing w:after="0" w:line="238" w:lineRule="auto"/>
        <w:rPr>
          <w:sz w:val="20"/>
          <w:szCs w:val="20"/>
          <w:color w:val="auto"/>
        </w:rPr>
      </w:pPr>
      <w:r>
        <w:rPr>
          <w:rFonts w:ascii="Courier New" w:cs="Courier New" w:eastAsia="Courier New" w:hAnsi="Courier New"/>
          <w:sz w:val="18"/>
          <w:szCs w:val="18"/>
          <w:color w:val="auto"/>
        </w:rPr>
        <w:t>118</w:t>
      </w:r>
    </w:p>
    <w:p>
      <w:pPr>
        <w:ind w:left="3440"/>
        <w:spacing w:after="0"/>
        <w:rPr>
          <w:sz w:val="20"/>
          <w:szCs w:val="20"/>
          <w:color w:val="auto"/>
        </w:rPr>
      </w:pPr>
      <w:r>
        <w:rPr>
          <w:rFonts w:ascii="Courier New" w:cs="Courier New" w:eastAsia="Courier New" w:hAnsi="Courier New"/>
          <w:sz w:val="18"/>
          <w:szCs w:val="18"/>
          <w:color w:val="auto"/>
        </w:rPr>
        <w:t>230</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0</w:t>
      </w:r>
    </w:p>
    <w:p>
      <w:pPr>
        <w:ind w:left="47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230</w:t>
      </w:r>
    </w:p>
    <w:p>
      <w:pPr>
        <w:ind w:left="4280"/>
        <w:spacing w:after="0" w:line="237" w:lineRule="auto"/>
        <w:rPr>
          <w:sz w:val="20"/>
          <w:szCs w:val="20"/>
          <w:color w:val="auto"/>
        </w:rPr>
      </w:pPr>
      <w:r>
        <w:rPr>
          <w:rFonts w:ascii="Courier New" w:cs="Courier New" w:eastAsia="Courier New" w:hAnsi="Courier New"/>
          <w:sz w:val="18"/>
          <w:szCs w:val="18"/>
          <w:color w:val="auto"/>
        </w:rPr>
        <w:t>2.41</w:t>
      </w:r>
    </w:p>
    <w:p>
      <w:pPr>
        <w:ind w:left="4280"/>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lowerLetter"/>
      <w:start w:val="1"/>
    </w:lvl>
    <w:lvl w:ilvl="1">
      <w:lvlJc w:val="left"/>
      <w:lvlText w:val="%2"/>
      <w:numFmt w:val="decimal"/>
      <w:start w:val="27"/>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2019-12-13T07:37:39Z</dcterms:created>
  <dcterms:modified xsi:type="dcterms:W3CDTF">2019-12-13T07:37:39Z</dcterms:modified>
</cp:coreProperties>
</file>