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ind w:left="860"/>
        <w:spacing w:after="0"/>
        <w:tabs>
          <w:tab w:leader="none" w:pos="62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March 4, 2002</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750289970</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tabs>
          <w:tab w:leader="none" w:pos="1660" w:val="left"/>
        </w:tabs>
        <w:rPr>
          <w:sz w:val="20"/>
          <w:szCs w:val="20"/>
          <w:color w:val="auto"/>
        </w:rPr>
      </w:pPr>
      <w:r>
        <w:rPr>
          <w:rFonts w:ascii="Courier New" w:cs="Courier New" w:eastAsia="Courier New" w:hAnsi="Courier New"/>
          <w:sz w:val="18"/>
          <w:szCs w:val="18"/>
          <w:color w:val="auto"/>
        </w:rPr>
        <w:t>identification</w:t>
        <w:tab/>
        <w:t>no.)</w:t>
      </w:r>
    </w:p>
    <w:p>
      <w:pPr>
        <w:spacing w:after="0" w:line="200" w:lineRule="exact"/>
        <w:rPr>
          <w:sz w:val="24"/>
          <w:szCs w:val="24"/>
          <w:color w:val="auto"/>
        </w:rPr>
      </w:pPr>
    </w:p>
    <w:p>
      <w:pPr>
        <w:sectPr>
          <w:pgSz w:w="11900" w:h="16838" w:orient="portrait"/>
          <w:cols w:equalWidth="0" w:num="3">
            <w:col w:w="2960" w:space="320"/>
            <w:col w:w="2520" w:space="420"/>
            <w:col w:w="3999"/>
          </w:cols>
          <w:pgMar w:left="240" w:top="1055" w:right="1440" w:bottom="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7"/>
              </w:rPr>
              <w:t>ITEM  7.   Exhibits.</w:t>
            </w:r>
          </w:p>
        </w:tc>
        <w:tc>
          <w:tcPr>
            <w:tcW w:w="3000" w:type="dxa"/>
            <w:vAlign w:val="bottom"/>
          </w:tcPr>
          <w:p>
            <w:pPr>
              <w:spacing w:after="0"/>
              <w:rPr>
                <w:sz w:val="17"/>
                <w:szCs w:val="17"/>
                <w:color w:val="auto"/>
              </w:rPr>
            </w:pPr>
          </w:p>
        </w:tc>
      </w:tr>
      <w:tr>
        <w:trPr>
          <w:trHeight w:val="405"/>
        </w:trPr>
        <w:tc>
          <w:tcPr>
            <w:tcW w:w="2900" w:type="dxa"/>
            <w:vAlign w:val="bottom"/>
          </w:tcPr>
          <w:p>
            <w:pPr>
              <w:jc w:val="center"/>
              <w:ind w:left="612"/>
              <w:spacing w:after="0"/>
              <w:rPr>
                <w:sz w:val="20"/>
                <w:szCs w:val="20"/>
                <w:color w:val="auto"/>
              </w:rPr>
            </w:pPr>
            <w:r>
              <w:rPr>
                <w:rFonts w:ascii="Courier New" w:cs="Courier New" w:eastAsia="Courier New" w:hAnsi="Courier New"/>
                <w:sz w:val="18"/>
                <w:szCs w:val="18"/>
                <w:color w:val="auto"/>
                <w:w w:val="97"/>
              </w:rPr>
              <w:t>Designation of</w:t>
            </w:r>
          </w:p>
        </w:tc>
        <w:tc>
          <w:tcPr>
            <w:tcW w:w="3000" w:type="dxa"/>
            <w:vAlign w:val="bottom"/>
          </w:tcPr>
          <w:p>
            <w:pPr>
              <w:spacing w:after="0"/>
              <w:rPr>
                <w:sz w:val="24"/>
                <w:szCs w:val="24"/>
                <w:color w:val="auto"/>
              </w:rPr>
            </w:pPr>
          </w:p>
        </w:tc>
      </w:tr>
      <w:tr>
        <w:trPr>
          <w:trHeight w:val="203"/>
        </w:trPr>
        <w:tc>
          <w:tcPr>
            <w:tcW w:w="290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6"/>
              </w:rPr>
              <w:t>Exhibit in</w:t>
            </w:r>
          </w:p>
        </w:tc>
        <w:tc>
          <w:tcPr>
            <w:tcW w:w="3000" w:type="dxa"/>
            <w:vAlign w:val="bottom"/>
          </w:tcPr>
          <w:p>
            <w:pPr>
              <w:spacing w:after="0"/>
              <w:rPr>
                <w:sz w:val="17"/>
                <w:szCs w:val="17"/>
                <w:color w:val="auto"/>
              </w:rPr>
            </w:pPr>
          </w:p>
        </w:tc>
      </w:tr>
      <w:tr>
        <w:trPr>
          <w:trHeight w:val="203"/>
        </w:trPr>
        <w:tc>
          <w:tcPr>
            <w:tcW w:w="29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this Report</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Description of Exhibit</w:t>
            </w:r>
          </w:p>
        </w:tc>
      </w:tr>
      <w:tr>
        <w:trPr>
          <w:trHeight w:val="203"/>
        </w:trPr>
        <w:tc>
          <w:tcPr>
            <w:tcW w:w="290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99</w:t>
            </w:r>
          </w:p>
        </w:tc>
        <w:tc>
          <w:tcPr>
            <w:tcW w:w="3000" w:type="dxa"/>
            <w:vAlign w:val="bottom"/>
          </w:tcPr>
          <w:p>
            <w:pPr>
              <w:ind w:left="380"/>
              <w:spacing w:after="0"/>
              <w:rPr>
                <w:sz w:val="20"/>
                <w:szCs w:val="20"/>
                <w:color w:val="auto"/>
              </w:rPr>
            </w:pPr>
            <w:r>
              <w:rPr>
                <w:rFonts w:ascii="Courier New" w:cs="Courier New" w:eastAsia="Courier New" w:hAnsi="Courier New"/>
                <w:sz w:val="18"/>
                <w:szCs w:val="18"/>
                <w:color w:val="auto"/>
                <w:w w:val="96"/>
              </w:rPr>
              <w:t>Registrant's news release</w:t>
            </w:r>
          </w:p>
        </w:tc>
      </w:tr>
      <w:tr>
        <w:trPr>
          <w:trHeight w:val="203"/>
        </w:trPr>
        <w:tc>
          <w:tcPr>
            <w:tcW w:w="2900" w:type="dxa"/>
            <w:vAlign w:val="bottom"/>
          </w:tcPr>
          <w:p>
            <w:pPr>
              <w:spacing w:after="0"/>
              <w:rPr>
                <w:sz w:val="17"/>
                <w:szCs w:val="17"/>
                <w:color w:val="auto"/>
              </w:rPr>
            </w:pP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dated March 4, 2002</w:t>
            </w:r>
          </w:p>
        </w:tc>
      </w:tr>
    </w:tbl>
    <w:p>
      <w:pPr>
        <w:spacing w:after="0" w:line="201" w:lineRule="exact"/>
        <w:rPr>
          <w:sz w:val="24"/>
          <w:szCs w:val="24"/>
          <w:color w:val="auto"/>
        </w:rPr>
      </w:pPr>
    </w:p>
    <w:p>
      <w:pPr>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ITEM</w:t>
        <w:tab/>
        <w:t>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set forth in the Registrant's news release dated March 4, 2002 (attached hereto as Exhibit 99) is incorporated herein by reference to such news release. The filing of this news release is being made for purposes of Regulation FD only and is not an indication or assessment of materiality, nor is it intended to constitute a representation that the information is not otherwise publicly available.</w:t>
      </w:r>
    </w:p>
    <w:p>
      <w:pPr>
        <w:spacing w:after="0" w:line="210" w:lineRule="exact"/>
        <w:rPr>
          <w:sz w:val="24"/>
          <w:szCs w:val="24"/>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Market demand for semiconductors, particularly for digital signal</w:t>
      </w:r>
    </w:p>
    <w:p>
      <w:pPr>
        <w:sectPr>
          <w:pgSz w:w="11900" w:h="16838" w:orient="portrait"/>
          <w:cols w:equalWidth="0" w:num="1">
            <w:col w:w="10219"/>
          </w:cols>
          <w:pgMar w:left="240" w:top="1055" w:right="1440" w:bottom="0" w:gutter="0" w:footer="0" w:header="0"/>
          <w:type w:val="continuous"/>
        </w:sectPr>
      </w:pPr>
    </w:p>
    <w:bookmarkStart w:id="1" w:name="page2"/>
    <w:bookmarkEnd w:id="1"/>
    <w:p>
      <w:pPr>
        <w:ind w:left="525" w:right="1779"/>
        <w:spacing w:after="0" w:line="235" w:lineRule="auto"/>
        <w:rPr>
          <w:sz w:val="20"/>
          <w:szCs w:val="20"/>
          <w:color w:val="auto"/>
        </w:rPr>
      </w:pPr>
      <w:r>
        <w:rPr>
          <w:rFonts w:ascii="Courier New" w:cs="Courier New" w:eastAsia="Courier New" w:hAnsi="Courier New"/>
          <w:sz w:val="18"/>
          <w:szCs w:val="18"/>
          <w:color w:val="auto"/>
        </w:rPr>
        <w:t>processors and analog chips in key markets, such as telecommunications and computers;</w:t>
      </w:r>
    </w:p>
    <w:p>
      <w:pPr>
        <w:spacing w:after="0" w:line="208" w:lineRule="exact"/>
        <w:rPr>
          <w:sz w:val="20"/>
          <w:szCs w:val="20"/>
          <w:color w:val="auto"/>
        </w:rPr>
      </w:pPr>
    </w:p>
    <w:p>
      <w:pPr>
        <w:ind w:left="525" w:right="1779" w:hanging="525"/>
        <w:spacing w:after="0" w:line="235" w:lineRule="auto"/>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25" w:right="2619" w:hanging="525"/>
        <w:spacing w:after="0" w:line="235" w:lineRule="auto"/>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25" w:right="3159" w:hanging="525"/>
        <w:spacing w:after="0" w:line="235" w:lineRule="auto"/>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completion and successful integration of announced acquisitions;</w:t>
      </w:r>
    </w:p>
    <w:p>
      <w:pPr>
        <w:spacing w:after="0" w:line="208"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and its customers and suppliers operate, including security risks,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25" w:right="1999" w:hanging="525"/>
        <w:spacing w:after="0" w:line="235" w:lineRule="auto"/>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ectPr>
          <w:pgSz w:w="11900" w:h="16838" w:orient="portrait"/>
          <w:cols w:equalWidth="0" w:num="1">
            <w:col w:w="9684"/>
          </w:cols>
          <w:pgMar w:left="775" w:top="142" w:right="1440" w:bottom="1440" w:gutter="0" w:footer="0" w:header="0"/>
        </w:sectPr>
      </w:pPr>
    </w:p>
    <w:bookmarkStart w:id="2" w:name="page3"/>
    <w:bookmarkEnd w:id="2"/>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recruit and retain skilled personnel;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raw materials and critical manufacturing equipment.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4,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F. HUBACH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Joseph F. Hubach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and</w:t>
      </w:r>
    </w:p>
    <w:p>
      <w:pPr>
        <w:spacing w:after="0" w:line="238"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4">
            <w:col w:w="540" w:space="200"/>
            <w:col w:w="2660" w:space="720"/>
            <w:col w:w="320" w:space="200"/>
            <w:col w:w="5579"/>
          </w:cols>
          <w:pgMar w:left="240" w:top="717"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NEWS</w:t>
      </w:r>
      <w:r>
        <w:rPr>
          <w:sz w:val="20"/>
          <w:szCs w:val="20"/>
          <w:color w:val="auto"/>
        </w:rPr>
        <w:tab/>
      </w:r>
      <w:r>
        <w:rPr>
          <w:rFonts w:ascii="Courier New" w:cs="Courier New" w:eastAsia="Courier New" w:hAnsi="Courier New"/>
          <w:sz w:val="16"/>
          <w:szCs w:val="16"/>
          <w:color w:val="auto"/>
        </w:rPr>
        <w:t>RELEASE</w:t>
      </w:r>
    </w:p>
    <w:p>
      <w:pPr>
        <w:spacing w:after="0" w:line="238" w:lineRule="auto"/>
        <w:rPr>
          <w:sz w:val="20"/>
          <w:szCs w:val="20"/>
          <w:color w:val="auto"/>
        </w:rPr>
      </w:pPr>
      <w:r>
        <w:rPr>
          <w:rFonts w:ascii="Courier New" w:cs="Courier New" w:eastAsia="Courier New" w:hAnsi="Courier New"/>
          <w:sz w:val="18"/>
          <w:szCs w:val="18"/>
          <w:color w:val="auto"/>
        </w:rPr>
        <w:t>C-02018</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Media</w:t>
      </w:r>
      <w:r>
        <w:rPr>
          <w:sz w:val="20"/>
          <w:szCs w:val="20"/>
          <w:color w:val="auto"/>
        </w:rPr>
        <w:tab/>
      </w:r>
      <w:r>
        <w:rPr>
          <w:rFonts w:ascii="Courier New" w:cs="Courier New" w:eastAsia="Courier New" w:hAnsi="Courier New"/>
          <w:sz w:val="16"/>
          <w:szCs w:val="16"/>
          <w:color w:val="auto"/>
        </w:rPr>
        <w:t>Contacts:</w:t>
      </w:r>
    </w:p>
    <w:p>
      <w:pPr>
        <w:spacing w:after="0"/>
        <w:tabs>
          <w:tab w:leader="none" w:pos="720" w:val="left"/>
          <w:tab w:leader="none" w:pos="1680" w:val="left"/>
          <w:tab w:leader="none" w:pos="3140" w:val="left"/>
        </w:tabs>
        <w:rPr>
          <w:sz w:val="20"/>
          <w:szCs w:val="20"/>
          <w:color w:val="auto"/>
        </w:rPr>
      </w:pPr>
      <w:r>
        <w:rPr>
          <w:rFonts w:ascii="Courier New" w:cs="Courier New" w:eastAsia="Courier New" w:hAnsi="Courier New"/>
          <w:sz w:val="18"/>
          <w:szCs w:val="18"/>
          <w:color w:val="auto"/>
        </w:rPr>
        <w:t>Chris</w:t>
        <w:tab/>
        <w:t>Rongone</w:t>
        <w:tab/>
        <w:t>214-480-6868</w:t>
      </w:r>
      <w:r>
        <w:rPr>
          <w:sz w:val="20"/>
          <w:szCs w:val="20"/>
          <w:color w:val="auto"/>
        </w:rPr>
        <w:tab/>
      </w:r>
      <w:r>
        <w:rPr>
          <w:rFonts w:ascii="Courier New" w:cs="Courier New" w:eastAsia="Courier New" w:hAnsi="Courier New"/>
          <w:sz w:val="16"/>
          <w:szCs w:val="16"/>
          <w:color w:val="auto"/>
        </w:rPr>
        <w:t>c-rongone@ti.com</w:t>
      </w:r>
    </w:p>
    <w:p>
      <w:pPr>
        <w:spacing w:after="0"/>
        <w:tabs>
          <w:tab w:leader="none" w:pos="620" w:val="left"/>
          <w:tab w:leader="none" w:pos="1680" w:val="left"/>
          <w:tab w:leader="none" w:pos="3140" w:val="left"/>
        </w:tabs>
        <w:rPr>
          <w:sz w:val="20"/>
          <w:szCs w:val="20"/>
          <w:color w:val="auto"/>
        </w:rPr>
      </w:pPr>
      <w:r>
        <w:rPr>
          <w:rFonts w:ascii="Courier New" w:cs="Courier New" w:eastAsia="Courier New" w:hAnsi="Courier New"/>
          <w:sz w:val="18"/>
          <w:szCs w:val="18"/>
          <w:color w:val="auto"/>
        </w:rPr>
        <w:t>Gail</w:t>
        <w:tab/>
        <w:t>Chandler</w:t>
        <w:tab/>
        <w:t>214-480-6808</w:t>
      </w:r>
      <w:r>
        <w:rPr>
          <w:sz w:val="20"/>
          <w:szCs w:val="20"/>
          <w:color w:val="auto"/>
        </w:rPr>
        <w:tab/>
      </w:r>
      <w:r>
        <w:rPr>
          <w:rFonts w:ascii="Courier New" w:cs="Courier New" w:eastAsia="Courier New" w:hAnsi="Courier New"/>
          <w:sz w:val="16"/>
          <w:szCs w:val="16"/>
          <w:color w:val="auto"/>
        </w:rPr>
        <w:t>g-chandler1@ti.com</w:t>
      </w:r>
    </w:p>
    <w:p>
      <w:pPr>
        <w:spacing w:after="0" w:line="237" w:lineRule="auto"/>
        <w:rPr>
          <w:sz w:val="20"/>
          <w:szCs w:val="20"/>
          <w:color w:val="auto"/>
        </w:rPr>
      </w:pPr>
      <w:r>
        <w:rPr>
          <w:rFonts w:ascii="Courier New" w:cs="Courier New" w:eastAsia="Courier New" w:hAnsi="Courier New"/>
          <w:sz w:val="18"/>
          <w:szCs w:val="18"/>
          <w:color w:val="auto"/>
        </w:rPr>
        <w:t>(Please do not publish these numbers or e-mail addresses.)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TI CEO TOM ENGIBOUS RECONFIRMS COMPANY OUTLOOK IN KEYNOTE REMARKS AT MORGAN</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STANLEY INVESTOR CONFERENCE</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CEO SAYS ORDERS STRONGER IN FIRST TWO MONTHS OF 1Q02 AND</w:t>
      </w:r>
    </w:p>
    <w:p>
      <w:pPr>
        <w:ind w:left="2320"/>
        <w:spacing w:after="0" w:line="238" w:lineRule="auto"/>
        <w:rPr>
          <w:sz w:val="20"/>
          <w:szCs w:val="20"/>
          <w:color w:val="auto"/>
        </w:rPr>
      </w:pPr>
      <w:r>
        <w:rPr>
          <w:rFonts w:ascii="Courier New" w:cs="Courier New" w:eastAsia="Courier New" w:hAnsi="Courier New"/>
          <w:sz w:val="18"/>
          <w:szCs w:val="18"/>
          <w:color w:val="auto"/>
        </w:rPr>
        <w:t>COULD DRIVE BOOK-TO-BILL CLOSE TO ONE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DALLAS (March 4, 2002) -- During an evening keynote discussion at the Morgan Stanley Semiconductor &amp; Systems Conference, Texas Instruments (TI) (NYSE: TXN) Chairman, President and CEO Tom Engibous reconfirms the company's outlook for its current quarter. In its outlook, originally issued in January, the company said it expects the following in 1Q02: revenue to be about even with the fourth quarter of 2001, pro forma operating margin to improve by about 7 points, and pro forma EPS to be about breakeven.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Engibous says that semiconductor orders received in the first two months of the first quarter were strong, compared with the first two months of the fourth quarter. As a result, the company's book-to-bill ratio could be close to one for the first quarter.</w:t>
      </w:r>
    </w:p>
    <w:p>
      <w:pPr>
        <w:sectPr>
          <w:pgSz w:w="11900" w:h="16838" w:orient="portrait"/>
          <w:cols w:equalWidth="0" w:num="1">
            <w:col w:w="10219"/>
          </w:cols>
          <w:pgMar w:left="240" w:top="514" w:right="1440" w:bottom="1440" w:gutter="0" w:footer="0" w:header="0"/>
        </w:sectPr>
      </w:pPr>
    </w:p>
    <w:bookmarkStart w:id="4" w:name="page5"/>
    <w:bookmarkEnd w:id="4"/>
    <w:p>
      <w:pPr>
        <w:ind w:right="2419"/>
        <w:spacing w:after="0" w:line="235" w:lineRule="auto"/>
        <w:rPr>
          <w:sz w:val="20"/>
          <w:szCs w:val="20"/>
          <w:color w:val="auto"/>
        </w:rPr>
      </w:pPr>
      <w:r>
        <w:rPr>
          <w:rFonts w:ascii="Courier New" w:cs="Courier New" w:eastAsia="Courier New" w:hAnsi="Courier New"/>
          <w:sz w:val="18"/>
          <w:szCs w:val="18"/>
          <w:color w:val="auto"/>
        </w:rPr>
        <w:t>Engibous also says that if the strength in orders continues, semiconductor revenue should grow sequentially in the second quarter.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Engibous notes that TI has significant room for operating leverage on its fixed manufacturing costs as capacity utilization improves. During the downturn, the company reduced annualized costs by about $600 million, while continuing to invest in more efficient manufacturing. As a result, it expects revenue growth to fall through to the bottom line at a high rate.</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Engibous' keynote can be viewed through the Investor Relations section of the TI Web site at www.ti.com/ir.</w:t>
      </w:r>
    </w:p>
    <w:p>
      <w:pPr>
        <w:spacing w:after="0" w:line="203" w:lineRule="exact"/>
        <w:rPr>
          <w:sz w:val="20"/>
          <w:szCs w:val="20"/>
          <w:color w:val="auto"/>
        </w:rPr>
      </w:pPr>
    </w:p>
    <w:p>
      <w:pPr>
        <w:jc w:val="center"/>
        <w:ind w:right="1679"/>
        <w:spacing w:after="0"/>
        <w:tabs>
          <w:tab w:leader="none" w:pos="300" w:val="left"/>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 forma supplemental income information begins with the Consolidated Statement of Operations, which complies with U.S. generally accepted accounting principles, and then excludes amortization of acquisition-related costs (goodwill, other intangibles and deferred compensation), pooling-of-interests transaction costs, purchased in-process R&amp;D costs, special charges and gains, and income-tax adjustments.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w:t>
      </w:r>
    </w:p>
    <w:p>
      <w:pPr>
        <w:spacing w:after="0" w:line="238" w:lineRule="auto"/>
        <w:rPr>
          <w:sz w:val="20"/>
          <w:szCs w:val="20"/>
          <w:color w:val="auto"/>
        </w:rPr>
      </w:pPr>
      <w:r>
        <w:rPr>
          <w:rFonts w:ascii="Courier New" w:cs="Courier New" w:eastAsia="Courier New" w:hAnsi="Courier New"/>
          <w:sz w:val="18"/>
          <w:szCs w:val="18"/>
          <w:color w:val="auto"/>
        </w:rPr>
        <w:t>Texas Instruments Incorporated is the world leader in digital</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signal processing and analog technologies, the semiconductor engines of the Internet age.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web site is www.ti.com.</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SAFE</w:t>
        <w:tab/>
        <w:t>HARBOR</w:t>
      </w:r>
      <w:r>
        <w:rPr>
          <w:sz w:val="20"/>
          <w:szCs w:val="20"/>
          <w:color w:val="auto"/>
        </w:rPr>
        <w:tab/>
      </w:r>
      <w:r>
        <w:rPr>
          <w:rFonts w:ascii="Courier New" w:cs="Courier New" w:eastAsia="Courier New" w:hAnsi="Courier New"/>
          <w:sz w:val="16"/>
          <w:szCs w:val="16"/>
          <w:color w:val="auto"/>
        </w:rPr>
        <w:t>STATEMENT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ectPr>
          <w:pgSz w:w="11900" w:h="16838" w:orient="portrait"/>
          <w:cols w:equalWidth="0" w:num="1">
            <w:col w:w="10219"/>
          </w:cols>
          <w:pgMar w:left="240" w:top="723" w:right="1440" w:bottom="1440" w:gutter="0" w:footer="0" w:header="0"/>
        </w:sectPr>
      </w:pPr>
    </w:p>
    <w:bookmarkStart w:id="5" w:name="page6"/>
    <w:bookmarkEnd w:id="5"/>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1060" w:right="177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1060" w:right="261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1060" w:right="315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completion and successful integration of announced acquisitions;</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recruit and retain skilled personnel;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raw materials and critical manufacturing equipment.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this release and the company undertakes no obligation to update the forward-looking statements to reflect subsequent events or circumstances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2019-12-13T07:32:38Z</dcterms:created>
  <dcterms:modified xsi:type="dcterms:W3CDTF">2019-12-13T07:32:38Z</dcterms:modified>
</cp:coreProperties>
</file>