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1085215</wp:posOffset>
            </wp:positionH>
            <wp:positionV relativeFrom="paragraph">
              <wp:posOffset>20955</wp:posOffset>
            </wp:positionV>
            <wp:extent cx="4963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63160" cy="8890"/>
                    </a:xfrm>
                    <a:prstGeom prst="rect">
                      <a:avLst/>
                    </a:prstGeom>
                    <a:noFill/>
                  </pic:spPr>
                </pic:pic>
              </a:graphicData>
            </a:graphic>
          </wp:anchor>
        </w:drawing>
      </w:r>
    </w:p>
    <w:p>
      <w:pPr>
        <w:spacing w:after="0" w:line="354" w:lineRule="exact"/>
        <w:rPr>
          <w:sz w:val="24"/>
          <w:szCs w:val="24"/>
          <w:color w:val="auto"/>
        </w:rPr>
      </w:pPr>
    </w:p>
    <w:p>
      <w:pPr>
        <w:jc w:val="center"/>
        <w:ind w:right="20"/>
        <w:spacing w:after="0"/>
        <w:rPr>
          <w:sz w:val="20"/>
          <w:szCs w:val="20"/>
          <w:color w:val="auto"/>
        </w:rPr>
      </w:pPr>
      <w:r>
        <w:rPr>
          <w:rFonts w:ascii="Arial" w:cs="Arial" w:eastAsia="Arial" w:hAnsi="Arial"/>
          <w:sz w:val="31"/>
          <w:szCs w:val="31"/>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1085215</wp:posOffset>
            </wp:positionH>
            <wp:positionV relativeFrom="paragraph">
              <wp:posOffset>36830</wp:posOffset>
            </wp:positionV>
            <wp:extent cx="4963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366" w:lineRule="exact"/>
        <w:rPr>
          <w:sz w:val="24"/>
          <w:szCs w:val="24"/>
          <w:color w:val="auto"/>
        </w:rPr>
      </w:pPr>
    </w:p>
    <w:p>
      <w:pPr>
        <w:ind w:left="660" w:hanging="634"/>
        <w:spacing w:after="0"/>
        <w:tabs>
          <w:tab w:leader="none" w:pos="66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ANNUAL REPORT PURSUANT TO SECTION 13 OR 15(d) OF THE SECURITIES EXCHANGE ACT OF 1934</w:t>
      </w:r>
    </w:p>
    <w:p>
      <w:pPr>
        <w:spacing w:after="0" w:line="49" w:lineRule="exact"/>
        <w:rPr>
          <w:rFonts w:ascii="MS PGothic" w:cs="MS PGothic" w:eastAsia="MS PGothic" w:hAnsi="MS PGothic"/>
          <w:sz w:val="22"/>
          <w:szCs w:val="22"/>
          <w:color w:val="auto"/>
        </w:rPr>
      </w:pPr>
    </w:p>
    <w:p>
      <w:pPr>
        <w:ind w:left="3920"/>
        <w:spacing w:after="0"/>
        <w:rPr>
          <w:rFonts w:ascii="MS PGothic" w:cs="MS PGothic" w:eastAsia="MS PGothic" w:hAnsi="MS PGothic"/>
          <w:sz w:val="22"/>
          <w:szCs w:val="22"/>
          <w:color w:val="auto"/>
        </w:rPr>
      </w:pPr>
      <w:r>
        <w:rPr>
          <w:rFonts w:ascii="Arial" w:cs="Arial" w:eastAsia="Arial" w:hAnsi="Arial"/>
          <w:sz w:val="18"/>
          <w:szCs w:val="18"/>
          <w:b w:val="1"/>
          <w:bCs w:val="1"/>
          <w:color w:val="auto"/>
        </w:rPr>
        <w:t>For the fiscal year ended December 31, 2020</w:t>
      </w:r>
    </w:p>
    <w:p>
      <w:pPr>
        <w:spacing w:after="0" w:line="25" w:lineRule="exact"/>
        <w:rPr>
          <w:sz w:val="24"/>
          <w:szCs w:val="24"/>
          <w:color w:val="auto"/>
        </w:rPr>
      </w:pPr>
    </w:p>
    <w:p>
      <w:pPr>
        <w:ind w:left="660" w:hanging="634"/>
        <w:spacing w:after="0"/>
        <w:tabs>
          <w:tab w:leader="none" w:pos="66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84" w:lineRule="exact"/>
        <w:rPr>
          <w:sz w:val="24"/>
          <w:szCs w:val="24"/>
          <w:color w:val="auto"/>
        </w:rPr>
      </w:pPr>
    </w:p>
    <w:p>
      <w:pPr>
        <w:ind w:left="3320"/>
        <w:spacing w:after="0"/>
        <w:rPr>
          <w:sz w:val="20"/>
          <w:szCs w:val="20"/>
          <w:color w:val="auto"/>
        </w:rPr>
      </w:pPr>
      <w:r>
        <w:rPr>
          <w:rFonts w:ascii="Arial" w:cs="Arial" w:eastAsia="Arial" w:hAnsi="Arial"/>
          <w:sz w:val="18"/>
          <w:szCs w:val="18"/>
          <w:b w:val="1"/>
          <w:bCs w:val="1"/>
          <w:color w:val="auto"/>
        </w:rPr>
        <w:t>For the transition period from ___________ to ___________</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001-03761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1085215</wp:posOffset>
            </wp:positionH>
            <wp:positionV relativeFrom="paragraph">
              <wp:posOffset>31750</wp:posOffset>
            </wp:positionV>
            <wp:extent cx="496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373" w:lineRule="exact"/>
        <w:rPr>
          <w:sz w:val="24"/>
          <w:szCs w:val="24"/>
          <w:color w:val="auto"/>
        </w:rPr>
      </w:pPr>
    </w:p>
    <w:p>
      <w:pPr>
        <w:jc w:val="center"/>
        <w:ind w:right="20"/>
        <w:spacing w:after="0"/>
        <w:rPr>
          <w:sz w:val="20"/>
          <w:szCs w:val="20"/>
          <w:color w:val="auto"/>
        </w:rPr>
      </w:pPr>
      <w:r>
        <w:rPr>
          <w:rFonts w:ascii="Arial" w:cs="Arial" w:eastAsia="Arial" w:hAnsi="Arial"/>
          <w:sz w:val="34"/>
          <w:szCs w:val="34"/>
          <w:b w:val="1"/>
          <w:bCs w:val="1"/>
          <w:color w:val="auto"/>
        </w:rPr>
        <w:t>TEXAS INSTRUMENTS INCORPORATED</w:t>
      </w:r>
    </w:p>
    <w:p>
      <w:pPr>
        <w:spacing w:after="0" w:line="70"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1085215</wp:posOffset>
            </wp:positionH>
            <wp:positionV relativeFrom="paragraph">
              <wp:posOffset>68580</wp:posOffset>
            </wp:positionV>
            <wp:extent cx="49549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169" w:lineRule="exact"/>
        <w:rPr>
          <w:sz w:val="24"/>
          <w:szCs w:val="24"/>
          <w:color w:val="auto"/>
        </w:rPr>
      </w:pPr>
    </w:p>
    <w:tbl>
      <w:tblPr>
        <w:tblLayout w:type="fixed"/>
        <w:tblInd w:w="2060" w:type="dxa"/>
        <w:tblCellMar>
          <w:top w:w="0" w:type="dxa"/>
          <w:left w:w="0" w:type="dxa"/>
          <w:bottom w:w="0" w:type="dxa"/>
          <w:right w:w="0" w:type="dxa"/>
        </w:tblCellMar>
      </w:tblPr>
      <w:tr>
        <w:trPr>
          <w:trHeight w:val="210"/>
        </w:trPr>
        <w:tc>
          <w:tcPr>
            <w:tcW w:w="3600" w:type="dxa"/>
            <w:vAlign w:val="bottom"/>
          </w:tcPr>
          <w:p>
            <w:pPr>
              <w:jc w:val="center"/>
              <w:ind w:right="819"/>
              <w:spacing w:after="0"/>
              <w:rPr>
                <w:sz w:val="20"/>
                <w:szCs w:val="20"/>
                <w:color w:val="auto"/>
              </w:rPr>
            </w:pPr>
            <w:r>
              <w:rPr>
                <w:rFonts w:ascii="Arial" w:cs="Arial" w:eastAsia="Arial" w:hAnsi="Arial"/>
                <w:sz w:val="16"/>
                <w:szCs w:val="16"/>
                <w:b w:val="1"/>
                <w:bCs w:val="1"/>
                <w:color w:val="auto"/>
                <w:w w:val="93"/>
              </w:rPr>
              <w:t>Delaware</w:t>
            </w:r>
          </w:p>
        </w:tc>
        <w:tc>
          <w:tcPr>
            <w:tcW w:w="3400" w:type="dxa"/>
            <w:vAlign w:val="bottom"/>
          </w:tcPr>
          <w:p>
            <w:pPr>
              <w:jc w:val="right"/>
              <w:ind w:right="779"/>
              <w:spacing w:after="0"/>
              <w:rPr>
                <w:sz w:val="20"/>
                <w:szCs w:val="20"/>
                <w:color w:val="auto"/>
              </w:rPr>
            </w:pPr>
            <w:r>
              <w:rPr>
                <w:rFonts w:ascii="Arial" w:cs="Arial" w:eastAsia="Arial" w:hAnsi="Arial"/>
                <w:sz w:val="16"/>
                <w:szCs w:val="16"/>
                <w:b w:val="1"/>
                <w:bCs w:val="1"/>
                <w:color w:val="auto"/>
              </w:rPr>
              <w:t>75-0289970</w:t>
            </w:r>
          </w:p>
        </w:tc>
      </w:tr>
      <w:tr>
        <w:trPr>
          <w:trHeight w:val="216"/>
        </w:trPr>
        <w:tc>
          <w:tcPr>
            <w:tcW w:w="3600" w:type="dxa"/>
            <w:vAlign w:val="bottom"/>
          </w:tcPr>
          <w:p>
            <w:pPr>
              <w:jc w:val="center"/>
              <w:ind w:right="839"/>
              <w:spacing w:after="0"/>
              <w:rPr>
                <w:sz w:val="20"/>
                <w:szCs w:val="20"/>
                <w:color w:val="auto"/>
              </w:rPr>
            </w:pPr>
            <w:r>
              <w:rPr>
                <w:rFonts w:ascii="Arial" w:cs="Arial" w:eastAsia="Arial" w:hAnsi="Arial"/>
                <w:sz w:val="16"/>
                <w:szCs w:val="16"/>
                <w:b w:val="1"/>
                <w:bCs w:val="1"/>
                <w:color w:val="auto"/>
                <w:w w:val="92"/>
              </w:rPr>
              <w:t>(State of Incorporation)</w:t>
            </w:r>
          </w:p>
        </w:tc>
        <w:tc>
          <w:tcPr>
            <w:tcW w:w="3400" w:type="dxa"/>
            <w:vAlign w:val="bottom"/>
          </w:tcPr>
          <w:p>
            <w:pPr>
              <w:jc w:val="center"/>
              <w:ind w:left="839"/>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486"/>
        </w:trPr>
        <w:tc>
          <w:tcPr>
            <w:tcW w:w="3600" w:type="dxa"/>
            <w:vAlign w:val="bottom"/>
          </w:tcPr>
          <w:p>
            <w:pPr>
              <w:jc w:val="center"/>
              <w:ind w:right="839"/>
              <w:spacing w:after="0"/>
              <w:rPr>
                <w:sz w:val="20"/>
                <w:szCs w:val="20"/>
                <w:color w:val="auto"/>
              </w:rPr>
            </w:pPr>
            <w:r>
              <w:rPr>
                <w:rFonts w:ascii="Arial" w:cs="Arial" w:eastAsia="Arial" w:hAnsi="Arial"/>
                <w:sz w:val="16"/>
                <w:szCs w:val="16"/>
                <w:b w:val="1"/>
                <w:bCs w:val="1"/>
                <w:color w:val="auto"/>
                <w:w w:val="92"/>
              </w:rPr>
              <w:t>12500 TI Boulevard, Dallas, Texas</w:t>
            </w:r>
          </w:p>
        </w:tc>
        <w:tc>
          <w:tcPr>
            <w:tcW w:w="3400" w:type="dxa"/>
            <w:vAlign w:val="bottom"/>
          </w:tcPr>
          <w:p>
            <w:pPr>
              <w:jc w:val="right"/>
              <w:ind w:right="959"/>
              <w:spacing w:after="0"/>
              <w:rPr>
                <w:sz w:val="20"/>
                <w:szCs w:val="20"/>
                <w:color w:val="auto"/>
              </w:rPr>
            </w:pPr>
            <w:r>
              <w:rPr>
                <w:rFonts w:ascii="Arial" w:cs="Arial" w:eastAsia="Arial" w:hAnsi="Arial"/>
                <w:sz w:val="16"/>
                <w:szCs w:val="16"/>
                <w:b w:val="1"/>
                <w:bCs w:val="1"/>
                <w:color w:val="auto"/>
              </w:rPr>
              <w:t>75243</w:t>
            </w:r>
          </w:p>
        </w:tc>
      </w:tr>
      <w:tr>
        <w:trPr>
          <w:trHeight w:val="243"/>
        </w:trPr>
        <w:tc>
          <w:tcPr>
            <w:tcW w:w="3600" w:type="dxa"/>
            <w:vAlign w:val="bottom"/>
          </w:tcPr>
          <w:p>
            <w:pPr>
              <w:jc w:val="center"/>
              <w:ind w:right="839"/>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400" w:type="dxa"/>
            <w:vAlign w:val="bottom"/>
          </w:tcPr>
          <w:p>
            <w:pPr>
              <w:jc w:val="center"/>
              <w:ind w:left="819"/>
              <w:spacing w:after="0"/>
              <w:rPr>
                <w:sz w:val="20"/>
                <w:szCs w:val="20"/>
                <w:color w:val="auto"/>
              </w:rPr>
            </w:pPr>
            <w:r>
              <w:rPr>
                <w:rFonts w:ascii="Arial" w:cs="Arial" w:eastAsia="Arial" w:hAnsi="Arial"/>
                <w:sz w:val="16"/>
                <w:szCs w:val="16"/>
                <w:b w:val="1"/>
                <w:bCs w:val="1"/>
                <w:color w:val="auto"/>
                <w:w w:val="93"/>
              </w:rPr>
              <w:t>(Zip Code)</w:t>
            </w:r>
          </w:p>
        </w:tc>
      </w:tr>
    </w:tbl>
    <w:p>
      <w:pPr>
        <w:spacing w:after="0" w:line="276" w:lineRule="exact"/>
        <w:rPr>
          <w:sz w:val="24"/>
          <w:szCs w:val="24"/>
          <w:color w:val="auto"/>
        </w:rPr>
      </w:pPr>
    </w:p>
    <w:p>
      <w:pPr>
        <w:ind w:left="3360"/>
        <w:spacing w:after="0"/>
        <w:rPr>
          <w:sz w:val="20"/>
          <w:szCs w:val="20"/>
          <w:color w:val="auto"/>
        </w:rPr>
      </w:pPr>
      <w:r>
        <w:rPr>
          <w:rFonts w:ascii="Arial" w:cs="Arial" w:eastAsia="Arial" w:hAnsi="Arial"/>
          <w:sz w:val="16"/>
          <w:szCs w:val="16"/>
          <w:b w:val="1"/>
          <w:bCs w:val="1"/>
          <w:color w:val="auto"/>
        </w:rPr>
        <w:t>Registrant’s telephone number, including area code 214-479-3773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1085215</wp:posOffset>
            </wp:positionH>
            <wp:positionV relativeFrom="paragraph">
              <wp:posOffset>54610</wp:posOffset>
            </wp:positionV>
            <wp:extent cx="49549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54905" cy="8890"/>
                    </a:xfrm>
                    <a:prstGeom prst="rect">
                      <a:avLst/>
                    </a:prstGeom>
                    <a:noFill/>
                  </pic:spPr>
                </pic:pic>
              </a:graphicData>
            </a:graphic>
          </wp:anchor>
        </w:drawing>
      </w:r>
    </w:p>
    <w:p>
      <w:pPr>
        <w:spacing w:after="0" w:line="12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36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5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3"/>
        </w:trPr>
        <w:tc>
          <w:tcPr>
            <w:tcW w:w="3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$1.00</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TXN</w:t>
            </w:r>
          </w:p>
        </w:tc>
        <w:tc>
          <w:tcPr>
            <w:tcW w:w="5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67"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111" w:lineRule="exact"/>
        <w:rPr>
          <w:sz w:val="24"/>
          <w:szCs w:val="24"/>
          <w:color w:val="auto"/>
        </w:rPr>
      </w:pPr>
    </w:p>
    <w:p>
      <w:pPr>
        <w:ind w:right="1600"/>
        <w:spacing w:after="0" w:line="270"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if the Registrant is not required to file reports pursuant to Section 13 or Section 15(d) of the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 w:lineRule="exact"/>
        <w:rPr>
          <w:sz w:val="24"/>
          <w:szCs w:val="24"/>
          <w:color w:val="auto"/>
        </w:rPr>
      </w:pPr>
    </w:p>
    <w:p>
      <w:pPr>
        <w:ind w:right="260"/>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6"/>
          <w:szCs w:val="16"/>
          <w:color w:val="auto"/>
        </w:rPr>
        <w:t>Yes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83" w:lineRule="exact"/>
        <w:rPr>
          <w:sz w:val="24"/>
          <w:szCs w:val="24"/>
          <w:color w:val="auto"/>
        </w:rPr>
      </w:pPr>
    </w:p>
    <w:p>
      <w:pPr>
        <w:ind w:right="80"/>
        <w:spacing w:after="0" w:line="28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80"/>
        <w:spacing w:after="0" w:line="26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2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140"/>
              <w:spacing w:after="0"/>
              <w:rPr>
                <w:sz w:val="20"/>
                <w:szCs w:val="20"/>
                <w:color w:val="auto"/>
              </w:rPr>
            </w:pPr>
            <w:r>
              <w:rPr>
                <w:rFonts w:ascii="Arial" w:cs="Arial" w:eastAsia="Arial" w:hAnsi="Arial"/>
                <w:sz w:val="18"/>
                <w:szCs w:val="18"/>
                <w:color w:val="auto"/>
              </w:rPr>
              <w:t>Accelerated filer</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3"/>
        </w:trPr>
        <w:tc>
          <w:tcPr>
            <w:tcW w:w="26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2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ind w:left="2140"/>
              <w:spacing w:after="0"/>
              <w:rPr>
                <w:sz w:val="20"/>
                <w:szCs w:val="20"/>
                <w:color w:val="auto"/>
              </w:rPr>
            </w:pPr>
            <w:r>
              <w:rPr>
                <w:rFonts w:ascii="Arial" w:cs="Arial" w:eastAsia="Arial" w:hAnsi="Arial"/>
                <w:sz w:val="18"/>
                <w:szCs w:val="18"/>
                <w:color w:val="auto"/>
              </w:rPr>
              <w:t>Smaller reporting company</w:t>
            </w:r>
          </w:p>
        </w:tc>
        <w:tc>
          <w:tcPr>
            <w:tcW w:w="800" w:type="dxa"/>
            <w:vAlign w:val="bottom"/>
          </w:tcPr>
          <w:p>
            <w:pPr>
              <w:ind w:left="6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62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2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760" w:type="dxa"/>
            <w:vAlign w:val="bottom"/>
          </w:tcPr>
          <w:p>
            <w:pPr>
              <w:spacing w:after="0"/>
              <w:rPr>
                <w:sz w:val="22"/>
                <w:szCs w:val="22"/>
                <w:color w:val="auto"/>
              </w:rPr>
            </w:pPr>
          </w:p>
        </w:tc>
        <w:tc>
          <w:tcPr>
            <w:tcW w:w="800" w:type="dxa"/>
            <w:vAlign w:val="bottom"/>
          </w:tcPr>
          <w:p>
            <w:pPr>
              <w:spacing w:after="0"/>
              <w:rPr>
                <w:sz w:val="22"/>
                <w:szCs w:val="22"/>
                <w:color w:val="auto"/>
              </w:rPr>
            </w:pPr>
          </w:p>
        </w:tc>
      </w:tr>
    </w:tbl>
    <w:p>
      <w:pPr>
        <w:spacing w:after="0" w:line="200" w:lineRule="exact"/>
        <w:rPr>
          <w:sz w:val="24"/>
          <w:szCs w:val="24"/>
          <w:color w:val="auto"/>
        </w:rPr>
      </w:pPr>
    </w:p>
    <w:p>
      <w:pPr>
        <w:sectPr>
          <w:pgSz w:w="11900" w:h="16838" w:orient="portrait"/>
          <w:cols w:equalWidth="0" w:num="1">
            <w:col w:w="11260"/>
          </w:cols>
          <w:pgMar w:left="320" w:top="818" w:right="319" w:bottom="1440" w:gutter="0" w:footer="0" w:header="0"/>
        </w:sectPr>
      </w:pPr>
    </w:p>
    <w:p>
      <w:pPr>
        <w:spacing w:after="0" w:line="44" w:lineRule="exact"/>
        <w:rPr>
          <w:sz w:val="24"/>
          <w:szCs w:val="24"/>
          <w:color w:val="auto"/>
        </w:rPr>
      </w:pPr>
    </w:p>
    <w:p>
      <w:pPr>
        <w:ind w:left="20"/>
        <w:spacing w:after="0" w:line="235"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ind w:left="20" w:right="120"/>
        <w:spacing w:after="0" w:line="224" w:lineRule="auto"/>
        <w:rPr>
          <w:sz w:val="20"/>
          <w:szCs w:val="20"/>
          <w:color w:val="auto"/>
        </w:rPr>
      </w:pPr>
      <w:r>
        <w:rPr>
          <w:rFonts w:ascii="Arial" w:cs="Arial" w:eastAsia="Arial" w:hAnsi="Arial"/>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p>
      <w:pPr>
        <w:spacing w:after="0" w:line="8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Indicate by check mark whether the Registrant is a shell company (as defined in Rule 12b-2 of the Act). Y</w:t>
      </w:r>
      <w:r>
        <w:rPr>
          <w:rFonts w:ascii="Arial" w:cs="Arial" w:eastAsia="Arial" w:hAnsi="Arial"/>
          <w:sz w:val="16"/>
          <w:szCs w:val="16"/>
          <w:color w:val="auto"/>
        </w:rPr>
        <w:t>es</w:t>
      </w:r>
      <w:r>
        <w:rPr>
          <w:rFonts w:ascii="Arial" w:cs="Arial" w:eastAsia="Arial" w:hAnsi="Arial"/>
          <w:sz w:val="18"/>
          <w:szCs w:val="18"/>
          <w:color w:val="auto"/>
        </w:rPr>
        <w:t xml:space="preserve"> </w:t>
      </w:r>
      <w:r>
        <w:rPr>
          <w:rFonts w:ascii="MS PGothic" w:cs="MS PGothic" w:eastAsia="MS PGothic" w:hAnsi="MS PGothic"/>
          <w:sz w:val="16"/>
          <w:szCs w:val="16"/>
          <w:color w:val="auto"/>
        </w:rPr>
        <w:t>☐</w:t>
      </w:r>
      <w:r>
        <w:rPr>
          <w:rFonts w:ascii="Arial" w:cs="Arial" w:eastAsia="Arial" w:hAnsi="Arial"/>
          <w:sz w:val="18"/>
          <w:szCs w:val="18"/>
          <w:color w:val="auto"/>
        </w:rPr>
        <w:t xml:space="preserve"> </w:t>
      </w:r>
      <w:r>
        <w:rPr>
          <w:rFonts w:ascii="Arial" w:cs="Arial" w:eastAsia="Arial" w:hAnsi="Arial"/>
          <w:sz w:val="16"/>
          <w:szCs w:val="16"/>
          <w:color w:val="auto"/>
        </w:rPr>
        <w:t>No</w:t>
      </w:r>
      <w:r>
        <w:rPr>
          <w:rFonts w:ascii="Arial" w:cs="Arial" w:eastAsia="Arial" w:hAnsi="Arial"/>
          <w:sz w:val="18"/>
          <w:szCs w:val="18"/>
          <w:color w:val="auto"/>
        </w:rPr>
        <w:t xml:space="preserve"> </w:t>
      </w:r>
      <w:r>
        <w:rPr>
          <w:rFonts w:ascii="MS PGothic" w:cs="MS PGothic" w:eastAsia="MS PGothic" w:hAnsi="MS PGothic"/>
          <w:sz w:val="16"/>
          <w:szCs w:val="16"/>
          <w:color w:val="auto"/>
        </w:rPr>
        <w:t>☒</w:t>
      </w:r>
    </w:p>
    <w:p>
      <w:pPr>
        <w:spacing w:after="0" w:line="75" w:lineRule="exact"/>
        <w:rPr>
          <w:sz w:val="24"/>
          <w:szCs w:val="24"/>
          <w:color w:val="auto"/>
        </w:rPr>
      </w:pPr>
    </w:p>
    <w:p>
      <w:pPr>
        <w:ind w:left="2520" w:right="600" w:hanging="2519"/>
        <w:spacing w:after="0" w:line="331" w:lineRule="auto"/>
        <w:rPr>
          <w:sz w:val="20"/>
          <w:szCs w:val="20"/>
          <w:color w:val="auto"/>
        </w:rPr>
      </w:pPr>
      <w:r>
        <w:rPr>
          <w:rFonts w:ascii="Arial" w:cs="Arial" w:eastAsia="Arial" w:hAnsi="Arial"/>
          <w:sz w:val="17"/>
          <w:szCs w:val="17"/>
          <w:color w:val="auto"/>
        </w:rPr>
        <w:t>The aggregate market value of voting stock held by non-affiliates of the Registrant was approximately $116,120,360,680 as of June 30, 2020. 920,239,191 (Number of shares of common stock outstanding as of January 27, 2021)</w:t>
      </w:r>
    </w:p>
    <w:p>
      <w:pPr>
        <w:spacing w:after="0" w:line="1" w:lineRule="exact"/>
        <w:rPr>
          <w:sz w:val="24"/>
          <w:szCs w:val="24"/>
          <w:color w:val="auto"/>
        </w:rPr>
      </w:pPr>
    </w:p>
    <w:p>
      <w:pPr>
        <w:spacing w:after="0"/>
        <w:rPr>
          <w:sz w:val="20"/>
          <w:szCs w:val="20"/>
          <w:color w:val="auto"/>
        </w:rPr>
      </w:pPr>
      <w:r>
        <w:rPr>
          <w:rFonts w:ascii="Arial" w:cs="Arial" w:eastAsia="Arial" w:hAnsi="Arial"/>
          <w:sz w:val="18"/>
          <w:szCs w:val="18"/>
          <w:color w:val="auto"/>
        </w:rPr>
        <w:t>Part III hereof incorporates information by reference to the Registrant’s proxy statement for the 2021 annual meeting of stockholders.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57785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34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ectPr>
          <w:pgSz w:w="11900" w:h="16838" w:orient="portrait"/>
          <w:cols w:equalWidth="0" w:num="2">
            <w:col w:w="10800" w:space="180"/>
            <w:col w:w="280"/>
          </w:cols>
          <w:pgMar w:left="320" w:top="818"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design and make semiconductors that we sell to electronics designers and manufacturers all over the world. Our operations began in 1930, and we are incorporated in Delaware. With headquarters in Dallas, Texas, we have design, manufacturing or sales operations in more than 30 countries. Our two reportable segments are Analog and Embedded Processing, and we report the results of our remaining business activities in Other. In 2020, we generated $14.46 billion of revenue.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 decades, we have operated with a passion to create a better world by making electronics more affordable through semiconductors. We were pioneers in the transition from vacuum tubes to transistors and then to integrated circuits. As each generation became more reliable, more affordable and lower in power, semiconductors were used by a growing number of customers and markets. This passion is alive today as we help our customers develop electronics and new applications, particularly in industrial and automotive markets.</w:t>
      </w:r>
    </w:p>
    <w:p>
      <w:pPr>
        <w:spacing w:after="0" w:line="187"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For many years, we have run our business with three overarching ambitions in mind. First, we will act like owners who will own the company for decades. Second, we will adapt and succeed in a world that is ever changing. And third, we will be a company that we are personally proud to be a part of and that we would want as our neighbor. When we are successful in achieving these ambitions, our employees, customers, communities and shareholders all win.</w:t>
      </w:r>
    </w:p>
    <w:p>
      <w:pPr>
        <w:spacing w:after="0" w:line="14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As engineers, we are fortunate to work on exciting technology which helps our customers innovate to create a better world. Technology is the foundation of our company, but ultimately, our objective and the best metric to measure progress and generate long-term value for owners is the growth of free cash flow per share.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first element of our strategy is a business model that is focused on analog and embedded processing products and built around four competitive advantages. This business model is the result of a series of strategic decisions made over the years and that continue today. The four sustainable competitive advantages are a strong foundation of manufacturing and technology, a broad portfolio of analog and embedded processing products, the reach of our market channels, and diversity and longevity of our products, markets and customer positions. In combination, these four competitive advantages provide tangible benefits, are difficult to replicate and ultimately separate us from our best peers. 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second element of our strategy to maximize free cash flow per share growth is disciplined allocation of capital. This spans how we select R&amp;D projects, develop new capabilities like TI.com, invest in new manufacturing capacity or how we think about acquisitions and returning cash to our owners. Over a 10-year period from 2011 to 2020, we allocated $83 billion, which reinforces the importance of discipline in capital allocation. The largest allocation over this period was to drive organic growth, which includes investments in R&amp;D, sales and marketing, capital expenditures and working capital for inventory. Beyond that, we also allocated capital to dividends and share repurchases. Dividends are designed to appeal to a broad set of investors, and share repurchases are made with the goal of the accretive capture of future free cash flow for long-term investors. Lastly, we allocate to acquisitions for inorganic growth, which we last did in 2011 when we acquired National Semiconductor.</w:t>
      </w:r>
    </w:p>
    <w:p>
      <w:pPr>
        <w:spacing w:after="0" w:line="17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third element of our strategy is efficiency, which we think of as constantly striving for more output for every dollar spent. This is about getting our investments in the most impactful areas to maximize the growth of long-term free cash flow per share; it is not just about optimizing cost-cutting to get to the last dollar of expense. We bring this philosophy of efficiency and continuous improvement to all areas of the company, and this focus on efficiency contributes to revenue growth, improved gross margins, disciplined R&amp;D and SG&amp;A expense, free cash flow margins and ultimately to free cash flow per share growth.</w:t>
      </w:r>
    </w:p>
    <w:p>
      <w:pPr>
        <w:spacing w:after="0" w:line="188" w:lineRule="exact"/>
        <w:rPr>
          <w:sz w:val="20"/>
          <w:szCs w:val="20"/>
          <w:color w:val="auto"/>
        </w:rPr>
      </w:pPr>
    </w:p>
    <w:p>
      <w:pPr>
        <w:ind w:right="200"/>
        <w:spacing w:after="0" w:line="311" w:lineRule="auto"/>
        <w:rPr>
          <w:sz w:val="20"/>
          <w:szCs w:val="20"/>
          <w:color w:val="auto"/>
        </w:rPr>
      </w:pPr>
      <w:r>
        <w:rPr>
          <w:rFonts w:ascii="Arial" w:cs="Arial" w:eastAsia="Arial" w:hAnsi="Arial"/>
          <w:sz w:val="16"/>
          <w:szCs w:val="16"/>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Product information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Semiconductors are electronic components that serve as the building blocks inside modern electronic systems and equipment. Semiconductors, generally known as “chips,” combine multiple transistors to form a complete electronic circuit. We have a diverse product portfolio that is used to accomplish many different things, such as converting and amplifying signals, interfacing with other devices, managing and distributing power, processing data, canceling noise and improving signal resolution. This broad portfolio includes approximately 80,000 products that are integral to almost every type of electronic equipment.</w:t>
      </w:r>
    </w:p>
    <w:p>
      <w:pPr>
        <w:spacing w:after="0" w:line="18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Our segments represent groups of similar products that are combined on the basis of similar design and development requirements, product characteristics, manufacturing processes and distribution channels. Our segments also reflect how management allocates resources and measures results.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Analog</w:t>
      </w:r>
    </w:p>
    <w:p>
      <w:pPr>
        <w:spacing w:after="0" w:line="22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Our Analog segment generated $10.89 billion of revenue in 2020. 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As the digitization of electronics continues, there is a growing need and opportunity for analog chips to provide the power to run devices and the critical interfaces with human beings, the real world and other electronic devices. Our Analog products are used in many markets, particularly industrial, automotive and personal electronics.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Sales of our Analog products generated about 75% of our revenue in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Analog segment includes the following major product lines: Power and Signal Chain.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w:t>
      </w:r>
    </w:p>
    <w:p>
      <w:pPr>
        <w:spacing w:after="0" w:line="225"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Power includes products that help customers manage power in electronic systems in all end markets. Our broad portfolio is designed to manage power requirements across different voltage levels, including battery-management solutions, DC/DC switching regulators, AC/DC and isolated controllers and converters, power switches, linear regulators, voltage supervisors, voltage references and lighting products.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Signal Chain</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Signal Chain includes products that sense, condition and measure real-world signals to allow information to be transferred or converted for further processing and control. Our Signal Chain products, which serve a variety of end markets, include amplifiers, data converters, interface products, motor drives, clocks, logic and sensing products.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Embedded Processing</w:t>
      </w:r>
    </w:p>
    <w:p>
      <w:pPr>
        <w:spacing w:after="0" w:line="225"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Our Embedded Processing segment generated $2.57 billion of revenue in 2020. Embedded Processing products are the digital “brains” of many types of electronic equipment. They are designed to handle specific tasks and can be optimized for various combinations of performance, power and cost, depending on the application. Our devices vary from simple, low-cost microcontrollers used in applications such as electric toothbrushes to highly specialized, complex devices such as motor control. Our Embedded Processing products are used in many markets, particularly industrial and automotive.</w:t>
      </w:r>
    </w:p>
    <w:p>
      <w:pPr>
        <w:spacing w:after="0" w:line="1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An important characteristic of our Embedded Processing products is that our customers often invest their own research and development (R&amp;D) to write software that operates on our products. This investment tends to increase the length of our customer relationships because many customers prefer to reuse software from one product generation to the next.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Sales of Embedded Processing products generated about 18% of our revenue in 2020.</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Embedded Processing segment includes microcontrollers, digital signal processors (DSPs) and applications processors. Microcontrollers are self-contained systems with a processor core, memory and peripherals that are designed to control a set of specific tasks for electronic equipment. DSPs perform mathematical computations almost instantaneously to process or improve digital data. Applications processors are designed for specific computing activity.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report the results of our remaining business activities in Other, which includes operating segments that do not meet the quantitative thresholds for individually reportable segments and cannot be aggregated with other operating segments. Other generated $1.01 billion of revenue in 2020 and includes revenue from DLP</w:t>
      </w:r>
      <w:r>
        <w:rPr>
          <w:rFonts w:ascii="Arial" w:cs="Arial" w:eastAsia="Arial" w:hAnsi="Arial"/>
          <w:sz w:val="10"/>
          <w:szCs w:val="10"/>
          <w:color w:val="auto"/>
        </w:rPr>
        <w:t>®</w:t>
      </w:r>
      <w:r>
        <w:rPr>
          <w:rFonts w:ascii="Arial" w:cs="Arial" w:eastAsia="Arial" w:hAnsi="Arial"/>
          <w:sz w:val="18"/>
          <w:szCs w:val="18"/>
          <w:color w:val="auto"/>
        </w:rPr>
        <w:t xml:space="preserve"> products (primarily used to project high-definition images), calculators and certain custom semiconductors known as application-specific integrated circuits (ASICs).</w:t>
      </w:r>
    </w:p>
    <w:p>
      <w:pPr>
        <w:spacing w:after="0" w:line="18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In Other, we also include items that are not used in evaluating the results of or in allocating resources to our segments. Examples of these items include acquisition charges, restructuring charges and certain corporate-level items, such as litigation expenses, environmental costs and gains and losses from other activities, including asset dispositions.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Markets for our products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table below lists the major markets for our products in 2020 and the estimated percentage of our 2020 revenue that the market represented. The chart also lists, in declining order of our revenue, the sectors within each market.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Market</w:t>
            </w:r>
          </w:p>
        </w:tc>
        <w:tc>
          <w:tcPr>
            <w:tcW w:w="100" w:type="dxa"/>
            <w:vAlign w:val="bottom"/>
            <w:tcBorders>
              <w:bottom w:val="single" w:sz="8" w:color="CCEEFF"/>
            </w:tcBorders>
          </w:tcPr>
          <w:p>
            <w:pPr>
              <w:spacing w:after="0"/>
              <w:rPr>
                <w:sz w:val="18"/>
                <w:szCs w:val="18"/>
                <w:color w:val="auto"/>
              </w:rPr>
            </w:pPr>
          </w:p>
        </w:tc>
        <w:tc>
          <w:tcPr>
            <w:tcW w:w="55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Sector</w:t>
            </w:r>
          </w:p>
        </w:tc>
      </w:tr>
      <w:tr>
        <w:trPr>
          <w:trHeight w:val="207"/>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Industrial</w:t>
            </w:r>
          </w:p>
        </w:tc>
        <w:tc>
          <w:tcPr>
            <w:tcW w:w="100" w:type="dxa"/>
            <w:vAlign w:val="bottom"/>
            <w:shd w:val="clear" w:color="auto" w:fill="CCEEFF"/>
          </w:tcPr>
          <w:p>
            <w:pPr>
              <w:spacing w:after="0"/>
              <w:rPr>
                <w:sz w:val="17"/>
                <w:szCs w:val="17"/>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Factory automation &amp; control</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(37% of TI revenue)</w:t>
            </w: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Medical</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 automation</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Grid infrastructure</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Aerospace &amp; defense</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Appliances</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Test &amp; measurement</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Motor drives</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Power delivery</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 audio, video &amp; signage</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 automation &amp; payment</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Industrial transport</w:t>
            </w:r>
          </w:p>
        </w:tc>
      </w:tr>
      <w:tr>
        <w:trPr>
          <w:trHeight w:val="222"/>
        </w:trPr>
        <w:tc>
          <w:tcPr>
            <w:tcW w:w="5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Lighting</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Automotive</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Infotainment &amp; cluster</w:t>
            </w: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(20% of TI revenue)</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Advanced driver assistance systems (ADAS)</w:t>
            </w: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Hybrid, electric &amp; powertrain systems</w:t>
            </w: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Passive safety</w:t>
            </w:r>
          </w:p>
        </w:tc>
      </w:tr>
      <w:tr>
        <w:trPr>
          <w:trHeight w:val="21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Body electronics &amp; lighting</w:t>
            </w: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Personal electronics</w:t>
            </w: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Mobile phones</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(27% of TI revenue)</w:t>
            </w: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PC &amp; notebooks</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Portable electronics</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Connected peripherals &amp; printers</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TV</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Home theater &amp; entertainment</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Tablets</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Wearables (non-medical)</w:t>
            </w:r>
          </w:p>
        </w:tc>
      </w:tr>
      <w:tr>
        <w:trPr>
          <w:trHeight w:val="216"/>
        </w:trPr>
        <w:tc>
          <w:tcPr>
            <w:tcW w:w="5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 storage</w:t>
            </w:r>
          </w:p>
        </w:tc>
      </w:tr>
      <w:tr>
        <w:trPr>
          <w:trHeight w:val="222"/>
        </w:trPr>
        <w:tc>
          <w:tcPr>
            <w:tcW w:w="5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Gaming</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Communications equipment</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Wireless infrastructure</w:t>
            </w: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(8% of TI revenue)</w:t>
            </w: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Wired networking</w:t>
            </w:r>
          </w:p>
        </w:tc>
      </w:tr>
      <w:tr>
        <w:trPr>
          <w:trHeight w:val="216"/>
        </w:trPr>
        <w:tc>
          <w:tcPr>
            <w:tcW w:w="5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Broadband fixed line access</w:t>
            </w:r>
          </w:p>
        </w:tc>
      </w:tr>
      <w:tr>
        <w:trPr>
          <w:trHeight w:val="219"/>
        </w:trPr>
        <w:tc>
          <w:tcPr>
            <w:tcW w:w="5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560" w:type="dxa"/>
            <w:vAlign w:val="bottom"/>
          </w:tcPr>
          <w:p>
            <w:pPr>
              <w:ind w:left="20"/>
              <w:spacing w:after="0"/>
              <w:rPr>
                <w:sz w:val="20"/>
                <w:szCs w:val="20"/>
                <w:color w:val="auto"/>
              </w:rPr>
            </w:pPr>
            <w:r>
              <w:rPr>
                <w:rFonts w:ascii="Arial" w:cs="Arial" w:eastAsia="Arial" w:hAnsi="Arial"/>
                <w:sz w:val="16"/>
                <w:szCs w:val="16"/>
                <w:color w:val="auto"/>
              </w:rPr>
              <w:t>Datacom module</w:t>
            </w:r>
          </w:p>
        </w:tc>
      </w:tr>
      <w:tr>
        <w:trPr>
          <w:trHeight w:val="213"/>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Enterprise systems</w:t>
            </w: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Data center &amp; enterprise computing</w:t>
            </w:r>
          </w:p>
        </w:tc>
      </w:tr>
      <w:tr>
        <w:trPr>
          <w:trHeight w:val="216"/>
        </w:trPr>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(6% of TI revenue)</w:t>
            </w:r>
          </w:p>
        </w:tc>
        <w:tc>
          <w:tcPr>
            <w:tcW w:w="100" w:type="dxa"/>
            <w:vAlign w:val="bottom"/>
            <w:shd w:val="clear" w:color="auto" w:fill="CCEEFF"/>
          </w:tcPr>
          <w:p>
            <w:pPr>
              <w:spacing w:after="0"/>
              <w:rPr>
                <w:sz w:val="18"/>
                <w:szCs w:val="18"/>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projectors</w:t>
            </w:r>
          </w:p>
        </w:tc>
      </w:tr>
      <w:tr>
        <w:trPr>
          <w:trHeight w:val="222"/>
        </w:trPr>
        <w:tc>
          <w:tcPr>
            <w:tcW w:w="5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5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Enterprise machine</w:t>
            </w:r>
          </w:p>
        </w:tc>
      </w:tr>
      <w:tr>
        <w:trPr>
          <w:trHeight w:val="210"/>
        </w:trPr>
        <w:tc>
          <w:tcPr>
            <w:tcW w:w="5560" w:type="dxa"/>
            <w:vAlign w:val="bottom"/>
          </w:tcPr>
          <w:p>
            <w:pPr>
              <w:ind w:left="20"/>
              <w:spacing w:after="0"/>
              <w:rPr>
                <w:sz w:val="20"/>
                <w:szCs w:val="20"/>
                <w:color w:val="auto"/>
              </w:rPr>
            </w:pPr>
            <w:r>
              <w:rPr>
                <w:rFonts w:ascii="Arial" w:cs="Arial" w:eastAsia="Arial" w:hAnsi="Arial"/>
                <w:sz w:val="16"/>
                <w:szCs w:val="16"/>
                <w:b w:val="1"/>
                <w:bCs w:val="1"/>
                <w:color w:val="auto"/>
              </w:rPr>
              <w:t>Other (calculators and other)</w:t>
            </w:r>
          </w:p>
        </w:tc>
        <w:tc>
          <w:tcPr>
            <w:tcW w:w="100" w:type="dxa"/>
            <w:vAlign w:val="bottom"/>
          </w:tcPr>
          <w:p>
            <w:pPr>
              <w:spacing w:after="0"/>
              <w:rPr>
                <w:sz w:val="18"/>
                <w:szCs w:val="18"/>
                <w:color w:val="auto"/>
              </w:rPr>
            </w:pPr>
          </w:p>
        </w:tc>
        <w:tc>
          <w:tcPr>
            <w:tcW w:w="5560" w:type="dxa"/>
            <w:vAlign w:val="bottom"/>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6"/>
                <w:szCs w:val="16"/>
                <w:color w:val="auto"/>
              </w:rPr>
              <w:t>(2% of TI revenue)</w:t>
            </w:r>
          </w:p>
        </w:tc>
        <w:tc>
          <w:tcPr>
            <w:tcW w:w="100" w:type="dxa"/>
            <w:vAlign w:val="bottom"/>
          </w:tcPr>
          <w:p>
            <w:pPr>
              <w:spacing w:after="0"/>
              <w:rPr>
                <w:sz w:val="18"/>
                <w:szCs w:val="18"/>
                <w:color w:val="auto"/>
              </w:rPr>
            </w:pPr>
          </w:p>
        </w:tc>
        <w:tc>
          <w:tcPr>
            <w:tcW w:w="5560" w:type="dxa"/>
            <w:vAlign w:val="bottom"/>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color w:val="auto"/>
        </w:rPr>
        <w:t>Market characteristics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Competitive landscape</w:t>
      </w:r>
    </w:p>
    <w:p>
      <w:pPr>
        <w:spacing w:after="0" w:line="225"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Despite recent consolidation, the analog and embedded processing markets remain highly fragmented. As a result, we face significant global competition from dozens of large and small companies, including both broad-based suppliers and niche suppliers. Our competitors also include emerging companies, particularly in Asia.</w:t>
      </w:r>
    </w:p>
    <w:p>
      <w:pPr>
        <w:spacing w:after="0" w:line="18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believe that competitive performance in the semiconductor market generally depends on several factors, including the breadth of a company’s product line, the strength and reach of its channels to market, technological innovation, product development execution, technical support, customer service, quality, reliability, price and manufacturing capacity and capabilities. In addition, manufacturing process and package technologies that provide differentiated levels of performance and a structural cost advantage are competitive factors for our analog products, and customers’ prior investments in software development is a competitive factor for our embedded processing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cycle</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“semiconductor cycle” refers to the ebb and flow of supply and demand and the building and depleting of inventories. The semiconductor market historically has been characterized by periods of tight supply caused by strengthening demand and/or insufficient manufacturing capacity, followed by periods of surplus inventory caused by weakening demand and/or excess manufacturing capacity. These are typically referred to as upturns and downturns in the semiconductor cycle. A semiconductor cycle could be affected by the significant time and money required to build and maintain semiconductor manufacturing facilities.</w:t>
      </w:r>
    </w:p>
    <w:p>
      <w:pPr>
        <w:spacing w:after="0" w:line="18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employ several strategies which have many benefits, including dampening the effect of the semiconductor cycle on TI. As an example, we are focused on building closer direct relationships with customers. When it comes to market cycles, these relationships provide improved insight into customer demand and allow us to more accurately and efficiently manage factory loadings and inventory levels, which lead to more stable lead times and higher product availability. Finally, we focus our resources on analog and embedded processing products and industrial and automotive markets. Generally, our products serve a large and diverse customer base, which reduces our dependence on the performance of any single product, market or customer. In addition, they typically have long shelf lives and low risk of obsolescence. Industrial and automotive markets also benefit from long product life cycles, with revenue often lasting 10 years or more, which help to smooth the impact of cyclicality.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Seasonality</w:t>
      </w:r>
    </w:p>
    <w:p>
      <w:pPr>
        <w:spacing w:after="0" w:line="21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Our revenue is subject to some seasonal variation. Historically, our sequential revenue growth rate tends to be weaker in the first and fourth quarters when compared with the second and third quarters.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sales and distribution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sell our products to over 100,000 customers. Our customer base is diverse, with more than one-third of our revenue derived from customers outside our largest 100.</w:t>
      </w:r>
    </w:p>
    <w:p>
      <w:pPr>
        <w:spacing w:after="0" w:line="17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market and sell our products through direct sales channels, including our website and broad sales and applications team, and through distributors. Over the past several years, we have been investing in new capabilities and evolving our distribution network to better align with our strategy to establish closer direct relationships with our customers. With less business flowing through the distribution channel, we require fewer distributors. During 2020, we completed our transition to a single worldwide distributor, coupled with a few region-specific distributors, for order fulfillment. Building closer direct customer relationships strengthens our reach of market channel advantage, which gives us access to more customers and more of their design projects, leading to the opportunity to sell more of our products into each design. Additionally, broader and deeper access gives us better insight and knowledge of customer needs.</w:t>
      </w:r>
    </w:p>
    <w:p>
      <w:pPr>
        <w:spacing w:after="0" w:line="19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Our investments in new and improved capabilities to directly support our customers include website and e-commerce enhancements as well as inventory consignment programs and order fulfillment services.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Semiconductor manufacturing begins with a sequence of photolithographic and chemical processing steps that fabricate a number of semiconductor devices on a thin silicon wafer. Each device on the wafer is packaged and tested. The entire process takes place in highly specialized facilities that require substantial investments.</w:t>
      </w:r>
    </w:p>
    <w:p>
      <w:pPr>
        <w:spacing w:after="0" w:line="184"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We own and operate semiconductor manufacturing facilities in North America, Asia, Japan and Europe. These include both wafer fabrication and assembly/test facilities.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invest in manufacturing technologies and do most of our manufacturing in-house. This strategic decision to make manufacturing and technology a core competitive advantage delivers tangible benefits of lower manufacturing costs and greater control of our supply chain. We have focused on creating a competitive manufacturing structural cost advantage by investing in our advanced analog 300-millimeter capacity. An unpackaged chip built on 300-millimeter wafers costs about 40% less than an unpackaged chip built on 200-millimeter wafers. To strengthen this advantage, construction is underway on our new 300-millimeter wafer fabrication facility in Richardson, Texas, as 300-millimeter wafers will continue to support the majority of our Analog growth.</w:t>
      </w:r>
    </w:p>
    <w:p>
      <w:pPr>
        <w:spacing w:after="0" w:line="192"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We assess and are careful to address potential health, safety, and environmental risks presented by our operations, including our manufacturing operations. We care for our environment and work to prevent pollution and the potential risks related to climate change by implementing practices such as recycling and reusing materials, controlling harmful emissions, and properly handling hazardous and restricted substances.</w:t>
      </w:r>
    </w:p>
    <w:p>
      <w:pPr>
        <w:spacing w:after="0" w:line="16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expect to continue to maintain sufficient internal manufacturing capacity to meet the majority of our production needs and to obtain manufacturing equipment to support new technology developments and revenue growth. To supplement our manufacturing capacity and maximize our responsiveness to customer demand, we selectively use the capacity of outside suppliers, commonly known as foundries, and subcontractors. In 2020, we sourced about 20% of our total wafers from external foundries and about 40% of our assembly/test services from subcontractors.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objectives for inventory are to maintain high levels of customer service, maintain stable and competitive lead times, minimize inventory obsolescence and improve manufacturing asset utilization. To meet these objectives and to allow greater flexibility in periods of high demand, we build ahead of demand our broad-based products that are used across a diverse set of applications and customers and have low risk of obsolescence. Inventory levels will vary based on market conditions and seasonality.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We purchase materials, parts and supplies from a number of suppliers. In some cases we purchase such items from sole-source suppliers. The materials, parts and supplies essential to our business are generally available at present, and we believe that such materials, parts and supplies will be available in the foreseeable future.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own many patents and have many patent applications pending in the United States and other countries in fields relating to our business. We have developed a strong, broad-based patent portfolio and continually add patents to that portfolio. We also have license agreements, which vary in duration, involving rights to our portfolio or those of other companies. We do not consider our business materially dependent upon any one patent or patent license.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following is an alphabetical list of the names and ages of the executive officers of the company and the positions or offices with the company held by each person named: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Name</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Age</w:t>
            </w:r>
          </w:p>
        </w:tc>
        <w:tc>
          <w:tcPr>
            <w:tcW w:w="100" w:type="dxa"/>
            <w:vAlign w:val="bottom"/>
            <w:tcBorders>
              <w:bottom w:val="single" w:sz="8" w:color="CCEEFF"/>
            </w:tcBorders>
          </w:tcPr>
          <w:p>
            <w:pPr>
              <w:spacing w:after="0"/>
              <w:rPr>
                <w:sz w:val="18"/>
                <w:szCs w:val="18"/>
                <w:color w:val="auto"/>
              </w:rPr>
            </w:pPr>
          </w:p>
        </w:tc>
        <w:tc>
          <w:tcPr>
            <w:tcW w:w="72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Position</w:t>
            </w:r>
          </w:p>
        </w:tc>
      </w:tr>
      <w:tr>
        <w:trPr>
          <w:trHeight w:val="212"/>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Ahmad S. Bahai</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18"/>
                <w:szCs w:val="18"/>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Kyle M. Flessner</w:t>
            </w:r>
          </w:p>
        </w:tc>
        <w:tc>
          <w:tcPr>
            <w:tcW w:w="840" w:type="dxa"/>
            <w:vAlign w:val="bottom"/>
          </w:tcPr>
          <w:p>
            <w:pPr>
              <w:ind w:left="20"/>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21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 S. Gary</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Haviv Ilan</w:t>
            </w:r>
          </w:p>
        </w:tc>
        <w:tc>
          <w:tcPr>
            <w:tcW w:w="840" w:type="dxa"/>
            <w:vAlign w:val="bottom"/>
          </w:tcPr>
          <w:p>
            <w:pPr>
              <w:ind w:left="20"/>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6"/>
                <w:szCs w:val="16"/>
                <w:color w:val="auto"/>
              </w:rPr>
              <w:t>Executive Vice President and Chief Operating Officer</w:t>
            </w:r>
          </w:p>
        </w:tc>
      </w:tr>
      <w:tr>
        <w:trPr>
          <w:trHeight w:val="21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Hagop H. Kozanian</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Rafael R. Lizardi</w:t>
            </w:r>
          </w:p>
        </w:tc>
        <w:tc>
          <w:tcPr>
            <w:tcW w:w="840" w:type="dxa"/>
            <w:vAlign w:val="bottom"/>
          </w:tcPr>
          <w:p>
            <w:pPr>
              <w:ind w:left="20"/>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6"/>
                <w:szCs w:val="16"/>
                <w:color w:val="auto"/>
              </w:rPr>
              <w:t>Senior Vice President, Chief Financial Officer and Chief Accounting Officer</w:t>
            </w:r>
          </w:p>
        </w:tc>
      </w:tr>
      <w:tr>
        <w:trPr>
          <w:trHeight w:val="21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Amichai Ron</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Richard K. Templeton</w:t>
            </w:r>
          </w:p>
        </w:tc>
        <w:tc>
          <w:tcPr>
            <w:tcW w:w="840" w:type="dxa"/>
            <w:vAlign w:val="bottom"/>
          </w:tcPr>
          <w:p>
            <w:pPr>
              <w:ind w:left="20"/>
              <w:spacing w:after="0"/>
              <w:rPr>
                <w:sz w:val="20"/>
                <w:szCs w:val="20"/>
                <w:color w:val="auto"/>
              </w:rPr>
            </w:pPr>
            <w:r>
              <w:rPr>
                <w:rFonts w:ascii="Arial" w:cs="Arial" w:eastAsia="Arial" w:hAnsi="Arial"/>
                <w:sz w:val="16"/>
                <w:szCs w:val="16"/>
                <w:color w:val="auto"/>
              </w:rPr>
              <w:t>62</w:t>
            </w:r>
          </w:p>
        </w:tc>
        <w:tc>
          <w:tcPr>
            <w:tcW w:w="1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6"/>
                <w:szCs w:val="16"/>
                <w:color w:val="auto"/>
              </w:rPr>
              <w:t>Director, Chairman of the Board, President and Chief Executive Officer</w:t>
            </w:r>
          </w:p>
        </w:tc>
      </w:tr>
      <w:tr>
        <w:trPr>
          <w:trHeight w:val="21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Cynthia Hoff Trochu</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 Secretary and General Counsel</w:t>
            </w:r>
          </w:p>
        </w:tc>
      </w:tr>
      <w:tr>
        <w:trPr>
          <w:trHeight w:val="213"/>
        </w:trPr>
        <w:tc>
          <w:tcPr>
            <w:tcW w:w="3100" w:type="dxa"/>
            <w:vAlign w:val="bottom"/>
            <w:gridSpan w:val="2"/>
          </w:tcPr>
          <w:p>
            <w:pPr>
              <w:ind w:left="20"/>
              <w:spacing w:after="0"/>
              <w:rPr>
                <w:sz w:val="20"/>
                <w:szCs w:val="20"/>
                <w:color w:val="auto"/>
              </w:rPr>
            </w:pPr>
            <w:r>
              <w:rPr>
                <w:rFonts w:ascii="Arial" w:cs="Arial" w:eastAsia="Arial" w:hAnsi="Arial"/>
                <w:sz w:val="16"/>
                <w:szCs w:val="16"/>
                <w:color w:val="auto"/>
              </w:rPr>
              <w:t>Julie M. Van Haren</w:t>
            </w:r>
          </w:p>
        </w:tc>
        <w:tc>
          <w:tcPr>
            <w:tcW w:w="840" w:type="dxa"/>
            <w:vAlign w:val="bottom"/>
          </w:tcPr>
          <w:p>
            <w:pPr>
              <w:ind w:left="20"/>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7200" w:type="dxa"/>
            <w:vAlign w:val="bottom"/>
          </w:tcPr>
          <w:p>
            <w:pPr>
              <w:ind w:left="20"/>
              <w:spacing w:after="0"/>
              <w:rPr>
                <w:sz w:val="20"/>
                <w:szCs w:val="20"/>
                <w:color w:val="auto"/>
              </w:rPr>
            </w:pPr>
            <w:r>
              <w:rPr>
                <w:rFonts w:ascii="Arial" w:cs="Arial" w:eastAsia="Arial" w:hAnsi="Arial"/>
                <w:sz w:val="16"/>
                <w:szCs w:val="16"/>
                <w:color w:val="auto"/>
              </w:rPr>
              <w:t>Senior Vice President</w:t>
            </w:r>
          </w:p>
        </w:tc>
      </w:tr>
      <w:tr>
        <w:trPr>
          <w:trHeight w:val="219"/>
        </w:trPr>
        <w:tc>
          <w:tcPr>
            <w:tcW w:w="3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Darla H. Whitaker</w:t>
            </w:r>
          </w:p>
        </w:tc>
        <w:tc>
          <w:tcPr>
            <w:tcW w:w="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19"/>
                <w:szCs w:val="19"/>
                <w:color w:val="auto"/>
              </w:rPr>
            </w:pPr>
          </w:p>
        </w:tc>
        <w:tc>
          <w:tcPr>
            <w:tcW w:w="7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Vice President</w:t>
            </w:r>
          </w:p>
        </w:tc>
      </w:tr>
    </w:tbl>
    <w:p>
      <w:pPr>
        <w:spacing w:after="0" w:line="202"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The term of office of these officers is from the date of their election until their successor shall have been elected and qualified. All have been employees of the company for more than five years. Mr. Templeton and Mses. Trochu and Whitaker have served as executive officers of the company for more than five years. Messrs. Ilan and Lizardi and Ms. Van Haren became executive officers of the company in 2017. Messrs. Bahai, Flessner and Kozanian became executive officers of the company in 2018. Mr. Ron became an executive officer in 2019. Mr. Gary became an executive officer in 2020.</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At December 31, 2020, we had about 30,000 employees worldwide. Of those, about 85% were in Sales, R&amp;D or manufacturing. Our objective for human capital management is to recruit, develop and retain the best talent possible. As a technology and manufacturing company, our success is grounded in having strong engineering talent and a reliable factory workforce. We have a promote-from-within culture and offer training and rotation programs that provide the opportunity to quickly gain experience in different areas. In 2020, our turnover rate was 7.1%.</w:t>
      </w:r>
    </w:p>
    <w:p>
      <w:pPr>
        <w:spacing w:after="0" w:line="171"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It is important that our employees represent a mix of experiences and backgrounds in order to make our company stronger, more innovative and more inclusive. Inclusion is one of our core values, and we have programs in place to promote diversity and inclusion. To learn more, review our Corporate Citizenship Report. Information in our Corporate Citizenship Report is not part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internet address is www.ti.com. Information on our website is not part of this report. We make available free of charge through our Investor Relations website our reports on Forms 10-K, 10-Q and 8-K, and amendments to those reports, as soon as reasonably practicable after they are filed with the SEC. Also available through the TI Investor Relations website are reports filed by our directors and executive officers on Forms 3, 4 and 5, and amendments to those reports.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Available on our website at www.ti.com/corporategovernance: (i) our Corporate Governance Guidelines; (ii) charters for the Audit, Compensation, and Governance and Stockholder Relations Committees of our board of directors; (iii) our Code of Conduct; and (iv) our Code of Ethics for TI Chief Executive Officer and Senior Finance Officers. Stockholders may request copies of these documents free of charge by writing to Texas Instruments Incorporated, Attention: Investor Relations, P.O. Box 660199, MS 8657, Dallas, Texas, 75266-0199.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You should read the following risk factors in conjunction with the factors discussed elsewhere in this and other of our filings with the Securities and Exchange Commission (SEC) and in materials incorporated by reference into these filings. These risk factors are intended to highlight certain factors that may affect our financial condition and results of operations and are not meant to be an exhaustive discussion of risks that apply to TI, a company with broad international operations. Like many companies, we are susceptible to a potential downturn associated with macroeconomic weakness, which may affect our performance and the performance of our customers. Similarly, the price of our securities is subject to volatility due to fluctuations in general market conditions, actual financial results that do not meet our and/or the investment community’s expectations, changes in our and/or the investment community’s expectations for our future results, dividends or share repurchases, and other factors, many of which are beyond our control.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extent to which the COVID-19 pandemic will adversely affect our business, results of operations and financial condition is uncertain.</w:t>
      </w:r>
    </w:p>
    <w:p>
      <w:pPr>
        <w:spacing w:after="0" w:line="21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global spread of the novel coronavirus, severe acute respiratory syndrome coronavirus 2 (SARS-CoV-2), and the coronavirus disease, COVID-19, has created significant uncertainty and economic disruption, both near-term and potentially long-term. We have modified, and might further modify, our business practices in response to the COVID-19 pandemic, related third-party responses, including from government authorities and our suppliers, customers and distributors, and the economic and social ramifications of the disease and societal responses across the markets in which TI operates. The extent to which the COVID-19 pandemic will continue to affect our business, results of operation and financial condition is difficult to predict and depends on numerous evolving factors including: the duration and scope of the pandemic; government, social, business and other actions that have been and will be taken in response to the pandemic; and the effect of the pandemic on short- and long-term general economic conditions. We might experience short- or long-term constrained supply or volatility in customer demand, which could materially and adversely affect our business and financial results in future periods.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global operations subject us to risks associated with domestic or international political, social, economic or other conditions.</w:t>
      </w:r>
    </w:p>
    <w:p>
      <w:pPr>
        <w:spacing w:after="0" w:line="22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We have facilities in more than 30 countries. About 90% of our revenue comes from shipments to locations outside the United States; shipments of products to China-based customers represent about 20% of our revenue. Certain countries where we operate have experienced, and other countries may experience, trade tension that affects global trade and macroeconomic conditions through the enactment of tariffs, import or export restrictions, trade embargoes and sanctions, restrictions on cross-border investment and other trade barriers. Trade tensions impact our ability to deliver products and product support into China, cause Chinese customers to seek alternate suppliers and could otherwise adversely affect our operations and financial results.</w:t>
      </w:r>
    </w:p>
    <w:p>
      <w:pPr>
        <w:spacing w:after="0" w:line="161" w:lineRule="exact"/>
        <w:rPr>
          <w:sz w:val="20"/>
          <w:szCs w:val="20"/>
          <w:color w:val="auto"/>
        </w:rPr>
      </w:pPr>
    </w:p>
    <w:p>
      <w:pPr>
        <w:ind w:right="80"/>
        <w:spacing w:after="0" w:line="301" w:lineRule="auto"/>
        <w:rPr>
          <w:sz w:val="20"/>
          <w:szCs w:val="20"/>
          <w:color w:val="auto"/>
        </w:rPr>
      </w:pPr>
      <w:r>
        <w:rPr>
          <w:rFonts w:ascii="Arial" w:cs="Arial" w:eastAsia="Arial" w:hAnsi="Arial"/>
          <w:sz w:val="16"/>
          <w:szCs w:val="16"/>
          <w:color w:val="auto"/>
        </w:rPr>
        <w:t>We are exposed to political, social and economic conditions, security risks, terrorism or other hostile acts, health conditions and epidemics, labor conditions, and possible disruptions in transportation, communications and information technology networks of the various countries in which we operate. In addition, our global operations expose us to periods when the U.S. dollar significantly fluctuates in relation to the non-U.S. currencies in which we transact business. The remeasurement of non-U.S. dollar transactions can have an adverse effect on our results of operations and financial condition.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 face substantial competition that requires us to respond rapidly to product development and pricing pressures.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face intense technological and pricing competition in the markets in which we operate. We expect this competition will continue to increase from large competitors and from small competitors serving niche markets, and also from emerging companies, particularly in Asia, that sell products into the same markets in which we operate. For example, we may face increased competition as a result of China actively promoting and reshaping its domestic semiconductor industry through policy changes and investment. These actions, in conjunction with trade tensions, may restrict us from participating in the China market or may prevent us from competing effectively. Certain competitors possess sufficient financial, technical and management resources to develop and market products that may compete favorably against our products, and consolidation among our competitors may allow them to compete more effectively. The price and product development pressures that result from competition may lead to reduced profit margins and lost business opportunities in the event that we are unable to match the price declines or cost efficiencies, or meet the technological, product, support, software or manufacturing advancements of our competitors.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auto"/>
        </w:rPr>
        <w:t>Changes in expected demand for our products could have a material adverse effect on our results of operations.</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Our customers include companies in a wide range of end markets and sectors within those markets. If demand in one or more sectors within our end markets declines or the rate of growth slows, our results of operations may be adversely affected. The cyclical nature of the semiconductor market occasionally leads to significant and rapid increases and decreases in product demand. Additionally, the loss or significant curtailment of purchases by one or more of our large customers, including curtailments due to a change in the design or manufacturing sourcing policies or practices of these customers, the timing of customer or distributor inventory adjustments, changes in demand for customer products, or trade restrictions, may adversely affect our results of operations and financial condition.</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results of operations also might suffer because of a general decline in customer demand resulting from, for example: uncertainty regarding the stability of global credit and financial markets; natural events, epidemics or domestic or international political, social, economic or other conditions; breaches of customer information technology systems that disrupt customer operations; or a customer’s inability to access credit markets and other sources of needed liquidity.</w:t>
      </w:r>
    </w:p>
    <w:p>
      <w:pPr>
        <w:spacing w:after="0" w:line="187" w:lineRule="exact"/>
        <w:rPr>
          <w:sz w:val="20"/>
          <w:szCs w:val="20"/>
          <w:color w:val="auto"/>
        </w:rPr>
      </w:pPr>
    </w:p>
    <w:p>
      <w:pPr>
        <w:ind w:right="240"/>
        <w:spacing w:after="0" w:line="311" w:lineRule="auto"/>
        <w:rPr>
          <w:sz w:val="20"/>
          <w:szCs w:val="20"/>
          <w:color w:val="auto"/>
        </w:rPr>
      </w:pPr>
      <w:r>
        <w:rPr>
          <w:rFonts w:ascii="Arial" w:cs="Arial" w:eastAsia="Arial" w:hAnsi="Arial"/>
          <w:sz w:val="16"/>
          <w:szCs w:val="16"/>
          <w:color w:val="auto"/>
        </w:rPr>
        <w:t>Our ability to match inventory and production with the product mix needed to fill orders may affect our ability to meet a quarter’s revenue forecast. We manufacture products based on forecasts of customers’ demands. These forecasts are based on multiple assumptions, and if inaccurate, could cause us to hold inadequate, excess or obsolete inventory that would reduce our profit margins and adversely affect our results of operations and financial condition.</w:t>
      </w:r>
    </w:p>
    <w:p>
      <w:pPr>
        <w:spacing w:after="0" w:line="14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Our operating results and our reputation could be adversely affected by breaches, disruptions or other incidents relating to our information technology systems.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Breaches, disruptions or other incidents relating to our information technology systems or the systems of our customers, vendors and other third parties could be caused by factors such as computer viruses, system failures, restricted network access, unauthorized access, terrorism, employee malfeasance, or human error. These events could, among other things, compromise our information technology networks; result in corrupt or lost data or the unauthorized release of our, our customers’ or our suppliers’ confidential or proprietary information; cause a disruption to our manufacturing and other operations; result in the release of personal data; or cause us to incur costs associated with increased protection, remediation, regulatory inquiries or penalties, or claims for damages, any of which could adversely affect our operating results and our reputation. Cybersecurity or other threats to our information technology systems or the systems of our customers, vendors and other third parties are frequent and constantly evolving, thereby increasing the difficulty of defending against them.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ability to successfully implement strategic, business and organizational changes could affect our business plans and results of operations.</w:t>
      </w:r>
    </w:p>
    <w:p>
      <w:pPr>
        <w:spacing w:after="0" w:line="23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From time to time, we undertake strategic, business and organizational changes, including acquisitions, divestitures and restructuring actions, to support or carry out our objectives. If we do not successfully implement these changes, our business plans and operating results could be adversely affected. We may not achieve or sustain the expected growth, cost savings or other benefits of strategic, business and organizational changes, and charges associated with these actions could differ materially in amount and timing from our expectations.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natural events in the locations in which we operate.</w:t>
      </w:r>
    </w:p>
    <w:p>
      <w:pPr>
        <w:spacing w:after="0" w:line="225"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We have manufacturing, data and design facilities and other operations in locations subject to natural occurrences such as severe weather, geological events or epidemics that could disrupt operations. A natural disaster that results in a prolonged disruption, particularly where we have principal manufacturing and design operations, as listed in the Properties section in Item 2, may adversely affect our results and financial condition.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Rapid technological change in markets we serve requires us to develop new technologies and products.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Rapid technological change in markets we serve could contribute to shortened product life cycles and a decline in average selling prices of our products. Our results of operations depend in part upon our ability to successfully develop, manufacture and market innovative products in a timely and cost-effective manner. We make significant investments in research and development to improve existing technology and products, develop new products to meet changing customer demands, and improve our production processes. In some cases, we might not realize a return or the expected return on our investments because they are generally made before commercial viability can be assured. Further, projects that are commercially viable may not contribute to our operating results until at least a few years after they are completed.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auto"/>
        </w:rPr>
        <w:t>We face supply chain and manufacturing risks.</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rely on third parties to supply us with goods and services in a cost-effective and timely manner. Our access to needed goods and services may be adversely affected by potential disputes with suppliers or disruptions in our suppliers’ operations as a result of, for example: quality excursions; uncertainty regarding the stability of global credit and financial markets; domestic or international political, social, economic and other conditions; natural events or epidemics in the locations in which our suppliers operate; or limited or delayed access to key raw materials, natural resources and utilities. Additionally, a breach or other incident relating to our suppliers’ information technology systems could result in a release of confidential or proprietary information. If our suppliers are unable to access credit markets and other sources of needed liquidity, we may be unable to obtain needed supplies, collect accounts receivable or access needed technology.</w:t>
      </w:r>
    </w:p>
    <w:p>
      <w:pPr>
        <w:spacing w:after="0" w:line="19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particular, our manufacturing processes and critical manufacturing equipment require that certain key raw materials, natural resources and utilities be available. Limited or delayed access to and high costs of these items could adversely affect our results of operations. Our products contain materials that are subject to conflict minerals reporting requirements. Our relationships with customers and suppliers may be adversely affected if we are unable to describe our products as conflict-free. Additionally, our costs may increase if one or more of our customers demand that we change the sourcing of materials we cannot identify as conflict-free.</w:t>
      </w:r>
    </w:p>
    <w:p>
      <w:pPr>
        <w:spacing w:after="0" w:line="18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Our inability to timely implement new manufacturing technologies or install manufacturing equipment could adversely affect our results of operations. We subcontract a portion of our wafer fabrication and assembly and testing of our products, and we depend on third parties to provide advanced logic manufacturing process technology development. We do not have long-term contracts with all of these suppliers, and the number of alternate suppliers is limited. Reliance on these suppliers involves risks, including possible shortages of capacity in periods of high demand, suppliers’ inability to develop and deliver advanced logic manufacturing process technology in a timely, cost-effective, and appropriate manner, the possibility of suppliers’ imposition of increased costs on us and the unauthorized disclosure or use of our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and our reputation could be affected by warranty claims, product liability claims, product recalls or legal proceedings.</w:t>
      </w:r>
    </w:p>
    <w:p>
      <w:pPr>
        <w:spacing w:after="0" w:line="237"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Claims based on warranty, product liability, epidemic or delivery failures, or other grounds relating to our products, manufacturing, services, designs, communications or cybersecurity could lead to significant expenses as we defend the claims or pay damage awards or settlements. In the event of a claim, we would also incur costs if we decide to compensate the affected customer or end consumer. Any such claims may also cause us to write off the value of related inventory. We maintain product liability insurance, but there is no guarantee that such insurance will be available or adequate to protect against all such claims. In addition, it is possible for a customer to recall a product containing a TI part, for example, with respect to products used in automotive applications or handheld electronics, which may cause us to incur costs and expenses relating to the recall. Any of these events could adversely affect our results of operations, financial condition and reputation.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and financial condition could be adversely affected if a customer or a distributor suffers a loss with respect to our inventory.</w:t>
      </w:r>
    </w:p>
    <w:p>
      <w:pPr>
        <w:spacing w:after="0" w:line="237"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We have consignment inventory programs in place for some of our largest customers and distributors. If a customer or distributor were to experience a loss with respect to TI-consigned inventory, our results of operations and financial condition would be adversely affected if we do not recover the full value of the lost inventory from the customer, distributor or insurer, or if our recovery is delayed.</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results of operations could be adversely affected by distributors’ promotion of competing product lines or our distributors’ financial performance.</w:t>
      </w:r>
    </w:p>
    <w:p>
      <w:pPr>
        <w:spacing w:after="0" w:line="23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2020, about half of our revenue was generated from sales of our products through distributors. Our distributors carry competing product lines, and our sales could be affected if semiconductor distributors promote competing products over our products. Moreover, our results of operations could be affected if our distributors suffer financial difficulties that result in their inability to pay amounts owed to us. Disputes with current or former distributors could be disruptive or harmful to our business.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auto"/>
        </w:rPr>
        <w:t>Our margins vary.</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profit margins vary due to a number of factors, which may include customer demand and shipment volume; our manufacturing processes; product mix; inventory levels; tariffs; freight costs; and new accounting pronouncements or changes in existing accounting practices or standards. In addition, we operate in a highly competitive market environment that might adversely affect pricing for our products. Because we own much of our manufacturing capacity, a significant portion of our operating costs is fixed. In general, these fixed costs do not decline with reductions in customer demand or factory loadings, and can adversely affect profit margins as a result.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Our continued success depends in part on our ability to retain and recruit a sufficient number of qualified employees in a competitive environment.</w:t>
      </w:r>
    </w:p>
    <w:p>
      <w:pPr>
        <w:spacing w:after="0" w:line="237"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Our continued success depends in part on the retention and recruitment of skilled personnel, as well as the effective management of succession for key employees. Skilled and experienced personnel in our industry, including engineering, management, marketing, technical and staff personnel, are in high demand and competition for their talents is intense. There can be no assurance that we will be able to successfully retain and recruit the key engineering, management and technical personnel that we require to execute our business strategy. Our ability to recruit internationally or deploy employees to various locations may be limited by immigration laws.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and regulatory risks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operations could be affected by the complex laws, rules and regulations to which our business is subject.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are subject to complex laws, rules and regulations affecting our domestic and international operations relating to, for example, the environment and climate change, safety and health; trade; bribery and corruption; financial reporting; tax; data privacy and protection; labor and employment; competition; market access; epidemics; intellectual property ownership and infringement; and the movement of currency. Compliance with these laws, rules and regulations may be onerous and expensive and could restrict our ability to manufacture or ship our products and operate our business. If we do not comply or if we become subject to enforcement activity, we could be subject to fines, penalties or other legal liability. Furthermore, should these laws, rules and regulations be amended or expanded, or new ones enacted, we could incur materially greater compliance costs or restrictions on our ability to manufacture our products and operate our business.</w:t>
      </w:r>
    </w:p>
    <w:p>
      <w:pPr>
        <w:spacing w:after="0" w:line="19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Some of these complex laws, rules and regulations – for example, those related to environmental, safety and health requirements – may particularly affect us in the jurisdictions in which we manufacture products, especially if such laws and regulations: require the use of abatement equipment beyond what we currently employ; require the addition or elimination of a raw material or process to or from our current manufacturing processes; or impose costs, fees or reporting requirements on the direct or indirect use of energy, natural resources, or materials or gases used or emitted into the environment in connection with the manufacture of our products. A substitute for a prohibited raw material or process might not be available, or might not be available at reasonable cost.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could be affected by changes in tax-related matters.</w:t>
      </w:r>
    </w:p>
    <w:p>
      <w:pPr>
        <w:spacing w:after="0" w:line="225" w:lineRule="exact"/>
        <w:rPr>
          <w:sz w:val="20"/>
          <w:szCs w:val="20"/>
          <w:color w:val="auto"/>
        </w:rPr>
      </w:pPr>
    </w:p>
    <w:p>
      <w:pPr>
        <w:ind w:right="240"/>
        <w:spacing w:after="0" w:line="272" w:lineRule="auto"/>
        <w:rPr>
          <w:sz w:val="20"/>
          <w:szCs w:val="20"/>
          <w:color w:val="auto"/>
        </w:rPr>
      </w:pPr>
      <w:r>
        <w:rPr>
          <w:rFonts w:ascii="Arial" w:cs="Arial" w:eastAsia="Arial" w:hAnsi="Arial"/>
          <w:sz w:val="17"/>
          <w:szCs w:val="17"/>
          <w:color w:val="auto"/>
        </w:rPr>
        <w:t>We have facilities in more than 30 countries and as a result are subject to taxation and audit by a number of taxing authorities. Tax rates vary among the jurisdictions in which we operate. If our tax rate increases, our results of operations could be adversely affected. A number of factors could cause our tax rate to increase, including a change in the jurisdictions in which our profits are earned and taxed; a change in the mix of profits from those jurisdictions; changes in available tax credits or deductions, including for amounts relating to stock compensation; changes in applicable tax rates; changes in tariff regulations or surcharges; changes in accounting principles; or adverse resolution of audits by taxing authorities. We have deferred tax assets on our balance sheet. Changes in applicable tax laws and regulations or in our business performance could affect our ability to realize those deferred tax assets, which could also affect our results of operations.</w:t>
      </w:r>
    </w:p>
    <w:p>
      <w:pPr>
        <w:spacing w:after="0" w:line="177"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In addition, we are subject to laws and regulations in various jurisdictions that determine how much profit has been earned and when it is subject to taxation in that jurisdiction. These laws and regulations can be complex and subject to interpretation. Changes in these laws and regulations, including those that align with the Organisation for Economic Cooperation and Development’s Base Erosion and Profit Shifting recommendations, could affect the locations where we are deemed to earn income, which could in turn affect our results of operations. Each quarter we forecast our tax expense based on our forecast of our performance for the year. If that performance forecast changes, our forecasted tax expense will change.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auto"/>
        </w:rPr>
        <w:t>Our performance depends in part on our ability to enforce our intellectual property rights and to maintain freedom of operation.</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Access to worldwide markets depends in part on the continued strength of our intellectual property portfolio in all jurisdictions where we conduct business. There can be no assurance that, as our business evolves, we will obtain the necessary intellectual property rights, or that we will be able to independently develop the technology, software or know-how necessary to conduct our business or that we can do so without infringing the intellectual property rights of others. To the extent that we have to rely on technology from others for which a license is required, there can be no assurance that we will be able to obtain such a license at all or on terms we consider reasonable. We, directly and indirectly, face infringement claims from third parties, including non-practicing entities that have acquired patents to pursue enforcement actions against other companies. We also face infringement claims where we or our customers make, use or sell products and where the intellectual property laws may be less established or less predictable. These assertions, whether or not of any merit, expose us to claims for damages and/or injunctions from third parties, as well as claims for indemnification by our customers in instances where we have a contractual or other legal obligation to indemnify them against damages resulting from infringement claims.</w:t>
      </w:r>
    </w:p>
    <w:p>
      <w:pPr>
        <w:spacing w:after="0" w:line="166"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We actively enforce and protect our own intellectual property rights. However, our efforts cannot prevent all misappropriation or improper use of our protected technology and information, including, for example, third parties’ use of our patented or copyrighted technology, or our trade secrets in their products without the right to do so, or third parties’ sale of counterfeit products bearing our trademark. The risk of unfair copying or cloning may impede our ability to sell our products. The laws of countries where we operate may not protect our intellectual property rights to the same extent as U.S. laws.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Increases in health care and pension benefit costs could affect our results of operations and financial condition.</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Federal and state health care reform programs could increase our costs with regard to medical coverage of our employees, which could reduce profitability and affect our results of operations and financial condition. In addition, obligations related to our pension and other postretirement plans reflect assumptions that affect the planned funding and costs of these plans, including the actual return on plan assets, discount rates, plan participant population demographics and changes in pension regulations. Changes in these assumptions may affect plan funding, cash flow and results of operations, and our costs and funding obligations could increase significantly if our plans’ actual experience differs from these assumptions.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financing activities and other risks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debt could affect our operations and financial condition.</w:t>
      </w:r>
    </w:p>
    <w:p>
      <w:pPr>
        <w:spacing w:after="0" w:line="21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From time to time, we issue debt securities with various interest rates and maturities. While we believe we will have the ability to service this debt, our ability to make principal and interest payments when due depends upon our future performance, which will be subject to general economic conditions, industry cycles, and business and other factors affecting our operations, including our other risk factors, many of which are beyond our control. In addition, our obligation to make principal and interest payments could divert funds that otherwise might be invested in our operations or returned to shareholders, or could cause us to raise funds by, for example, issuing new debt or equity or selling assets.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Our results of operations and liquidity could be affected by changes in the financial markets.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maintain bank accounts, one or more multiyear revolving credit agreements, and a portfolio of investments to support the financing needs of the company. Our ability to fund our operations, invest in our business, make strategic acquisitions, service our debt obligations and meet our cash return objectives depends upon continuous access to our bank and investment accounts, and may depend on access to our bank credit lines that support commercial paper borrowings and provide additional liquidity through short-term bank loans. If we are unable to access these accounts and credit lines (for example, due to instability in the financial markets), our results of operations and financial condition could be adversely affected and our ability to access the capital markets or redeem our investments could be restricted.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Material impairments of our goodwill or intangible assets could adversely affect our results of operations.</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We have a significant amount of goodwill and intangible assets on our consolidated balance sheet. Charges associated with impairments of goodwill or intangible assets could adversely affect our financial condition and results of operations.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220"/>
          </w:cols>
          <w:pgMar w:left="320" w:top="98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9"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Our principal executive offices are located at 12500 TI Boulevard, Dallas, Texas. The following table indicates the general location of our principal manufacturing and design operations and the reportable segments that make major use of them. Except as otherwise indicated, we own these facilities.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720" w:type="dxa"/>
            <w:vAlign w:val="bottom"/>
          </w:tcPr>
          <w:p>
            <w:pPr>
              <w:spacing w:after="0"/>
              <w:rPr>
                <w:sz w:val="16"/>
                <w:szCs w:val="16"/>
                <w:color w:val="auto"/>
              </w:rPr>
            </w:pP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Analog</w:t>
            </w:r>
          </w:p>
        </w:tc>
        <w:tc>
          <w:tcPr>
            <w:tcW w:w="100" w:type="dxa"/>
            <w:vAlign w:val="bottom"/>
            <w:vMerge w:val="restart"/>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2"/>
              </w:rPr>
              <w:t>Embedded</w:t>
            </w:r>
          </w:p>
        </w:tc>
        <w:tc>
          <w:tcPr>
            <w:tcW w:w="0" w:type="dxa"/>
            <w:vAlign w:val="bottom"/>
          </w:tcPr>
          <w:p>
            <w:pPr>
              <w:spacing w:after="0"/>
              <w:rPr>
                <w:sz w:val="1"/>
                <w:szCs w:val="1"/>
                <w:color w:val="auto"/>
              </w:rPr>
            </w:pPr>
          </w:p>
        </w:tc>
      </w:tr>
      <w:tr>
        <w:trPr>
          <w:trHeight w:val="213"/>
        </w:trPr>
        <w:tc>
          <w:tcPr>
            <w:tcW w:w="87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Processing</w:t>
            </w:r>
          </w:p>
        </w:tc>
        <w:tc>
          <w:tcPr>
            <w:tcW w:w="0" w:type="dxa"/>
            <w:vAlign w:val="bottom"/>
          </w:tcPr>
          <w:p>
            <w:pPr>
              <w:spacing w:after="0"/>
              <w:rPr>
                <w:sz w:val="1"/>
                <w:szCs w:val="1"/>
                <w:color w:val="auto"/>
              </w:rPr>
            </w:pP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Texas (Dallas, Richardson and Sherman)</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Houston, Texas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Tucson, Arizona</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Santa Clara, California</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South Portland, Maine</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Chengdu, China †</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Shanghai, China *</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Freising, Germany</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Bangalore, India †</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Aizu, Japan</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Miho, Japan</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Kuala Lumpur, Malaysia †</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Melaka, Malaysia †</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Aguascalientes, Mexico *</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Baguio, Philippines †</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Pampanga (Clark), Philippines †</w:t>
            </w:r>
          </w:p>
        </w:tc>
        <w:tc>
          <w:tcPr>
            <w:tcW w:w="1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Taipei, Taiwan †</w:t>
            </w:r>
          </w:p>
        </w:tc>
        <w:tc>
          <w:tcPr>
            <w:tcW w:w="132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3"/>
              </w:rPr>
              <w:t>X</w:t>
            </w:r>
          </w:p>
        </w:tc>
        <w:tc>
          <w:tcPr>
            <w:tcW w:w="12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418"/>
        </w:trPr>
        <w:tc>
          <w:tcPr>
            <w:tcW w:w="8720" w:type="dxa"/>
            <w:vAlign w:val="bottom"/>
          </w:tcPr>
          <w:p>
            <w:pPr>
              <w:spacing w:after="0"/>
              <w:rPr>
                <w:sz w:val="20"/>
                <w:szCs w:val="20"/>
                <w:color w:val="auto"/>
              </w:rPr>
            </w:pPr>
            <w:r>
              <w:rPr>
                <w:rFonts w:ascii="Arial" w:cs="Arial" w:eastAsia="Arial" w:hAnsi="Arial"/>
                <w:sz w:val="18"/>
                <w:szCs w:val="18"/>
                <w:color w:val="auto"/>
              </w:rPr>
              <w:t>*  Leased.</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8720" w:type="dxa"/>
            <w:vAlign w:val="bottom"/>
          </w:tcPr>
          <w:p>
            <w:pPr>
              <w:spacing w:after="0"/>
              <w:rPr>
                <w:sz w:val="20"/>
                <w:szCs w:val="20"/>
                <w:color w:val="auto"/>
              </w:rPr>
            </w:pPr>
            <w:r>
              <w:rPr>
                <w:rFonts w:ascii="Arial" w:cs="Arial" w:eastAsia="Arial" w:hAnsi="Arial"/>
                <w:sz w:val="18"/>
                <w:szCs w:val="18"/>
                <w:color w:val="auto"/>
              </w:rPr>
              <w:t>†  Portions of the facilities are leased and owned. This may include land leases.</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Our facilities in the United States contained approximately 12.9 million square feet at December 31, 2020, of which approximately 0.4 million square feet were leased. Our facilities outside the United States contained approximately 9.7 million square feet at December 31, 2020, of which approximately 1.6 million square feet were leased.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At the end of 2020, we occupied substantially all of the space in our facilities.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Leases covering our currently occupied leased facilities expire at varying dates, generally within the next five years. We believe our current properties are suitable and adequate for their intended purpose.</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are involved in various inquiries and proceedings that arise in the ordinary course of our business. We believe that the amount of our liability, if any, will not have a material adverse effect upon our financial condition, results of operations or liquidity.</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TI common stock is quoted on The Nasdaq Global Select Market under the ticker symbol TXN. At December 31, 2020, we had 12,624 stockholders of record.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contains information regarding our purchases of our common stock during the fourth quarter of 2020.</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7"/>
              </w:rPr>
              <w:t>Shares Purchased as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3"/>
              </w:rPr>
              <w:t>Approximate Dollar Value</w:t>
            </w:r>
          </w:p>
        </w:tc>
        <w:tc>
          <w:tcPr>
            <w:tcW w:w="0" w:type="dxa"/>
            <w:vAlign w:val="bottom"/>
          </w:tcPr>
          <w:p>
            <w:pPr>
              <w:spacing w:after="0"/>
              <w:rPr>
                <w:sz w:val="1"/>
                <w:szCs w:val="1"/>
                <w:color w:val="auto"/>
              </w:rPr>
            </w:pPr>
          </w:p>
        </w:tc>
      </w:tr>
      <w:tr>
        <w:trPr>
          <w:trHeight w:val="189"/>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2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1"/>
              </w:rPr>
              <w:t>of Shares that May Yet Be</w:t>
            </w:r>
          </w:p>
        </w:tc>
        <w:tc>
          <w:tcPr>
            <w:tcW w:w="0" w:type="dxa"/>
            <w:vAlign w:val="bottom"/>
          </w:tcPr>
          <w:p>
            <w:pPr>
              <w:spacing w:after="0"/>
              <w:rPr>
                <w:sz w:val="1"/>
                <w:szCs w:val="1"/>
                <w:color w:val="auto"/>
              </w:rPr>
            </w:pPr>
          </w:p>
        </w:tc>
      </w:tr>
      <w:tr>
        <w:trPr>
          <w:trHeight w:val="203"/>
        </w:trPr>
        <w:tc>
          <w:tcPr>
            <w:tcW w:w="41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20" w:type="dxa"/>
            <w:vAlign w:val="bottom"/>
            <w:vMerge w:val="restart"/>
          </w:tcPr>
          <w:p>
            <w:pPr>
              <w:spacing w:after="0"/>
              <w:rPr>
                <w:sz w:val="17"/>
                <w:szCs w:val="17"/>
                <w:color w:val="auto"/>
              </w:rPr>
            </w:pPr>
          </w:p>
        </w:tc>
        <w:tc>
          <w:tcPr>
            <w:tcW w:w="1820" w:type="dxa"/>
            <w:vAlign w:val="bottom"/>
            <w:gridSpan w:val="2"/>
          </w:tcPr>
          <w:p>
            <w:pPr>
              <w:ind w:left="80"/>
              <w:spacing w:after="0"/>
              <w:rPr>
                <w:sz w:val="20"/>
                <w:szCs w:val="20"/>
                <w:color w:val="auto"/>
              </w:rPr>
            </w:pPr>
            <w:r>
              <w:rPr>
                <w:rFonts w:ascii="Arial" w:cs="Arial" w:eastAsia="Arial" w:hAnsi="Arial"/>
                <w:sz w:val="16"/>
                <w:szCs w:val="16"/>
                <w:b w:val="1"/>
                <w:bCs w:val="1"/>
                <w:color w:val="auto"/>
                <w:w w:val="95"/>
              </w:rPr>
              <w:t>Total Number of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89"/>
              </w:rPr>
              <w:t>Average Price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9"/>
              </w:rPr>
              <w:t>Announced Plans or</w:t>
            </w:r>
          </w:p>
        </w:tc>
        <w:tc>
          <w:tcPr>
            <w:tcW w:w="120" w:type="dxa"/>
            <w:vAlign w:val="bottom"/>
          </w:tcPr>
          <w:p>
            <w:pPr>
              <w:spacing w:after="0"/>
              <w:rPr>
                <w:sz w:val="17"/>
                <w:szCs w:val="17"/>
                <w:color w:val="auto"/>
              </w:rPr>
            </w:pPr>
          </w:p>
        </w:tc>
        <w:tc>
          <w:tcPr>
            <w:tcW w:w="2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Purchased Under the Plans</w:t>
            </w:r>
          </w:p>
        </w:tc>
        <w:tc>
          <w:tcPr>
            <w:tcW w:w="0" w:type="dxa"/>
            <w:vAlign w:val="bottom"/>
          </w:tcPr>
          <w:p>
            <w:pPr>
              <w:spacing w:after="0"/>
              <w:rPr>
                <w:sz w:val="1"/>
                <w:szCs w:val="1"/>
                <w:color w:val="auto"/>
              </w:rPr>
            </w:pPr>
          </w:p>
        </w:tc>
      </w:tr>
      <w:tr>
        <w:trPr>
          <w:trHeight w:val="213"/>
        </w:trPr>
        <w:tc>
          <w:tcPr>
            <w:tcW w:w="41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6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Purchased</w:t>
            </w:r>
          </w:p>
        </w:tc>
        <w:tc>
          <w:tcPr>
            <w:tcW w:w="3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center"/>
              <w:ind w:right="59"/>
              <w:spacing w:after="0"/>
              <w:rPr>
                <w:sz w:val="20"/>
                <w:szCs w:val="20"/>
                <w:color w:val="auto"/>
              </w:rPr>
            </w:pPr>
            <w:r>
              <w:rPr>
                <w:rFonts w:ascii="Arial" w:cs="Arial" w:eastAsia="Arial" w:hAnsi="Arial"/>
                <w:sz w:val="16"/>
                <w:szCs w:val="16"/>
                <w:b w:val="1"/>
                <w:bCs w:val="1"/>
                <w:color w:val="auto"/>
                <w:w w:val="92"/>
              </w:rPr>
              <w:t>Paid per Share</w:t>
            </w:r>
          </w:p>
        </w:tc>
        <w:tc>
          <w:tcPr>
            <w:tcW w:w="1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Programs (a)</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jc w:val="center"/>
              <w:ind w:right="19"/>
              <w:spacing w:after="0"/>
              <w:rPr>
                <w:sz w:val="20"/>
                <w:szCs w:val="20"/>
                <w:color w:val="auto"/>
              </w:rPr>
            </w:pPr>
            <w:r>
              <w:rPr>
                <w:rFonts w:ascii="Arial" w:cs="Arial" w:eastAsia="Arial" w:hAnsi="Arial"/>
                <w:sz w:val="16"/>
                <w:szCs w:val="16"/>
                <w:b w:val="1"/>
                <w:bCs w:val="1"/>
                <w:color w:val="auto"/>
                <w:w w:val="92"/>
              </w:rPr>
              <w:t>or Programs (a)</w:t>
            </w:r>
          </w:p>
        </w:tc>
        <w:tc>
          <w:tcPr>
            <w:tcW w:w="0" w:type="dxa"/>
            <w:vAlign w:val="bottom"/>
          </w:tcPr>
          <w:p>
            <w:pPr>
              <w:spacing w:after="0"/>
              <w:rPr>
                <w:sz w:val="1"/>
                <w:szCs w:val="1"/>
                <w:color w:val="auto"/>
              </w:rPr>
            </w:pPr>
          </w:p>
        </w:tc>
      </w:tr>
      <w:tr>
        <w:trPr>
          <w:trHeight w:val="212"/>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October 1, 2020 through October 31, 2020</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w:t>
            </w:r>
          </w:p>
        </w:tc>
        <w:tc>
          <w:tcPr>
            <w:tcW w:w="3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146.19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w:t>
            </w:r>
          </w:p>
        </w:tc>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3"/>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November 1, 2020 through November 30, 2020</w:t>
            </w:r>
          </w:p>
        </w:tc>
        <w:tc>
          <w:tcPr>
            <w:tcW w:w="1460" w:type="dxa"/>
            <w:vAlign w:val="bottom"/>
          </w:tcPr>
          <w:p>
            <w:pPr>
              <w:jc w:val="right"/>
              <w:spacing w:after="0"/>
              <w:rPr>
                <w:sz w:val="20"/>
                <w:szCs w:val="20"/>
                <w:color w:val="auto"/>
              </w:rPr>
            </w:pPr>
            <w:r>
              <w:rPr>
                <w:rFonts w:ascii="Arial" w:cs="Arial" w:eastAsia="Arial" w:hAnsi="Arial"/>
                <w:sz w:val="16"/>
                <w:szCs w:val="16"/>
                <w:color w:val="auto"/>
              </w:rPr>
              <w:t>91,680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156.59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91,680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10.63</w:t>
            </w:r>
          </w:p>
        </w:tc>
        <w:tc>
          <w:tcPr>
            <w:tcW w:w="1060" w:type="dxa"/>
            <w:vAlign w:val="bottom"/>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December 1, 2020 through December 31, 2020</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3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billion</w:t>
            </w:r>
          </w:p>
        </w:tc>
        <w:tc>
          <w:tcPr>
            <w:tcW w:w="0" w:type="dxa"/>
            <w:vAlign w:val="bottom"/>
          </w:tcPr>
          <w:p>
            <w:pPr>
              <w:spacing w:after="0"/>
              <w:rPr>
                <w:sz w:val="1"/>
                <w:szCs w:val="1"/>
                <w:color w:val="auto"/>
              </w:rPr>
            </w:pPr>
          </w:p>
        </w:tc>
      </w:tr>
      <w:tr>
        <w:trPr>
          <w:trHeight w:val="212"/>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97,516</w:t>
            </w:r>
          </w:p>
        </w:tc>
        <w:tc>
          <w:tcPr>
            <w:tcW w:w="3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(b)</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156.61</w:t>
            </w:r>
          </w:p>
        </w:tc>
        <w:tc>
          <w:tcPr>
            <w:tcW w:w="480" w:type="dxa"/>
            <w:vAlign w:val="bottom"/>
            <w:gridSpan w:val="2"/>
          </w:tcPr>
          <w:p>
            <w:pPr>
              <w:ind w:left="40"/>
              <w:spacing w:after="0"/>
              <w:rPr>
                <w:sz w:val="20"/>
                <w:szCs w:val="20"/>
                <w:color w:val="auto"/>
              </w:rPr>
            </w:pPr>
            <w:r>
              <w:rPr>
                <w:rFonts w:ascii="Arial" w:cs="Arial" w:eastAsia="Arial" w:hAnsi="Arial"/>
                <w:sz w:val="16"/>
                <w:szCs w:val="16"/>
                <w:color w:val="auto"/>
              </w:rPr>
              <w:t>(b)</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96,193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10.63</w:t>
            </w:r>
          </w:p>
        </w:tc>
        <w:tc>
          <w:tcPr>
            <w:tcW w:w="1060" w:type="dxa"/>
            <w:vAlign w:val="bottom"/>
          </w:tcPr>
          <w:p>
            <w:pPr>
              <w:ind w:left="40"/>
              <w:spacing w:after="0"/>
              <w:rPr>
                <w:sz w:val="20"/>
                <w:szCs w:val="20"/>
                <w:color w:val="auto"/>
              </w:rPr>
            </w:pPr>
            <w:r>
              <w:rPr>
                <w:rFonts w:ascii="Arial" w:cs="Arial" w:eastAsia="Arial" w:hAnsi="Arial"/>
                <w:sz w:val="16"/>
                <w:szCs w:val="16"/>
                <w:color w:val="auto"/>
              </w:rPr>
              <w:t>billion (c)</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660" w:hanging="332"/>
        <w:spacing w:after="0" w:line="277" w:lineRule="auto"/>
        <w:tabs>
          <w:tab w:leader="none" w:pos="337" w:val="left"/>
        </w:tabs>
        <w:numPr>
          <w:ilvl w:val="0"/>
          <w:numId w:val="3"/>
        </w:numPr>
        <w:rPr>
          <w:rFonts w:ascii="Arial" w:cs="Arial" w:eastAsia="Arial" w:hAnsi="Arial"/>
          <w:sz w:val="18"/>
          <w:szCs w:val="18"/>
          <w:color w:val="auto"/>
        </w:rPr>
      </w:pPr>
      <w:r>
        <w:rPr>
          <w:rFonts w:ascii="Arial" w:cs="Arial" w:eastAsia="Arial" w:hAnsi="Arial"/>
          <w:sz w:val="18"/>
          <w:szCs w:val="18"/>
          <w:color w:val="auto"/>
        </w:rPr>
        <w:t>All open-market purchases during the quarter were made under the authorization from our board of directors to purchase up to $12.0 billion of additional shares of TI common stock announced September 20, 2018.</w:t>
      </w:r>
    </w:p>
    <w:p>
      <w:pPr>
        <w:spacing w:after="0" w:line="62" w:lineRule="exact"/>
        <w:rPr>
          <w:rFonts w:ascii="Arial" w:cs="Arial" w:eastAsia="Arial" w:hAnsi="Arial"/>
          <w:sz w:val="18"/>
          <w:szCs w:val="18"/>
          <w:color w:val="auto"/>
        </w:rPr>
      </w:pPr>
    </w:p>
    <w:p>
      <w:pPr>
        <w:ind w:left="340" w:right="720" w:hanging="332"/>
        <w:spacing w:after="0" w:line="277" w:lineRule="auto"/>
        <w:tabs>
          <w:tab w:leader="none" w:pos="334"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addition to open-market purchases, 1,323 shares of common stock were surrendered by employees to satisfy tax withholding obligations in connection with the vesting of restricted stock units.</w:t>
      </w:r>
    </w:p>
    <w:p>
      <w:pPr>
        <w:spacing w:after="0" w:line="62" w:lineRule="exact"/>
        <w:rPr>
          <w:rFonts w:ascii="Arial" w:cs="Arial" w:eastAsia="Arial" w:hAnsi="Arial"/>
          <w:sz w:val="18"/>
          <w:szCs w:val="18"/>
          <w:color w:val="auto"/>
        </w:rPr>
      </w:pPr>
    </w:p>
    <w:p>
      <w:pPr>
        <w:ind w:left="340" w:right="260" w:hanging="332"/>
        <w:spacing w:after="0" w:line="277" w:lineRule="auto"/>
        <w:tabs>
          <w:tab w:leader="none" w:pos="337"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of December 31, 2020, this amount consisted of the remaining portion of the $12.0 billion authorized in September 2018. No expiration date has been specified for this authorization.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w w:val="95"/>
              </w:rPr>
              <w:t>2017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19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 data:</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6,139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6,649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7,189</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5,363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4,614</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649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531</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Free cash flow (a)</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5,490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5,802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6,058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4,668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4,083</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Dividends paid</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3,426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Stock repurchases</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2,960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5,100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2,132</w:t>
            </w:r>
          </w:p>
        </w:tc>
      </w:tr>
      <w:tr>
        <w:trPr>
          <w:trHeight w:val="259"/>
        </w:trPr>
        <w:tc>
          <w:tcPr>
            <w:tcW w:w="49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b w:val="1"/>
                <w:bCs w:val="1"/>
                <w:color w:val="auto"/>
              </w:rPr>
              <w:t>Income statement data:</w:t>
            </w: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 by segment: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4900" w:type="dxa"/>
            <w:vAlign w:val="bottom"/>
          </w:tcPr>
          <w:p>
            <w:pPr>
              <w:ind w:left="140"/>
              <w:spacing w:after="0"/>
              <w:rPr>
                <w:sz w:val="20"/>
                <w:szCs w:val="20"/>
                <w:color w:val="auto"/>
              </w:rPr>
            </w:pPr>
            <w:r>
              <w:rPr>
                <w:rFonts w:ascii="Arial" w:cs="Arial" w:eastAsia="Arial" w:hAnsi="Arial"/>
                <w:sz w:val="16"/>
                <w:szCs w:val="16"/>
                <w:color w:val="auto"/>
              </w:rPr>
              <w:t>Analog</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10,886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10,223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10,801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9,900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8,536</w:t>
            </w:r>
          </w:p>
        </w:tc>
      </w:tr>
      <w:tr>
        <w:trPr>
          <w:trHeight w:val="219"/>
        </w:trPr>
        <w:tc>
          <w:tcPr>
            <w:tcW w:w="49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3,023</w:t>
            </w:r>
          </w:p>
        </w:tc>
      </w:tr>
      <w:tr>
        <w:trPr>
          <w:trHeight w:val="213"/>
        </w:trPr>
        <w:tc>
          <w:tcPr>
            <w:tcW w:w="49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15,784</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14,961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13,370</w:t>
            </w:r>
          </w:p>
        </w:tc>
      </w:tr>
      <w:tr>
        <w:trPr>
          <w:trHeight w:val="257"/>
        </w:trPr>
        <w:tc>
          <w:tcPr>
            <w:tcW w:w="4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10,277</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9,614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8,257</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Operating expenses (R&amp;D and SG&amp;A)</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3,153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3,189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3,243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3,098</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 charges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319</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Restructuring charges/other</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2"/>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5,894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6,713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4,855</w:t>
            </w:r>
          </w:p>
        </w:tc>
      </w:tr>
      <w:tr>
        <w:trPr>
          <w:trHeight w:val="256"/>
        </w:trPr>
        <w:tc>
          <w:tcPr>
            <w:tcW w:w="49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241"/>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5,595</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3,595</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0" w:right="220"/>
        <w:spacing w:after="0"/>
        <w:rPr>
          <w:sz w:val="20"/>
          <w:szCs w:val="20"/>
          <w:color w:val="auto"/>
        </w:rPr>
      </w:pPr>
      <w:r>
        <w:rPr>
          <w:rFonts w:ascii="Arial" w:cs="Arial" w:eastAsia="Arial" w:hAnsi="Arial"/>
          <w:sz w:val="16"/>
          <w:szCs w:val="16"/>
          <w:color w:val="auto"/>
        </w:rPr>
        <w:t>A portion of net income is allocated to unvested restricted stock units (RSUs) on which we pay dividend equivalents. Diluted earnings per share (EPS) is calculated using the following: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5,595</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3,595</w:t>
            </w: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allocated to RSUs</w:t>
            </w: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37"/>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shares for diluted EPS</w:t>
            </w: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5,568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3,649</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3,551</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49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Average diluted shares outstanding (millions)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933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990</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1,012</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420" w:type="dxa"/>
            <w:vAlign w:val="bottom"/>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5.97</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3.61</w:t>
            </w:r>
          </w:p>
        </w:tc>
        <w:tc>
          <w:tcPr>
            <w:tcW w:w="12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3.48</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dividends declared per common share</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3.72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bl>
    <w:p>
      <w:pPr>
        <w:spacing w:after="0" w:line="202" w:lineRule="exact"/>
        <w:rPr>
          <w:sz w:val="20"/>
          <w:szCs w:val="20"/>
          <w:color w:val="auto"/>
        </w:rPr>
      </w:pPr>
    </w:p>
    <w:p>
      <w:pPr>
        <w:spacing w:after="0"/>
        <w:tabs>
          <w:tab w:leader="none" w:pos="30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 xml:space="preserve">Free cash flow is a </w:t>
      </w:r>
      <w:r>
        <w:rPr>
          <w:rFonts w:ascii="Arial" w:cs="Arial" w:eastAsia="Arial" w:hAnsi="Arial"/>
          <w:sz w:val="15"/>
          <w:szCs w:val="15"/>
          <w:color w:val="auto"/>
        </w:rPr>
        <w:t>non-GAAP</w:t>
      </w:r>
      <w:r>
        <w:rPr>
          <w:rFonts w:ascii="Arial" w:cs="Arial" w:eastAsia="Arial" w:hAnsi="Arial"/>
          <w:sz w:val="14"/>
          <w:szCs w:val="14"/>
          <w:color w:val="auto"/>
        </w:rPr>
        <w:t xml:space="preserve"> measure derived by subtracting capital expenditures from cash flows from operating activities.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9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3"/>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2016</w:t>
            </w:r>
          </w:p>
        </w:tc>
      </w:tr>
      <w:tr>
        <w:trPr>
          <w:trHeight w:val="19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Cash, cash equivalents and short-term investments</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6,568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5,387</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4,233</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4,469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3,490</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19,351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17,642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16,431</w:t>
            </w:r>
          </w:p>
        </w:tc>
      </w:tr>
      <w:tr>
        <w:trPr>
          <w:trHeight w:val="213"/>
        </w:trPr>
        <w:tc>
          <w:tcPr>
            <w:tcW w:w="4900" w:type="dxa"/>
            <w:vAlign w:val="bottom"/>
          </w:tcPr>
          <w:p>
            <w:pPr>
              <w:ind w:left="2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219"/>
        </w:trPr>
        <w:tc>
          <w:tcPr>
            <w:tcW w:w="4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6,248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5,303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2,978</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“Management’s discussion and analysis of financial condition and results of operations” and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design, make and sell semiconductors to electronics designers and manufacturers all over the world. Technology is the foundation of our company, but ultimately, our objective and the best metric to measure progress and generate long-term value for owners is the growth of free cash flow per share.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Our strategy to maximize free cash flow per share growth has three elements:</w:t>
      </w:r>
    </w:p>
    <w:p>
      <w:pPr>
        <w:spacing w:after="0" w:line="225" w:lineRule="exact"/>
        <w:rPr>
          <w:sz w:val="20"/>
          <w:szCs w:val="20"/>
          <w:color w:val="auto"/>
        </w:rPr>
      </w:pPr>
    </w:p>
    <w:p>
      <w:pPr>
        <w:ind w:left="660" w:right="2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great business model that is focused on analog and embedded processing products and built around four sustainable competitive advantages. The four sustainable competitive advantages are powerful in combination and provide tangible benefits:</w:t>
      </w:r>
    </w:p>
    <w:p>
      <w:pPr>
        <w:spacing w:after="0" w:line="6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 strong foundation of manufacturing and technology that provides lower costs and greater control of our supply chain.</w:t>
      </w:r>
    </w:p>
    <w:p>
      <w:pPr>
        <w:spacing w:after="0" w:line="117" w:lineRule="exact"/>
        <w:rPr>
          <w:rFonts w:ascii="Arial" w:cs="Arial" w:eastAsia="Arial" w:hAnsi="Arial"/>
          <w:sz w:val="18"/>
          <w:szCs w:val="18"/>
          <w:color w:val="auto"/>
        </w:rPr>
      </w:pPr>
    </w:p>
    <w:p>
      <w:pPr>
        <w:ind w:left="1300" w:right="600" w:hanging="320"/>
        <w:spacing w:after="0" w:line="277" w:lineRule="auto"/>
        <w:tabs>
          <w:tab w:leader="none" w:pos="1296" w:val="left"/>
        </w:tabs>
        <w:numPr>
          <w:ilvl w:val="1"/>
          <w:numId w:val="4"/>
        </w:numPr>
        <w:rPr>
          <w:rFonts w:ascii="Arial" w:cs="Arial" w:eastAsia="Arial" w:hAnsi="Arial"/>
          <w:sz w:val="18"/>
          <w:szCs w:val="18"/>
          <w:color w:val="auto"/>
        </w:rPr>
      </w:pPr>
      <w:r>
        <w:rPr>
          <w:rFonts w:ascii="Arial" w:cs="Arial" w:eastAsia="Arial" w:hAnsi="Arial"/>
          <w:sz w:val="18"/>
          <w:szCs w:val="18"/>
          <w:color w:val="auto"/>
        </w:rPr>
        <w:t>A broad portfolio of analog and embedded processing products that offers more opportunity per customer and more value for our investments.</w:t>
      </w:r>
    </w:p>
    <w:p>
      <w:pPr>
        <w:spacing w:after="0" w:line="62" w:lineRule="exact"/>
        <w:rPr>
          <w:rFonts w:ascii="Arial" w:cs="Arial" w:eastAsia="Arial" w:hAnsi="Arial"/>
          <w:sz w:val="18"/>
          <w:szCs w:val="18"/>
          <w:color w:val="auto"/>
        </w:rPr>
      </w:pPr>
    </w:p>
    <w:p>
      <w:pPr>
        <w:ind w:left="1300" w:right="20" w:hanging="320"/>
        <w:spacing w:after="0" w:line="277" w:lineRule="auto"/>
        <w:tabs>
          <w:tab w:leader="none" w:pos="1292"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reach of our market channels that gives access to more customers and more of their design projects, leading to the opportunity to sell more of our products into each design and gives us better insight and knowledge of customer needs.</w:t>
      </w:r>
    </w:p>
    <w:p>
      <w:pPr>
        <w:spacing w:after="0" w:line="62" w:lineRule="exact"/>
        <w:rPr>
          <w:rFonts w:ascii="Arial" w:cs="Arial" w:eastAsia="Arial" w:hAnsi="Arial"/>
          <w:sz w:val="18"/>
          <w:szCs w:val="18"/>
          <w:color w:val="auto"/>
        </w:rPr>
      </w:pPr>
    </w:p>
    <w:p>
      <w:pPr>
        <w:ind w:left="1300" w:right="100" w:hanging="320"/>
        <w:spacing w:after="0" w:line="277" w:lineRule="auto"/>
        <w:tabs>
          <w:tab w:leader="none" w:pos="1284" w:val="left"/>
        </w:tabs>
        <w:numPr>
          <w:ilvl w:val="1"/>
          <w:numId w:val="4"/>
        </w:numPr>
        <w:rPr>
          <w:rFonts w:ascii="Arial" w:cs="Arial" w:eastAsia="Arial" w:hAnsi="Arial"/>
          <w:sz w:val="18"/>
          <w:szCs w:val="18"/>
          <w:color w:val="auto"/>
        </w:rPr>
      </w:pPr>
      <w:r>
        <w:rPr>
          <w:rFonts w:ascii="Arial" w:cs="Arial" w:eastAsia="Arial" w:hAnsi="Arial"/>
          <w:sz w:val="18"/>
          <w:szCs w:val="18"/>
          <w:color w:val="auto"/>
        </w:rPr>
        <w:t>Diversity and longevity of our products, markets and customer positions that provide less single point dependency and longer returns on our investments.</w:t>
      </w:r>
    </w:p>
    <w:p>
      <w:pPr>
        <w:spacing w:after="0" w:line="62" w:lineRule="exact"/>
        <w:rPr>
          <w:sz w:val="20"/>
          <w:szCs w:val="20"/>
          <w:color w:val="auto"/>
        </w:rPr>
      </w:pPr>
    </w:p>
    <w:p>
      <w:pPr>
        <w:ind w:left="660" w:right="20"/>
        <w:spacing w:after="0" w:line="342" w:lineRule="auto"/>
        <w:rPr>
          <w:sz w:val="20"/>
          <w:szCs w:val="20"/>
          <w:color w:val="auto"/>
        </w:rPr>
      </w:pPr>
      <w:r>
        <w:rPr>
          <w:rFonts w:ascii="Arial" w:cs="Arial" w:eastAsia="Arial" w:hAnsi="Arial"/>
          <w:sz w:val="16"/>
          <w:szCs w:val="16"/>
          <w:color w:val="auto"/>
        </w:rPr>
        <w:t>Together, these competitive advantages help position TI in a unique class of companies capable of generating and returning significant amounts of cash for our owners. We make our investments with an eye towards long-term strengthening and leveraging of these advantages.</w:t>
      </w:r>
    </w:p>
    <w:p>
      <w:pPr>
        <w:spacing w:after="0" w:line="16" w:lineRule="exact"/>
        <w:rPr>
          <w:sz w:val="20"/>
          <w:szCs w:val="20"/>
          <w:color w:val="auto"/>
        </w:rPr>
      </w:pPr>
    </w:p>
    <w:p>
      <w:pPr>
        <w:ind w:left="660" w:right="14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Discipline in allocating capital to the best opportunities. This spans how we select R&amp;D projects, develop new capabilities like TI.com, invest in new manufacturing capacity or how we think about acquisitions and returning cash to our owners.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Efficiency, which means constantly striving for more output for every dollar spent.</w:t>
      </w:r>
    </w:p>
    <w:p>
      <w:pPr>
        <w:spacing w:after="0" w:line="225"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We believe that our business model with the combined effect of our four competitive advantages sets TI apart from our peers and will for a long time to come. We will invest to strengthen our competitive advantages, be disciplined in capital allocation and stay diligent in our pursuit of efficiencies. Finally, we will remain focused on the belief that long-term growth of free cash flow per share is the ultimate measure to generate value.</w:t>
      </w:r>
    </w:p>
    <w:p>
      <w:pPr>
        <w:spacing w:after="0" w:line="1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Management’s discussion and analysis of financial condition and results of operations (MD&amp;A) should be read in conjunction with the financial statements and the related notes that appear elsewhere in this document. In the following discussion of our results of operations:</w:t>
      </w:r>
    </w:p>
    <w:p>
      <w:pPr>
        <w:spacing w:after="0" w:line="170" w:lineRule="exact"/>
        <w:rPr>
          <w:sz w:val="20"/>
          <w:szCs w:val="20"/>
          <w:color w:val="auto"/>
        </w:rPr>
      </w:pPr>
    </w:p>
    <w:p>
      <w:pPr>
        <w:ind w:left="660" w:right="60" w:hanging="328"/>
        <w:spacing w:after="0" w:line="275"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segments represent groups of similar products that are combined on the basis of similar design and development requirements, product characteristics, manufacturing processes and distribution channels, and how management allocates resources and measures results. During 2020, we reorganized the product lines within our Analog segment to simplify our business structure into our Power and Signal Chain product lines. These changes had no impact on our previously reported consolidated financial statements or on our reportable segment results. See Note 1 to the financial statements for more information regarding our segments.</w:t>
      </w:r>
    </w:p>
    <w:p>
      <w:pPr>
        <w:spacing w:after="0" w:line="68"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When we discuss our results:</w:t>
      </w:r>
    </w:p>
    <w:p>
      <w:pPr>
        <w:spacing w:after="0" w:line="117" w:lineRule="exact"/>
        <w:rPr>
          <w:rFonts w:ascii="Arial" w:cs="Arial" w:eastAsia="Arial" w:hAnsi="Arial"/>
          <w:sz w:val="18"/>
          <w:szCs w:val="18"/>
          <w:color w:val="auto"/>
        </w:rPr>
      </w:pPr>
    </w:p>
    <w:p>
      <w:pPr>
        <w:ind w:left="1300" w:right="16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Unless otherwise noted, changes in our revenue are attributable to changes in customer demand, which are evidenced by fluctuations in shipment volumes.</w:t>
      </w:r>
    </w:p>
    <w:p>
      <w:pPr>
        <w:spacing w:after="0" w:line="62" w:lineRule="exact"/>
        <w:rPr>
          <w:rFonts w:ascii="Arial" w:cs="Arial" w:eastAsia="Arial" w:hAnsi="Arial"/>
          <w:sz w:val="18"/>
          <w:szCs w:val="18"/>
          <w:color w:val="auto"/>
        </w:rPr>
      </w:pPr>
    </w:p>
    <w:p>
      <w:pPr>
        <w:ind w:left="1300" w:right="58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New products do not tend to have a significant impact on our revenue in any given period because we sell such a large number of products.</w:t>
      </w:r>
    </w:p>
    <w:p>
      <w:pPr>
        <w:spacing w:after="0" w:line="62" w:lineRule="exact"/>
        <w:rPr>
          <w:rFonts w:ascii="Arial" w:cs="Arial" w:eastAsia="Arial" w:hAnsi="Arial"/>
          <w:sz w:val="18"/>
          <w:szCs w:val="18"/>
          <w:color w:val="auto"/>
        </w:rPr>
      </w:pPr>
    </w:p>
    <w:p>
      <w:pPr>
        <w:ind w:left="1300" w:right="80" w:hanging="320"/>
        <w:spacing w:after="0" w:line="277" w:lineRule="auto"/>
        <w:tabs>
          <w:tab w:leader="none" w:pos="1296" w:val="left"/>
        </w:tabs>
        <w:numPr>
          <w:ilvl w:val="1"/>
          <w:numId w:val="6"/>
        </w:numPr>
        <w:rPr>
          <w:rFonts w:ascii="Arial" w:cs="Arial" w:eastAsia="Arial" w:hAnsi="Arial"/>
          <w:sz w:val="18"/>
          <w:szCs w:val="18"/>
          <w:color w:val="auto"/>
        </w:rPr>
      </w:pPr>
      <w:r>
        <w:rPr>
          <w:rFonts w:ascii="Arial" w:cs="Arial" w:eastAsia="Arial" w:hAnsi="Arial"/>
          <w:sz w:val="18"/>
          <w:szCs w:val="18"/>
          <w:color w:val="auto"/>
        </w:rPr>
        <w:t>From time to time, our revenue and gross profit are affected by changes in demand for higher-priced or lower-priced products, which we refer to as changes in the “mix” of products shipped.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6" w:name="page17"/>
    <w:bookmarkEnd w:id="16"/>
    <w:p>
      <w:pPr>
        <w:ind w:left="1300" w:right="180" w:hanging="320"/>
        <w:spacing w:after="0" w:line="279" w:lineRule="auto"/>
        <w:tabs>
          <w:tab w:leader="none" w:pos="1296" w:val="left"/>
        </w:tabs>
        <w:numPr>
          <w:ilvl w:val="1"/>
          <w:numId w:val="7"/>
        </w:numPr>
        <w:rPr>
          <w:rFonts w:ascii="Arial" w:cs="Arial" w:eastAsia="Arial" w:hAnsi="Arial"/>
          <w:sz w:val="17"/>
          <w:szCs w:val="17"/>
          <w:color w:val="auto"/>
        </w:rPr>
      </w:pPr>
      <w:r>
        <w:rPr>
          <w:rFonts w:ascii="Arial" w:cs="Arial" w:eastAsia="Arial" w:hAnsi="Arial"/>
          <w:sz w:val="17"/>
          <w:szCs w:val="17"/>
          <w:color w:val="auto"/>
        </w:rPr>
        <w:t>Because we own much of our manufacturing capacity, a significant portion of our operating cost is fixed. When factory loadings decrease, our fixed costs are spread over reduced output and, absent other circumstances, our profit margins decrease. Conversely, as factory loadings increase, our fixed costs are spread over increased output and, absent other circumstances, our profit margins increase. Increases and decreases in factory loadings tend to correspond to increases and decreases in demand.</w:t>
      </w:r>
    </w:p>
    <w:p>
      <w:pPr>
        <w:spacing w:after="0" w:line="63"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an explanation of free cash flow and the term “annual operating tax rate,” see the Non-GAAP financial information section.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All dollar amounts in the tables are stated in millions of U.S. dollars.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results of operations provides details of our financial results for 2020 and 2019 and year-to-year comparisons between 2020 and 2019. Discussion of 2018 items and year-to-year comparisons between 2019 and 2018 that are not included in this Form 10-K can be found in “Management’s discussion and analysis of financial condition and results of operations” in Part II, Item 7 of the Company’s Annual Report on Form 10-K for the year ended December 31,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coronavirus (COVID-19) pandemic and its follow-on effects are impacting and will likely continue to impact business activity across industries worldwide, including TI. Therefore, we remain cautious about how the economy might behave for the next few years.</w:t>
      </w:r>
    </w:p>
    <w:p>
      <w:pPr>
        <w:spacing w:after="0" w:line="1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impact to our lead times and ability to fulfill orders was minimal in 2020. However, depending on pandemic-related factors like the potential of local manufacturing restrictions on our factories, we could experience constraints in fulfilling customer orders in future periods. The coronavirus pandemic remains dynamic with uncertainty around its duration and broader impact. We continue to monitor and assess the situation and address implications to our business, supply chain and customer demand.</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have long had a business continuity plan in place for unforeseeable situations, like we have seen with COVID-19. Additionally, over the past several years, we have invested in building inventory and expanding our global internally owned manufacturing footprint. Investing in these capabilities has given us flexibility, such as the ability to build products across multiple manufacturing sites. These investments have helped to minimize disruptions, but may not be sufficient to eliminate them.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color w:val="auto"/>
        </w:rPr>
        <w:t>Our strategic focus is on analog and embedded processing products sold into six end markets: industrial, automotive, personal electronics, communications equipment, enterprise systems and other. While all end markets represent good opportunities, we place additional strategic emphasis on designing and selling those products into the industrial and automotive markets, which we believe represent the best growth opportunities. Gross margin of 64.1% reflected the quality of our product portfolio, as well as the efficiency of our manufacturing strategy, including the benefit of 300-millimeter Analog production.</w:t>
      </w:r>
    </w:p>
    <w:p>
      <w:pPr>
        <w:spacing w:after="0" w:line="18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Our focus on analog and embedded processing allows us to generate strong cash flow from operations. Our cash flow from operations of $6.14 billion underscored the strength of our business model. Free cash flow was $5.49 billion and represented 38.0% of revenue. During 2020, consistent with our commitment to return free cash flow to owners, we returned $5.98 billion to shareholders through a combination of dividends and stock repurchases. Our dividend represented 62% of free cash flow, underscoring its sustainability.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Details of financial results – 2020 compared with 2019</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Revenue of $14.46 billion increased $78 million, or 1%, primarily due to higher revenue from Analog, partially offset by lower revenue from Embedded Processing.</w:t>
      </w:r>
    </w:p>
    <w:p>
      <w:pPr>
        <w:spacing w:after="0" w:line="17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Gross profit of $9.27 billion was up $105 million, or 1%, due to higher revenue and increased factory loadings. As a percentage of revenue, gross profit increased to 64.1% from 63.7%.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(R&amp;D and SG&amp;A) were $3.15 billion compared with $3.19 billion.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Acquisition charges were $198 million compared with $288 million and were non-cash. See Note 7 to the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1" w:right="359" w:bottom="1440" w:gutter="0" w:footer="0" w:header="0"/>
        </w:sectPr>
      </w:pPr>
    </w:p>
    <w:bookmarkStart w:id="17" w:name="page18"/>
    <w:bookmarkEnd w:id="17"/>
    <w:p>
      <w:pPr>
        <w:ind w:right="280"/>
        <w:spacing w:after="0" w:line="277" w:lineRule="auto"/>
        <w:rPr>
          <w:sz w:val="20"/>
          <w:szCs w:val="20"/>
          <w:color w:val="auto"/>
        </w:rPr>
      </w:pPr>
      <w:r>
        <w:rPr>
          <w:rFonts w:ascii="Arial" w:cs="Arial" w:eastAsia="Arial" w:hAnsi="Arial"/>
          <w:sz w:val="18"/>
          <w:szCs w:val="18"/>
          <w:color w:val="auto"/>
        </w:rPr>
        <w:t>Restructuring charges/other was a charge of $24 million due to an Embedded Processing action, compared with a credit of $36 million due to the sale of our manufacturing facility in Greenock, Scotland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$5.89 billion, or 40.8% of revenue, compared with $5.72 billion, or 39.8% of revenue.</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Other income and expense (OI&amp;E) was $313 million of income compared with $175 million of income, which increased primarily due to higher royalty income. See Note 12 to the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Interest and debt expense of $190 million increased $20 million due to the issuance of additional long-term debt.</w:t>
      </w:r>
    </w:p>
    <w:p>
      <w:pPr>
        <w:spacing w:after="0" w:line="225"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Our provision for income taxes was $422 million compared with $711 million. The decrease was due to higher discrete tax benefits, which included a $249 million benefit from the settlement of a depreciation-related uncertain tax position and, to a lesser extent, higher U.S. tax benefits, partially offset by higher income before income taxes.</w:t>
      </w:r>
    </w:p>
    <w:p>
      <w:pPr>
        <w:spacing w:after="0" w:line="18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Our annual operating tax rate, which does not include discrete tax items, was 14% compared with 16% in 2019. We use “annual operating tax rate” to describe the estimated annual effective tax rate. Our effective tax rate, which includes discrete tax items, was 7% in 2020 compared with 12% in 2019. See Note 4 to the financial statements for a reconciliation of the U.S. statutory corporate tax rate to our effective tax rate.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Net income was $5.60 billion compared with $5.02 billion. EPS was $5.97 compared with $5.24.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Segment results – 2020 compared with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Analog (includes Power and Signal Chain product lines)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10,886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10,223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6 %</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4,912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4,477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Analog revenue increased in both product lines about evenly. Operating profit increased due to higher revenue and associated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Embedded Processing (includes microcontrollers and processors)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2,570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2,943</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3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743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28.9 %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Embedded Processing revenue decreased. Operating profit decreased due to lower revenue and associated gross profit.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(includes DLP</w:t>
      </w:r>
      <w:r>
        <w:rPr>
          <w:rFonts w:ascii="Arial" w:cs="Arial" w:eastAsia="Arial" w:hAnsi="Arial"/>
          <w:sz w:val="10"/>
          <w:szCs w:val="10"/>
          <w:i w:val="1"/>
          <w:iCs w:val="1"/>
          <w:color w:val="auto"/>
        </w:rPr>
        <w:t>®</w:t>
      </w:r>
      <w:r>
        <w:rPr>
          <w:rFonts w:ascii="Arial" w:cs="Arial" w:eastAsia="Arial" w:hAnsi="Arial"/>
          <w:sz w:val="18"/>
          <w:szCs w:val="18"/>
          <w:i w:val="1"/>
          <w:iCs w:val="1"/>
          <w:color w:val="auto"/>
        </w:rPr>
        <w:t xml:space="preserve"> products, calculators and custom ASIC products)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Change</w:t>
            </w:r>
          </w:p>
        </w:tc>
      </w:tr>
      <w:tr>
        <w:trPr>
          <w:trHeight w:val="213"/>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1,005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1,217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3"/>
        </w:trPr>
        <w:tc>
          <w:tcPr>
            <w:tcW w:w="7060" w:type="dxa"/>
            <w:vAlign w:val="bottom"/>
          </w:tcPr>
          <w:p>
            <w:pPr>
              <w:ind w:left="20"/>
              <w:spacing w:after="0"/>
              <w:rPr>
                <w:sz w:val="20"/>
                <w:szCs w:val="20"/>
                <w:color w:val="auto"/>
              </w:rPr>
            </w:pPr>
            <w:r>
              <w:rPr>
                <w:rFonts w:ascii="Arial" w:cs="Arial" w:eastAsia="Arial" w:hAnsi="Arial"/>
                <w:sz w:val="16"/>
                <w:szCs w:val="16"/>
                <w:color w:val="auto"/>
              </w:rPr>
              <w:t>Operating profit *</w:t>
            </w:r>
          </w:p>
        </w:tc>
        <w:tc>
          <w:tcPr>
            <w:tcW w:w="320" w:type="dxa"/>
            <w:vAlign w:val="bottom"/>
          </w:tcPr>
          <w:p>
            <w:pPr>
              <w:spacing w:after="0"/>
              <w:rPr>
                <w:sz w:val="18"/>
                <w:szCs w:val="18"/>
                <w:color w:val="auto"/>
              </w:rPr>
            </w:pPr>
          </w:p>
        </w:tc>
        <w:tc>
          <w:tcPr>
            <w:tcW w:w="1020" w:type="dxa"/>
            <w:vAlign w:val="bottom"/>
          </w:tcPr>
          <w:p>
            <w:pPr>
              <w:jc w:val="right"/>
              <w:ind w:right="139"/>
              <w:spacing w:after="0"/>
              <w:rPr>
                <w:sz w:val="20"/>
                <w:szCs w:val="20"/>
                <w:color w:val="auto"/>
              </w:rPr>
            </w:pPr>
            <w:r>
              <w:rPr>
                <w:rFonts w:ascii="Arial" w:cs="Arial" w:eastAsia="Arial" w:hAnsi="Arial"/>
                <w:sz w:val="16"/>
                <w:szCs w:val="16"/>
                <w:b w:val="1"/>
                <w:bCs w:val="1"/>
                <w:color w:val="auto"/>
              </w:rPr>
              <w:t>239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Arial" w:cs="Arial" w:eastAsia="Arial" w:hAnsi="Arial"/>
                <w:sz w:val="16"/>
                <w:szCs w:val="16"/>
                <w:color w:val="auto"/>
              </w:rPr>
              <w:t>339</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219"/>
        </w:trPr>
        <w:tc>
          <w:tcPr>
            <w:tcW w:w="7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 % of revenue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23.8 %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Includes acquisition charges and restructuring charges/other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Other revenue decreased $212 million, and operating profit decreased $100 million.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2020, total cash (cash and cash equivalents plus short-term investments) was $6.57 billion, an increase of $1.18 billion from the end of 2019.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ind w:right="360"/>
        <w:spacing w:after="0" w:line="277" w:lineRule="auto"/>
        <w:rPr>
          <w:sz w:val="20"/>
          <w:szCs w:val="20"/>
          <w:color w:val="auto"/>
        </w:rPr>
      </w:pPr>
      <w:r>
        <w:rPr>
          <w:rFonts w:ascii="Arial" w:cs="Arial" w:eastAsia="Arial" w:hAnsi="Arial"/>
          <w:sz w:val="18"/>
          <w:szCs w:val="18"/>
          <w:color w:val="auto"/>
        </w:rPr>
        <w:t>Accounts receivable were $1.41 billion, an increase of $340 million compared with the end of 2019. Days sales outstanding at the end of 2020 were 31 compared with 29 at the end of 2019.</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Inventory was $1.96 billion, a decrease of $46 million from the end of 2019. Days of inventory at the end of 2020 were 123 compared with 144 at the end of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Our primary source of liquidity is cash flow from operations. Additional sources of liquidity are cash and cash equivalents, short-term investments and a variable rate, revolving credit facility. Cash flows from operating activities for 2020 were $6.14 billion, a decrease of $510 million primarily due to an increase in cash used for working capital, partially offset by higher net income.</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revolving credit facility is with a consortium of investment-grade banks and allows us to borrow up to $2 billion until March 2024. This credit facility also serves as support for the issuance of commercial paper. As of December 31, 2020, our credit facility was undrawn, and we had no commercial paper outstanding.</w:t>
      </w:r>
    </w:p>
    <w:p>
      <w:pPr>
        <w:spacing w:after="0" w:line="184"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Investing activities for 2020 used $922 million compared with $1.92 billion in 2019. Capital expenditures were $649 million compared with $847 million in 2019 and were primarily for semiconductor manufacturing equipment and facilities in both periods. Short-term investments used cash of $241 million in 2020 compared with $1.14 billion in 2019.</w:t>
      </w:r>
    </w:p>
    <w:p>
      <w:pPr>
        <w:spacing w:after="0" w:line="184"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Financing activities for 2020 used $4.55 billion compared with $4.73 billion in 2019. In 2020, we received net proceeds of $1.50 billion from the issuance of fixed-rate, long-term debt and retired maturing debt of $500 million. In 2019, we received net proceeds of $1.49 billion from the issuance of fixed-rate, long-term debt and retired maturing debt of $750 million. Dividends paid in 2020 were $3.43 billion compared with $3.01 billion in 2019, reflecting an increase in the dividend rate, partially offset by fewer shares outstanding. We used $2.55 billion to repurchase 23.4 million shares of our common stock compared with $2.96 billion used in 2019 to repurchase 27.4 million shares. Employee exercises of stock options provided cash proceeds of $470 million compared with $539 million in 2019.</w:t>
      </w:r>
    </w:p>
    <w:p>
      <w:pPr>
        <w:spacing w:after="0" w:line="19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had $3.11 billion of cash and cash equivalents and $3.46 billion of short-term investments as of December 31, 2020. We believe we have the necessary financial resources and operating plans to fund our working capital needs, capital expenditures, dividend and debt-related payments and other business requirements for at least the next 12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This MD&amp;A includes references to free cash flow and ratios based on that measure. These are financial measures that were not prepared in accordance with generally accepted accounting principles in the United States (GAAP). Free cash flow was calculated by subtracting capital expenditures from the most directly comparable GAAP measure, cash flows from operating activities (also referred to as cash flow from operations).</w:t>
      </w:r>
    </w:p>
    <w:p>
      <w:pPr>
        <w:spacing w:after="0" w:line="16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believe that free cash flow and the associated ratios provide insight into our liquidity, our cash-generating capability and the amount of cash potentially available to return to shareholders, as well as insight into our financial performance. These non-GAAP measures are supplemental to the comparable GAAP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Reconciliation to the most directly comparable GAAP measures is provided in the table below.</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379"/>
              <w:spacing w:after="0"/>
              <w:rPr>
                <w:sz w:val="20"/>
                <w:szCs w:val="20"/>
                <w:color w:val="auto"/>
              </w:rPr>
            </w:pPr>
            <w:r>
              <w:rPr>
                <w:rFonts w:ascii="Arial" w:cs="Arial" w:eastAsia="Arial" w:hAnsi="Arial"/>
                <w:sz w:val="16"/>
                <w:szCs w:val="16"/>
                <w:b w:val="1"/>
                <w:bCs w:val="1"/>
                <w:color w:val="auto"/>
                <w:w w:val="98"/>
              </w:rPr>
              <w:t>For Years Ended December 31,</w:t>
            </w:r>
          </w:p>
        </w:tc>
      </w:tr>
      <w:tr>
        <w:trPr>
          <w:trHeight w:val="210"/>
        </w:trPr>
        <w:tc>
          <w:tcPr>
            <w:tcW w:w="8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2019</w:t>
            </w:r>
          </w:p>
        </w:tc>
      </w:tr>
      <w:tr>
        <w:trPr>
          <w:trHeight w:val="212"/>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(GAAP)</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6,139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6,649</w:t>
            </w:r>
          </w:p>
        </w:tc>
      </w:tr>
      <w:tr>
        <w:trPr>
          <w:trHeight w:val="213"/>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Capital expenditures</w:t>
            </w:r>
          </w:p>
        </w:tc>
        <w:tc>
          <w:tcPr>
            <w:tcW w:w="3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(649)</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(847)</w:t>
            </w:r>
          </w:p>
        </w:tc>
      </w:tr>
      <w:tr>
        <w:trPr>
          <w:trHeight w:val="237"/>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Free cash flow (non-GAAP)</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5,490</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5,802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34"/>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14,461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14,383</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8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 from operations as a percentage of revenue (GAAP)</w:t>
            </w:r>
          </w:p>
        </w:tc>
        <w:tc>
          <w:tcPr>
            <w:tcW w:w="3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42.5 %</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46.2 %</w:t>
            </w:r>
          </w:p>
        </w:tc>
      </w:tr>
      <w:tr>
        <w:trPr>
          <w:trHeight w:val="210"/>
        </w:trPr>
        <w:tc>
          <w:tcPr>
            <w:tcW w:w="8140" w:type="dxa"/>
            <w:vAlign w:val="bottom"/>
          </w:tcPr>
          <w:p>
            <w:pPr>
              <w:ind w:left="20"/>
              <w:spacing w:after="0"/>
              <w:rPr>
                <w:sz w:val="20"/>
                <w:szCs w:val="20"/>
                <w:color w:val="auto"/>
              </w:rPr>
            </w:pPr>
            <w:r>
              <w:rPr>
                <w:rFonts w:ascii="Arial" w:cs="Arial" w:eastAsia="Arial" w:hAnsi="Arial"/>
                <w:sz w:val="16"/>
                <w:szCs w:val="16"/>
                <w:color w:val="auto"/>
              </w:rPr>
              <w:t>Free cash flow as a percentage of revenue (non-GAAP)</w:t>
            </w:r>
          </w:p>
        </w:tc>
        <w:tc>
          <w:tcPr>
            <w:tcW w:w="3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b w:val="1"/>
                <w:bCs w:val="1"/>
                <w:color w:val="auto"/>
              </w:rPr>
              <w:t>38.0 %</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40.3 %</w:t>
            </w:r>
          </w:p>
        </w:tc>
      </w:tr>
    </w:tbl>
    <w:p>
      <w:pPr>
        <w:spacing w:after="0" w:line="200" w:lineRule="exact"/>
        <w:rPr>
          <w:sz w:val="20"/>
          <w:szCs w:val="20"/>
          <w:color w:val="auto"/>
        </w:rPr>
      </w:pP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9" w:name="page20"/>
    <w:bookmarkEnd w:id="19"/>
    <w:p>
      <w:pPr>
        <w:ind w:right="60"/>
        <w:spacing w:after="0" w:line="263" w:lineRule="auto"/>
        <w:rPr>
          <w:sz w:val="20"/>
          <w:szCs w:val="20"/>
          <w:color w:val="auto"/>
        </w:rPr>
      </w:pPr>
      <w:r>
        <w:rPr>
          <w:rFonts w:ascii="Arial" w:cs="Arial" w:eastAsia="Arial" w:hAnsi="Arial"/>
          <w:sz w:val="18"/>
          <w:szCs w:val="18"/>
          <w:color w:val="auto"/>
        </w:rPr>
        <w:t>This MD&amp;A also includes references to an annual operating tax rate, a non-GAAP term we use to describe the estimated annual effective tax rate, a GAAP measure that by definition does not include discrete tax items. We believe the term annual operating tax rate helps differentiate from the effective tax rate, which includes discrete tax items.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contractual obligations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Payments Due by Period</w:t>
            </w: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3"/>
        </w:trPr>
        <w:tc>
          <w:tcPr>
            <w:tcW w:w="47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Contractual Obligations</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2022/2023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w w:val="97"/>
              </w:rPr>
              <w:t>2024/2025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w w:val="97"/>
              </w:rPr>
              <w:t>Thereafter</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12"/>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debt (a)</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9,561</w:t>
            </w:r>
          </w:p>
        </w:tc>
      </w:tr>
      <w:tr>
        <w:trPr>
          <w:trHeight w:val="213"/>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Purchase commitments (b)</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747</w:t>
            </w:r>
          </w:p>
        </w:tc>
      </w:tr>
      <w:tr>
        <w:trPr>
          <w:trHeight w:val="219"/>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Transition tax on indefinitely reinvested earnings (c)</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w:t>
            </w:r>
          </w:p>
        </w:tc>
      </w:tr>
      <w:tr>
        <w:trPr>
          <w:trHeight w:val="213"/>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Operating leases (d)</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371</w:t>
            </w:r>
          </w:p>
        </w:tc>
      </w:tr>
      <w:tr>
        <w:trPr>
          <w:trHeight w:val="216"/>
        </w:trPr>
        <w:tc>
          <w:tcPr>
            <w:tcW w:w="48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Deferred compensation plans (e)</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12"/>
        </w:trPr>
        <w:tc>
          <w:tcPr>
            <w:tcW w:w="4820" w:type="dxa"/>
            <w:vAlign w:val="bottom"/>
            <w:gridSpan w:val="2"/>
          </w:tcPr>
          <w:p>
            <w:pPr>
              <w:ind w:left="20"/>
              <w:spacing w:after="0"/>
              <w:rPr>
                <w:sz w:val="20"/>
                <w:szCs w:val="20"/>
                <w:color w:val="auto"/>
              </w:rPr>
            </w:pPr>
            <w:r>
              <w:rPr>
                <w:rFonts w:ascii="Arial" w:cs="Arial" w:eastAsia="Arial" w:hAnsi="Arial"/>
                <w:sz w:val="16"/>
                <w:szCs w:val="16"/>
                <w:color w:val="auto"/>
              </w:rPr>
              <w:t>Total (f)</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11,493</w:t>
            </w:r>
          </w:p>
        </w:tc>
      </w:tr>
      <w:tr>
        <w:trPr>
          <w:trHeight w:val="20"/>
        </w:trPr>
        <w:tc>
          <w:tcPr>
            <w:tcW w:w="4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Principal and related interest payments for our long-term debt obligations, including amounts classified as the current portion of long-term debt.</w:t>
      </w:r>
    </w:p>
    <w:p>
      <w:pPr>
        <w:spacing w:after="0" w:line="128" w:lineRule="exact"/>
        <w:rPr>
          <w:rFonts w:ascii="Arial" w:cs="Arial" w:eastAsia="Arial" w:hAnsi="Arial"/>
          <w:sz w:val="17"/>
          <w:szCs w:val="17"/>
          <w:color w:val="auto"/>
        </w:rPr>
      </w:pPr>
    </w:p>
    <w:p>
      <w:pPr>
        <w:ind w:left="340" w:right="80" w:hanging="332"/>
        <w:spacing w:after="0" w:line="342" w:lineRule="auto"/>
        <w:tabs>
          <w:tab w:leader="none" w:pos="334"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payments for software licenses and contractual arrangements with suppliers when there is a fixed, non-cancellable payment schedule or when minimum payments are due with a reduced delivery schedule. Excludes cancellable arrangements. See Note 11 to the financial statements.</w:t>
      </w:r>
    </w:p>
    <w:p>
      <w:pPr>
        <w:spacing w:after="0" w:line="15" w:lineRule="exact"/>
        <w:rPr>
          <w:rFonts w:ascii="Arial" w:cs="Arial" w:eastAsia="Arial" w:hAnsi="Arial"/>
          <w:sz w:val="16"/>
          <w:szCs w:val="16"/>
          <w:color w:val="auto"/>
        </w:rPr>
      </w:pPr>
    </w:p>
    <w:p>
      <w:pPr>
        <w:ind w:left="340" w:right="200" w:hanging="332"/>
        <w:spacing w:after="0" w:line="277" w:lineRule="auto"/>
        <w:tabs>
          <w:tab w:leader="none" w:pos="337"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payments for the one-time transition tax on our indefinitely reinvested earnings related to the 2017 enactment of the U.S. Tax Cuts and Jobs Act.</w:t>
      </w:r>
    </w:p>
    <w:p>
      <w:pPr>
        <w:spacing w:after="0" w:line="62" w:lineRule="exact"/>
        <w:rPr>
          <w:rFonts w:ascii="Arial" w:cs="Arial" w:eastAsia="Arial" w:hAnsi="Arial"/>
          <w:sz w:val="18"/>
          <w:szCs w:val="18"/>
          <w:color w:val="auto"/>
        </w:rPr>
      </w:pPr>
    </w:p>
    <w:p>
      <w:pPr>
        <w:ind w:left="340" w:right="280" w:hanging="332"/>
        <w:spacing w:after="0" w:line="277" w:lineRule="auto"/>
        <w:tabs>
          <w:tab w:leader="none" w:pos="334"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minimum payments for leased facilities and equipment and purchases of industrial gases under contracts accounted for as operating leases. See Note 10 to the financial statements.</w:t>
      </w:r>
    </w:p>
    <w:p>
      <w:pPr>
        <w:spacing w:after="0" w:line="62" w:lineRule="exact"/>
        <w:rPr>
          <w:rFonts w:ascii="Arial" w:cs="Arial" w:eastAsia="Arial" w:hAnsi="Arial"/>
          <w:sz w:val="18"/>
          <w:szCs w:val="18"/>
          <w:color w:val="auto"/>
        </w:rPr>
      </w:pPr>
    </w:p>
    <w:p>
      <w:pPr>
        <w:ind w:left="320" w:hanging="312"/>
        <w:spacing w:after="0"/>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Estimated payments for certain liabilities that existed as of December 31, 2020.</w:t>
      </w:r>
    </w:p>
    <w:p>
      <w:pPr>
        <w:spacing w:after="0" w:line="117" w:lineRule="exact"/>
        <w:rPr>
          <w:rFonts w:ascii="Arial" w:cs="Arial" w:eastAsia="Arial" w:hAnsi="Arial"/>
          <w:sz w:val="18"/>
          <w:szCs w:val="18"/>
          <w:color w:val="auto"/>
        </w:rPr>
      </w:pPr>
    </w:p>
    <w:p>
      <w:pPr>
        <w:ind w:left="340" w:right="40" w:hanging="332"/>
        <w:spacing w:after="0" w:line="275" w:lineRule="auto"/>
        <w:tabs>
          <w:tab w:leader="none" w:pos="331" w:val="left"/>
        </w:tabs>
        <w:numPr>
          <w:ilvl w:val="0"/>
          <w:numId w:val="8"/>
        </w:numPr>
        <w:rPr>
          <w:rFonts w:ascii="Arial" w:cs="Arial" w:eastAsia="Arial" w:hAnsi="Arial"/>
          <w:sz w:val="17"/>
          <w:szCs w:val="17"/>
          <w:color w:val="auto"/>
        </w:rPr>
      </w:pPr>
      <w:r>
        <w:rPr>
          <w:rFonts w:ascii="Arial" w:cs="Arial" w:eastAsia="Arial" w:hAnsi="Arial"/>
          <w:sz w:val="17"/>
          <w:szCs w:val="17"/>
          <w:color w:val="auto"/>
        </w:rPr>
        <w:t>Excludes $89 million of uncertain tax liabilities under ASC 740, as well as any planned future funding contributions to retirement benefit plans. Amounts associated with uncertain tax liabilities have been excluded because of the difficulty in making reasonably reliable estimates of the timing of cash settlements with the respective taxing authorities. Regarding future funding of retirement benefit plans, we plan to contribute about $10 million in 2021, but funding projections beyond 2021 are not practical to estimate due to the rules affecting tax-deductible contributions and the impact from the plans’ asset performance, interest rates and potential U.S. and non-U.S. legislation.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accounting policies are more fully described in Note 2 of the consolidated financial statements. As disclosed in Note 2, the preparation of consolidated financial statements in conformity with U.S. GAAP requires management to make estimates and assumptions about future events that affect the amounts reported in the financial statements and accompanying notes. However, based on facts and circumstances inherent in developing estimates and assumptions, management believes it is unlikely that applying other estimates and assumptions would have a material impact on the financial statements. We consider the following accounting policies to be those that are most important to the portrayal of our financial condition and that require a higher degree of judgment.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25"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In determining net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20" w:name="page21"/>
    <w:bookmarkEnd w:id="20"/>
    <w:p>
      <w:pPr>
        <w:ind w:right="100"/>
        <w:spacing w:after="0" w:line="254"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interpretation and application of complex tax laws, and significant judgment is necessary to (i) determine whether, based on the technical merits, a tax position is more likely than not to be sustained and (ii) measure the amount of tax benefit that qualifies for recognition. We recognize potential liabilities for anticipated tax audit issues in the United States and other tax jurisdictions based on an estimate of the ultimate resolution of whether, and the extent to which, additional taxes will be due. Although we believe the estimates are reasonable, no assurance can be given that the final outcome of these matters will not be different from what is reflected in the historical income tax provisions and accruals.</w:t>
      </w:r>
    </w:p>
    <w:p>
      <w:pPr>
        <w:spacing w:after="0" w:line="195"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Our judgment regarding future recoverability of our deferred tax assets may change due to various factors, including changes in U.S. or international tax laws and changes in market conditions and their impact on our assessment of taxable income in future periods. These changes, if any, may require adjustments to the deferred tax assets and an accompanying reduction or increase in net income in the period when such determinations are made.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Inventory valuation allowances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Inventory is valued net of allowances for unsalable or obsolete raw materials, work in process and finished goods. Statistical allowances are determined quarterly for raw materials and work in process based on historical disposals of inventory for salability and obsolescence reasons. For finished goods, quarterly statistical allowances are determined by comparing inventory levels of individual parts to historical shipments, current backlog and estimated future sales in order to identify inventory considered unlikely to be sold. A specific allowance for each material type will be carried if there is a significant event not captured by the statistical allowance, such as an end-of-life part or demand with imminent risk of cancellation. Allowances are also calculated quarterly for instances where inventoried costs for individual products are in excess of the net realizable value for those products.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2 to the financial statements for information regarding the status of new accounting and reporting standards.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no significant off-balance sheet arrangements as defined in Item 303(a)(4)(ii) of SEC Regulation 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 11 to the financial statements for a discussion of our commitments and contingencies.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29"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The U.S. dollar is our functional currency for financial reporting. Our non-U.S. entities own assets or liabilities denominated in U.S. dollars or other currencies. Exchange rate fluctuations impact taxable income in those jurisdictions and consequently impact our effective tax rate.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balance sheet also reflects amounts remeasured from non-U.S. dollar currencies. Because most of the aggregate non-U.S. dollar balance sheet exposure is hedged by forward currency exchange contracts, which are based on year-end 2020 balances and currency exchange rates, a hypothetical 10% plus or minus fluctuation in non-U.S. currency exchange rates relative to the U.S. dollar would result in a pretax currency exchange gain or loss of approximately $3 million.</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use these forward currency exchange contracts to reduce the earnings impact that exchange rate fluctuations may have on our non-U.S. dollar net balance sheet exposures. As of December 31, 2020, we had forward currency exchange contracts outstanding with a notional value of $416 million to hedge net balance sheet exposures (including $147 million to sell Japanese yen, $85 million to sell euros and $82 million to sell British pounds). Similar hedging activities existed at year-end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have the following potential exposure to changes in interest rates: (i) the effect of changes in interest rates on the fair value of our investments in cash equivalents and short-term investments, which could produce a gain or a loss; and (ii) the effect of changes in interest rates on the fair value of our debt.</w:t>
      </w:r>
    </w:p>
    <w:p>
      <w:pPr>
        <w:spacing w:after="0" w:line="124"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As of December 31, 2020, a hypothetical 100 basis point increase in interest rates would decrease the fair value of our investments in cash equivalents and short-term investments by about $9 million and decrease the fair value of our long-term debt by $650 million. Because interest rates on our long-term debt are fixed, changes in interest rates would not affect the cash flows associated with long-term debt.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investments at year-end 2020 include the following:</w:t>
      </w:r>
    </w:p>
    <w:p>
      <w:pPr>
        <w:spacing w:after="0" w:line="225" w:lineRule="exact"/>
        <w:rPr>
          <w:sz w:val="20"/>
          <w:szCs w:val="20"/>
          <w:color w:val="auto"/>
        </w:rPr>
      </w:pPr>
    </w:p>
    <w:p>
      <w:pPr>
        <w:ind w:left="660" w:right="5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mutual funds </w:t>
      </w:r>
      <w:r>
        <w:rPr>
          <w:rFonts w:ascii="Arial" w:cs="Arial" w:eastAsia="Arial" w:hAnsi="Arial"/>
          <w:sz w:val="18"/>
          <w:szCs w:val="18"/>
          <w:color w:val="auto"/>
        </w:rPr>
        <w:t>– includes mutual funds that were selected to generate returns that offset changes in certain liabilities related to</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arrangements. The mutual funds hold a variety of debt and equity investments.</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Investments in venture capital funds </w:t>
      </w:r>
      <w:r>
        <w:rPr>
          <w:rFonts w:ascii="Arial" w:cs="Arial" w:eastAsia="Arial" w:hAnsi="Arial"/>
          <w:sz w:val="18"/>
          <w:szCs w:val="18"/>
          <w:color w:val="auto"/>
        </w:rPr>
        <w:t>– includes investments in limited partnerships (accounted for under either the equity method or at cost as non-marketable equity securities).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Equity investments </w:t>
      </w:r>
      <w:r>
        <w:rPr>
          <w:rFonts w:ascii="Arial" w:cs="Arial" w:eastAsia="Arial" w:hAnsi="Arial"/>
          <w:sz w:val="18"/>
          <w:szCs w:val="18"/>
          <w:color w:val="auto"/>
        </w:rPr>
        <w:t>– includes non-marketable (non-publicly traded) equity securities.</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Investments in mutual funds are stated at fair value. Changes in prices of the mutual fund investments are expected to offset related changes in certain deferred compensation liabilities. Non-marketable equity securities and certain venture capital funds are stated at cost minus impairment, if any, plus or minus changes resulting from qualifying observable price changes. Investments in the remaining venture capital funds are stated using the equity method. See Note 6 to the financial statements for details of equity and other long-term investments.</w:t>
      </w:r>
    </w:p>
    <w:p>
      <w:pPr>
        <w:spacing w:after="0" w:line="17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We also utilize total return swaps to economically hedge exposure to changes in liabilities related to the equity market risks of certain deferred compensation arrangements with employees. Gains or losses from changes in the fair value of these total return swaps generally offset the related losses or gains on the deferred compensation liabilities.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List of financial statements:</w:t>
      </w:r>
    </w:p>
    <w:p>
      <w:pPr>
        <w:spacing w:after="0" w:line="225"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Income for each of the three years in the period ended December 31,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Comprehensive income for each of the three years in the period ended December 31,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Balance sheets as of December 31, 2020 and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Cash flows for each of the three years in the period ended December 31, 2020</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Stockholders’ equity for each of the three years in the period ended December 31, 2020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Schedules have been omitted because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Income</w:t>
            </w:r>
          </w:p>
        </w:tc>
        <w:tc>
          <w:tcPr>
            <w:tcW w:w="2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00" w:type="dxa"/>
            <w:vAlign w:val="bottom"/>
          </w:tcPr>
          <w:p>
            <w:pPr>
              <w:spacing w:after="0"/>
              <w:rPr>
                <w:sz w:val="18"/>
                <w:szCs w:val="18"/>
                <w:color w:val="auto"/>
              </w:rPr>
            </w:pPr>
          </w:p>
        </w:tc>
      </w:tr>
      <w:tr>
        <w:trPr>
          <w:trHeight w:val="210"/>
        </w:trPr>
        <w:tc>
          <w:tcPr>
            <w:tcW w:w="73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share and per-share amounts)</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212"/>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14,461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15,784</w:t>
            </w:r>
          </w:p>
        </w:tc>
      </w:tr>
      <w:tr>
        <w:trPr>
          <w:trHeight w:val="21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Cost of revenue (COR)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5,192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5,507</w:t>
            </w:r>
          </w:p>
        </w:tc>
      </w:tr>
      <w:tr>
        <w:trPr>
          <w:trHeight w:val="212"/>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9,269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10,277</w:t>
            </w:r>
          </w:p>
        </w:tc>
      </w:t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Research and development (R&amp;D)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1,559</w:t>
            </w:r>
          </w:p>
        </w:tc>
      </w:tr>
      <w:tr>
        <w:trPr>
          <w:trHeight w:val="21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(SG&amp;A)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1,684</w:t>
            </w:r>
          </w:p>
        </w:tc>
      </w:t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Acquisition charges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318</w:t>
            </w:r>
          </w:p>
        </w:tc>
      </w:tr>
      <w:tr>
        <w:trPr>
          <w:trHeight w:val="21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07"/>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5,894</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5,723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6,713</w:t>
            </w:r>
          </w:p>
        </w:tc>
      </w:tr>
      <w:tr>
        <w:trPr>
          <w:trHeight w:val="21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income (expense), net (OI&amp;E)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1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Interest and debt expense</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r>
      <w:tr>
        <w:trPr>
          <w:trHeight w:val="212"/>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r>
      <w:tr>
        <w:trPr>
          <w:trHeight w:val="213"/>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1,106</w:t>
            </w:r>
          </w:p>
        </w:tc>
      </w:tr>
      <w:tr>
        <w:trPr>
          <w:trHeight w:val="237"/>
        </w:trPr>
        <w:tc>
          <w:tcPr>
            <w:tcW w:w="7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5,595</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5,580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Earnings per common share (EPS):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6.05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5.97</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5.59</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Average shares outstanding (millions):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Basic</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936</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970</w:t>
            </w: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35"/>
        </w:trPr>
        <w:tc>
          <w:tcPr>
            <w:tcW w:w="74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Diluted</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933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952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990</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0"/>
        <w:spacing w:after="0"/>
        <w:rPr>
          <w:sz w:val="20"/>
          <w:szCs w:val="20"/>
          <w:color w:val="auto"/>
        </w:rPr>
      </w:pPr>
      <w:r>
        <w:rPr>
          <w:rFonts w:ascii="Arial" w:cs="Arial" w:eastAsia="Arial" w:hAnsi="Arial"/>
          <w:sz w:val="15"/>
          <w:szCs w:val="15"/>
          <w:color w:val="auto"/>
        </w:rPr>
        <w:t>A portion of net income is allocated to unvested restricted stock units (RSUs) on which we pay dividend equivalents. Diluted EPS is calculated using the following:</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5,595</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allocated to RSUs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allocated to common stock for diluted EPS</w:t>
            </w: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2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00" w:type="dxa"/>
            <w:vAlign w:val="bottom"/>
          </w:tcPr>
          <w:p>
            <w:pPr>
              <w:spacing w:after="0"/>
              <w:rPr>
                <w:sz w:val="18"/>
                <w:szCs w:val="18"/>
                <w:color w:val="auto"/>
              </w:rPr>
            </w:pPr>
          </w:p>
        </w:tc>
      </w:tr>
      <w:tr>
        <w:trPr>
          <w:trHeight w:val="210"/>
        </w:trPr>
        <w:tc>
          <w:tcPr>
            <w:tcW w:w="73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212"/>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5,580</w:t>
            </w:r>
          </w:p>
        </w:tc>
      </w:t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Other comprehensive income (loss)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Net actuarial losses of defined benefit plans: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Adjustments, net of tax effect of $3, ($37) and $35</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Recognized within net income, net of tax effect of ($9), ($13) and ($15)</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Prior service credit of defined benefit plans:</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Adjustments, net of tax effect of $0, $0 and $1</w:t>
            </w: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Recognized within net income, net of tax effect of $0, $0 and $1</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Derivative instruments: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Change in fair value, net of tax effect of $0, $0 and $1</w:t>
            </w: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9"/>
        </w:trPr>
        <w:tc>
          <w:tcPr>
            <w:tcW w:w="7420" w:type="dxa"/>
            <w:vAlign w:val="bottom"/>
            <w:tcBorders>
              <w:top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w:t>
            </w:r>
          </w:p>
        </w:tc>
      </w:tr>
      <w:tr>
        <w:trPr>
          <w:trHeight w:val="212"/>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Total comprehensive income</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5,582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5,143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5,521</w:t>
            </w: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Balance Sheets</w:t>
            </w:r>
          </w:p>
        </w:tc>
        <w:tc>
          <w:tcPr>
            <w:tcW w:w="28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Pr>
          <w:p>
            <w:pPr>
              <w:spacing w:after="0"/>
              <w:rPr>
                <w:sz w:val="18"/>
                <w:szCs w:val="18"/>
                <w:color w:val="auto"/>
              </w:rPr>
            </w:pPr>
          </w:p>
        </w:tc>
      </w:tr>
      <w:tr>
        <w:trPr>
          <w:trHeight w:val="210"/>
        </w:trPr>
        <w:tc>
          <w:tcPr>
            <w:tcW w:w="86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share amounts)</w:t>
            </w:r>
          </w:p>
        </w:tc>
        <w:tc>
          <w:tcPr>
            <w:tcW w:w="1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r>
      <w:tr>
        <w:trPr>
          <w:trHeight w:val="19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Cash and cash equivalents</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3,107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Short-term investments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3,461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2,950</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receivable, net of allowances of ($11) and ($8)</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1,414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1,074</w:t>
            </w:r>
          </w:p>
        </w:tc>
      </w:tr>
      <w:tr>
        <w:trPr>
          <w:trHeight w:val="213"/>
        </w:trPr>
        <w:tc>
          <w:tcPr>
            <w:tcW w:w="8720" w:type="dxa"/>
            <w:vAlign w:val="bottom"/>
            <w:gridSpan w:val="2"/>
          </w:tcPr>
          <w:p>
            <w:pPr>
              <w:ind w:left="220"/>
              <w:spacing w:after="0"/>
              <w:rPr>
                <w:sz w:val="20"/>
                <w:szCs w:val="20"/>
                <w:color w:val="auto"/>
              </w:rPr>
            </w:pPr>
            <w:r>
              <w:rPr>
                <w:rFonts w:ascii="Arial" w:cs="Arial" w:eastAsia="Arial" w:hAnsi="Arial"/>
                <w:sz w:val="16"/>
                <w:szCs w:val="16"/>
                <w:color w:val="auto"/>
              </w:rPr>
              <w:t>Raw materials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w:t>
            </w: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Work in process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916</w:t>
            </w:r>
          </w:p>
        </w:tc>
      </w:tr>
      <w:tr>
        <w:trPr>
          <w:trHeight w:val="213"/>
        </w:trPr>
        <w:tc>
          <w:tcPr>
            <w:tcW w:w="8720" w:type="dxa"/>
            <w:vAlign w:val="bottom"/>
            <w:tcBorders>
              <w:bottom w:val="single" w:sz="8" w:color="CCEEFF"/>
            </w:tcBorders>
            <w:gridSpan w:val="2"/>
          </w:tcPr>
          <w:p>
            <w:pPr>
              <w:ind w:left="220"/>
              <w:spacing w:after="0"/>
              <w:rPr>
                <w:sz w:val="20"/>
                <w:szCs w:val="20"/>
                <w:color w:val="auto"/>
              </w:rPr>
            </w:pPr>
            <w:r>
              <w:rPr>
                <w:rFonts w:ascii="Arial" w:cs="Arial" w:eastAsia="Arial" w:hAnsi="Arial"/>
                <w:sz w:val="16"/>
                <w:szCs w:val="16"/>
                <w:color w:val="auto"/>
              </w:rPr>
              <w:t>Finished goods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811</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w:t>
            </w:r>
          </w:p>
        </w:tc>
      </w:tr>
      <w:tr>
        <w:trPr>
          <w:trHeight w:val="212"/>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1,955</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2,001</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302</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r>
      <w:tr>
        <w:trPr>
          <w:trHeight w:val="212"/>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10,239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8,761</w:t>
            </w:r>
          </w:p>
        </w:tc>
      </w:tr>
      <w:tr>
        <w:trPr>
          <w:trHeight w:val="207"/>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Property, plant and equipment at cost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5,781</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5,740</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Accumulated depreciation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(2,512)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(2,437)</w:t>
            </w:r>
          </w:p>
        </w:tc>
      </w:tr>
      <w:tr>
        <w:trPr>
          <w:trHeight w:val="207"/>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Property, plant and equipment</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3,269</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3,303</w:t>
            </w:r>
          </w:p>
        </w:tc>
      </w:tr>
      <w:tr>
        <w:trPr>
          <w:trHeight w:val="212"/>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Long-term investments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4,362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4,362</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Acquisition-related intangibles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Deferred tax assets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Capitalized software licenses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Overfunded retirement plans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218</w:t>
            </w:r>
          </w:p>
        </w:tc>
      </w:tr>
      <w:tr>
        <w:trPr>
          <w:trHeight w:val="216"/>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569</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468</w:t>
            </w:r>
          </w:p>
        </w:tc>
      </w:tr>
      <w:tr>
        <w:trPr>
          <w:trHeight w:val="212"/>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19,351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18,018</w:t>
            </w:r>
          </w:p>
        </w:tc>
      </w:tr>
      <w:tr>
        <w:trPr>
          <w:trHeight w:val="20"/>
        </w:trPr>
        <w:tc>
          <w:tcPr>
            <w:tcW w:w="8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83"/>
        </w:trPr>
        <w:tc>
          <w:tcPr>
            <w:tcW w:w="8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Current portion of long-term debt</w:t>
            </w:r>
          </w:p>
        </w:tc>
        <w:tc>
          <w:tcPr>
            <w:tcW w:w="280" w:type="dxa"/>
            <w:vAlign w:val="bottom"/>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415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Accrued compensation</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767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714</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Income taxes payable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Accrued expenses and other liabilities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w:t>
            </w:r>
          </w:p>
        </w:tc>
      </w:tr>
      <w:tr>
        <w:trPr>
          <w:trHeight w:val="212"/>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2,390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2,123</w:t>
            </w:r>
          </w:p>
        </w:tc>
      </w:tr>
      <w:tr>
        <w:trPr>
          <w:trHeight w:val="207"/>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6,248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5,303</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Underfunded retirement plans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13"/>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Deferred tax liabilities</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w:t>
            </w:r>
          </w:p>
        </w:tc>
      </w:tr>
      <w:tr>
        <w:trPr>
          <w:trHeight w:val="21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1,305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1,514</w:t>
            </w:r>
          </w:p>
        </w:tc>
      </w:tr>
      <w:tr>
        <w:trPr>
          <w:trHeight w:val="207"/>
        </w:trPr>
        <w:tc>
          <w:tcPr>
            <w:tcW w:w="87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10,164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9,111</w:t>
            </w:r>
          </w:p>
        </w:tc>
      </w:tr>
      <w:tr>
        <w:trPr>
          <w:trHeight w:val="199"/>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Preferred stock, $25 par value. Authorized – 10,000,000 shares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Participating cumulative preferred – None issued</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Common stock, $1 par value. Authorized – 2,400,000,000 shares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issued – 1,740,815,939</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1,741</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Paid-in capital</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2,333</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2,110</w:t>
            </w:r>
          </w:p>
        </w:tc>
      </w:tr>
      <w:tr>
        <w:trPr>
          <w:trHeight w:val="219"/>
        </w:trPr>
        <w:tc>
          <w:tcPr>
            <w:tcW w:w="87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42,051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39,898</w:t>
            </w:r>
          </w:p>
        </w:tc>
      </w:tr>
      <w:tr>
        <w:trPr>
          <w:trHeight w:val="213"/>
        </w:trPr>
        <w:tc>
          <w:tcPr>
            <w:tcW w:w="8720" w:type="dxa"/>
            <w:vAlign w:val="bottom"/>
            <w:gridSpan w:val="2"/>
          </w:tcPr>
          <w:p>
            <w:pPr>
              <w:ind w:left="140"/>
              <w:spacing w:after="0"/>
              <w:rPr>
                <w:sz w:val="20"/>
                <w:szCs w:val="20"/>
                <w:color w:val="auto"/>
              </w:rPr>
            </w:pPr>
            <w:r>
              <w:rPr>
                <w:rFonts w:ascii="Arial" w:cs="Arial" w:eastAsia="Arial" w:hAnsi="Arial"/>
                <w:sz w:val="16"/>
                <w:szCs w:val="16"/>
                <w:color w:val="auto"/>
              </w:rPr>
              <w:t>Treasury common stock at cost</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9"/>
        </w:trPr>
        <w:tc>
          <w:tcPr>
            <w:tcW w:w="87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Shares: 2020 – 821,461,787; 2019 – 808,784,381</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(36,578)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(34,495)</w:t>
            </w:r>
          </w:p>
        </w:tc>
      </w:tr>
      <w:tr>
        <w:trPr>
          <w:trHeight w:val="213"/>
        </w:trPr>
        <w:tc>
          <w:tcPr>
            <w:tcW w:w="87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Accumulated other comprehensive income (loss), net of taxes (AOCI)</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w:t>
            </w:r>
          </w:p>
        </w:tc>
      </w:tr>
      <w:tr>
        <w:trPr>
          <w:trHeight w:val="210"/>
        </w:trPr>
        <w:tc>
          <w:tcPr>
            <w:tcW w:w="87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9,187</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8,907</w:t>
            </w:r>
          </w:p>
        </w:tc>
      </w:tr>
      <w:tr>
        <w:trPr>
          <w:trHeight w:val="212"/>
        </w:trPr>
        <w:tc>
          <w:tcPr>
            <w:tcW w:w="8720" w:type="dxa"/>
            <w:vAlign w:val="bottom"/>
            <w:gridSpan w:val="2"/>
          </w:tcPr>
          <w:p>
            <w:pPr>
              <w:ind w:left="20"/>
              <w:spacing w:after="0"/>
              <w:rPr>
                <w:sz w:val="20"/>
                <w:szCs w:val="20"/>
                <w:color w:val="auto"/>
              </w:rPr>
            </w:pPr>
            <w:r>
              <w:rPr>
                <w:rFonts w:ascii="Arial" w:cs="Arial" w:eastAsia="Arial" w:hAnsi="Arial"/>
                <w:sz w:val="16"/>
                <w:szCs w:val="16"/>
                <w:color w:val="auto"/>
              </w:rPr>
              <w:t>Total liabilities and stockholders’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19,351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18,018</w:t>
            </w:r>
          </w:p>
        </w:tc>
      </w:tr>
      <w:tr>
        <w:trPr>
          <w:trHeight w:val="21"/>
        </w:trPr>
        <w:tc>
          <w:tcPr>
            <w:tcW w:w="8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b w:val="1"/>
                <w:bCs w:val="1"/>
                <w:color w:val="auto"/>
              </w:rPr>
              <w:t>Consolidated Statements of Cash Flows</w:t>
            </w:r>
          </w:p>
        </w:tc>
        <w:tc>
          <w:tcPr>
            <w:tcW w:w="260" w:type="dxa"/>
            <w:vAlign w:val="bottom"/>
          </w:tcPr>
          <w:p>
            <w:pPr>
              <w:spacing w:after="0"/>
              <w:rPr>
                <w:sz w:val="18"/>
                <w:szCs w:val="18"/>
                <w:color w:val="auto"/>
              </w:rPr>
            </w:pPr>
          </w:p>
        </w:tc>
        <w:tc>
          <w:tcPr>
            <w:tcW w:w="2760" w:type="dxa"/>
            <w:vAlign w:val="bottom"/>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00" w:type="dxa"/>
            <w:vAlign w:val="bottom"/>
          </w:tcPr>
          <w:p>
            <w:pPr>
              <w:spacing w:after="0"/>
              <w:rPr>
                <w:sz w:val="18"/>
                <w:szCs w:val="18"/>
                <w:color w:val="auto"/>
              </w:rPr>
            </w:pPr>
          </w:p>
        </w:tc>
      </w:tr>
      <w:tr>
        <w:trPr>
          <w:trHeight w:val="210"/>
        </w:trPr>
        <w:tc>
          <w:tcPr>
            <w:tcW w:w="732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19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5,595</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5,580</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Adjustments to net income: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590</w:t>
            </w: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Amortization of acquisition-related intangibles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Amortization of capitalized software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46</w:t>
            </w: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Stock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w:t>
            </w: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Gains on sales of assets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Deferred taxes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Increase (decrease) from changes in:</w:t>
            </w: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Accounts receivable</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Inventories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216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(282)</w:t>
            </w: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Accounts payable and accrued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4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Accrued compensation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7420" w:type="dxa"/>
            <w:vAlign w:val="bottom"/>
            <w:gridSpan w:val="2"/>
          </w:tcPr>
          <w:p>
            <w:pPr>
              <w:ind w:left="220"/>
              <w:spacing w:after="0"/>
              <w:rPr>
                <w:sz w:val="20"/>
                <w:szCs w:val="20"/>
                <w:color w:val="auto"/>
              </w:rPr>
            </w:pPr>
            <w:r>
              <w:rPr>
                <w:rFonts w:ascii="Arial" w:cs="Arial" w:eastAsia="Arial" w:hAnsi="Arial"/>
                <w:sz w:val="16"/>
                <w:szCs w:val="16"/>
                <w:color w:val="auto"/>
              </w:rPr>
              <w:t>Income taxes payable</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(181)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Changes in funded status of retirement plans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w:t>
            </w:r>
          </w:p>
        </w:tc>
      </w:tr>
      <w:tr>
        <w:trPr>
          <w:trHeight w:val="20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6,139</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6,649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7,189</w:t>
            </w:r>
          </w:p>
        </w:tc>
      </w:tr>
      <w:tr>
        <w:trPr>
          <w:trHeight w:val="239"/>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Capital expenditures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(847)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(1,131)</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asset sales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Purchases of short-term investments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(5,786)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(3,444)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(5,641)</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Proceeds from short-term investments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r>
      <w:tr>
        <w:trPr>
          <w:trHeight w:val="213"/>
        </w:trPr>
        <w:tc>
          <w:tcPr>
            <w:tcW w:w="74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r>
      <w:tr>
        <w:trPr>
          <w:trHeight w:val="20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flows from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(922)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39"/>
        </w:trPr>
        <w:tc>
          <w:tcPr>
            <w:tcW w:w="7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Proceeds from issuance of long-term debt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1,498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1,491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Repayment of debt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Dividends paid</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(3,426)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(3,008)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(2,555)</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r>
      <w:tr>
        <w:trPr>
          <w:trHeight w:val="213"/>
        </w:trPr>
        <w:tc>
          <w:tcPr>
            <w:tcW w:w="7420" w:type="dxa"/>
            <w:vAlign w:val="bottom"/>
            <w:gridSpan w:val="2"/>
          </w:tcPr>
          <w:p>
            <w:pPr>
              <w:ind w:left="140"/>
              <w:spacing w:after="0"/>
              <w:rPr>
                <w:sz w:val="20"/>
                <w:szCs w:val="20"/>
                <w:color w:val="auto"/>
              </w:rPr>
            </w:pPr>
            <w:r>
              <w:rPr>
                <w:rFonts w:ascii="Arial" w:cs="Arial" w:eastAsia="Arial" w:hAnsi="Arial"/>
                <w:sz w:val="16"/>
                <w:szCs w:val="16"/>
                <w:color w:val="auto"/>
              </w:rPr>
              <w:t>Proceeds from common stock transactions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539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373</w:t>
            </w:r>
          </w:p>
        </w:tc>
      </w:tr>
      <w:tr>
        <w:trPr>
          <w:trHeight w:val="219"/>
        </w:trPr>
        <w:tc>
          <w:tcPr>
            <w:tcW w:w="742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Cash flows from financing activities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(4,547)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(4,730)</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(6,329)</w:t>
            </w:r>
          </w:p>
        </w:tc>
      </w:tr>
      <w:tr>
        <w:trPr>
          <w:trHeight w:val="239"/>
        </w:trPr>
        <w:tc>
          <w:tcPr>
            <w:tcW w:w="7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13"/>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670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782</w:t>
            </w:r>
          </w:p>
        </w:tc>
      </w:tr>
      <w:tr>
        <w:trPr>
          <w:trHeight w:val="216"/>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2,437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1,656</w:t>
            </w:r>
          </w:p>
        </w:tc>
      </w:tr>
      <w:tr>
        <w:trPr>
          <w:trHeight w:val="212"/>
        </w:trPr>
        <w:tc>
          <w:tcPr>
            <w:tcW w:w="7420" w:type="dxa"/>
            <w:vAlign w:val="bottom"/>
            <w:gridSpan w:val="2"/>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3,107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2,438</w:t>
            </w:r>
          </w:p>
        </w:tc>
      </w:tr>
      <w:tr>
        <w:trPr>
          <w:trHeight w:val="20"/>
        </w:trPr>
        <w:tc>
          <w:tcPr>
            <w:tcW w:w="7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20" w:type="dxa"/>
            <w:vAlign w:val="bottom"/>
          </w:tcPr>
          <w:p>
            <w:pPr>
              <w:spacing w:after="0"/>
              <w:rPr>
                <w:sz w:val="16"/>
                <w:szCs w:val="16"/>
                <w:color w:val="auto"/>
              </w:rPr>
            </w:pPr>
          </w:p>
        </w:tc>
        <w:tc>
          <w:tcPr>
            <w:tcW w:w="1080" w:type="dxa"/>
            <w:vAlign w:val="bottom"/>
            <w:gridSpan w:val="2"/>
            <w:vMerge w:val="restart"/>
          </w:tcPr>
          <w:p>
            <w:pPr>
              <w:ind w:left="120"/>
              <w:spacing w:after="0"/>
              <w:rPr>
                <w:sz w:val="20"/>
                <w:szCs w:val="20"/>
                <w:color w:val="auto"/>
              </w:rPr>
            </w:pPr>
            <w:r>
              <w:rPr>
                <w:rFonts w:ascii="Arial" w:cs="Arial" w:eastAsia="Arial" w:hAnsi="Arial"/>
                <w:sz w:val="16"/>
                <w:szCs w:val="16"/>
                <w:b w:val="1"/>
                <w:bCs w:val="1"/>
                <w:color w:val="auto"/>
              </w:rPr>
              <w:t>Paid-in</w:t>
            </w:r>
          </w:p>
        </w:tc>
        <w:tc>
          <w:tcPr>
            <w:tcW w:w="180" w:type="dxa"/>
            <w:vAlign w:val="bottom"/>
          </w:tcPr>
          <w:p>
            <w:pPr>
              <w:spacing w:after="0"/>
              <w:rPr>
                <w:sz w:val="16"/>
                <w:szCs w:val="16"/>
                <w:color w:val="auto"/>
              </w:rPr>
            </w:pPr>
          </w:p>
        </w:tc>
        <w:tc>
          <w:tcPr>
            <w:tcW w:w="11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Retained</w:t>
            </w:r>
          </w:p>
        </w:tc>
        <w:tc>
          <w:tcPr>
            <w:tcW w:w="18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Treasury</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Consolidated Statements of Stockholders’ Equity</w:t>
            </w:r>
          </w:p>
        </w:tc>
        <w:tc>
          <w:tcPr>
            <w:tcW w:w="2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89"/>
              </w:rPr>
              <w:t>Common</w:t>
            </w:r>
          </w:p>
        </w:tc>
        <w:tc>
          <w:tcPr>
            <w:tcW w:w="240" w:type="dxa"/>
            <w:vAlign w:val="bottom"/>
          </w:tcPr>
          <w:p>
            <w:pPr>
              <w:spacing w:after="0"/>
              <w:rPr>
                <w:sz w:val="14"/>
                <w:szCs w:val="14"/>
                <w:color w:val="auto"/>
              </w:rPr>
            </w:pPr>
          </w:p>
        </w:tc>
        <w:tc>
          <w:tcPr>
            <w:tcW w:w="94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AOCI</w:t>
            </w:r>
          </w:p>
        </w:tc>
        <w:tc>
          <w:tcPr>
            <w:tcW w:w="0" w:type="dxa"/>
            <w:vAlign w:val="bottom"/>
          </w:tcPr>
          <w:p>
            <w:pPr>
              <w:spacing w:after="0"/>
              <w:rPr>
                <w:sz w:val="1"/>
                <w:szCs w:val="1"/>
                <w:color w:val="auto"/>
              </w:rPr>
            </w:pPr>
          </w:p>
        </w:tc>
      </w:tr>
      <w:tr>
        <w:trPr>
          <w:trHeight w:val="213"/>
        </w:trPr>
        <w:tc>
          <w:tcPr>
            <w:tcW w:w="48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Stock</w:t>
            </w:r>
          </w:p>
        </w:tc>
        <w:tc>
          <w:tcPr>
            <w:tcW w:w="220" w:type="dxa"/>
            <w:vAlign w:val="bottom"/>
          </w:tcPr>
          <w:p>
            <w:pPr>
              <w:spacing w:after="0"/>
              <w:rPr>
                <w:sz w:val="18"/>
                <w:szCs w:val="18"/>
                <w:color w:val="auto"/>
              </w:rPr>
            </w:pPr>
          </w:p>
        </w:tc>
        <w:tc>
          <w:tcPr>
            <w:tcW w:w="108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8"/>
                <w:szCs w:val="18"/>
                <w:color w:val="auto"/>
              </w:rPr>
            </w:pPr>
          </w:p>
        </w:tc>
        <w:tc>
          <w:tcPr>
            <w:tcW w:w="1120" w:type="dxa"/>
            <w:vAlign w:val="bottom"/>
            <w:gridSpan w:val="2"/>
          </w:tcPr>
          <w:p>
            <w:pPr>
              <w:ind w:left="100"/>
              <w:spacing w:after="0"/>
              <w:rPr>
                <w:sz w:val="20"/>
                <w:szCs w:val="20"/>
                <w:color w:val="auto"/>
              </w:rPr>
            </w:pPr>
            <w:r>
              <w:rPr>
                <w:rFonts w:ascii="Arial" w:cs="Arial" w:eastAsia="Arial" w:hAnsi="Arial"/>
                <w:sz w:val="16"/>
                <w:szCs w:val="16"/>
                <w:b w:val="1"/>
                <w:bCs w:val="1"/>
                <w:color w:val="auto"/>
              </w:rPr>
              <w:t>Earnings</w:t>
            </w:r>
          </w:p>
        </w:tc>
        <w:tc>
          <w:tcPr>
            <w:tcW w:w="18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bottom w:val="single" w:sz="8" w:color="CCEEFF"/>
            </w:tcBorders>
          </w:tcPr>
          <w:p>
            <w:pPr>
              <w:ind w:left="20"/>
              <w:spacing w:after="0"/>
              <w:rPr>
                <w:sz w:val="20"/>
                <w:szCs w:val="20"/>
                <w:color w:val="auto"/>
              </w:rPr>
            </w:pPr>
            <w:r>
              <w:rPr>
                <w:rFonts w:ascii="Arial" w:cs="Arial" w:eastAsia="Arial" w:hAnsi="Arial"/>
                <w:sz w:val="16"/>
                <w:szCs w:val="16"/>
                <w:b w:val="1"/>
                <w:bCs w:val="1"/>
                <w:color w:val="auto"/>
              </w:rPr>
              <w:t>(Millions of dollars, except per-share amounts)</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Balance, December 31, 2017</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34,662</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(27,458)</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40"/>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5,580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 and paid ($2.63 per share)</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Stock compensation</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Dividend equivalents on RSUs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Cumulative effect of accounting changes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48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Balance, December 31, 2018</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37,906</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(32,130)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0" w:type="dxa"/>
            <w:vAlign w:val="bottom"/>
          </w:tcPr>
          <w:p>
            <w:pPr>
              <w:spacing w:after="0"/>
              <w:rPr>
                <w:sz w:val="1"/>
                <w:szCs w:val="1"/>
                <w:color w:val="auto"/>
              </w:rPr>
            </w:pPr>
          </w:p>
        </w:tc>
      </w:tr>
      <w:tr>
        <w:trPr>
          <w:trHeight w:val="239"/>
        </w:trPr>
        <w:tc>
          <w:tcPr>
            <w:tcW w:w="4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Dividends declared and paid ($3.21 per share)</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Common stock issued for stock-based awards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594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Stock repurchases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Stock compensation</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 comprehensive income (loss), net of taxes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color w:val="auto"/>
              </w:rPr>
              <w:t>Dividend equivalents on RSUs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Balance, December 31, 2019</w:t>
            </w:r>
          </w:p>
        </w:tc>
        <w:tc>
          <w:tcPr>
            <w:tcW w:w="2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1,741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39,898</w:t>
            </w:r>
          </w:p>
        </w:tc>
        <w:tc>
          <w:tcPr>
            <w:tcW w:w="1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(34,495)</w:t>
            </w:r>
          </w:p>
        </w:tc>
        <w:tc>
          <w:tcPr>
            <w:tcW w:w="12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40"/>
        </w:trPr>
        <w:tc>
          <w:tcPr>
            <w:tcW w:w="4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700" w:type="dxa"/>
            <w:vAlign w:val="bottom"/>
          </w:tcPr>
          <w:p>
            <w:pPr>
              <w:ind w:left="20"/>
              <w:spacing w:after="0"/>
              <w:rPr>
                <w:sz w:val="20"/>
                <w:szCs w:val="20"/>
                <w:color w:val="auto"/>
              </w:rPr>
            </w:pPr>
            <w:r>
              <w:rPr>
                <w:rFonts w:ascii="Arial" w:cs="Arial" w:eastAsia="Arial" w:hAnsi="Arial"/>
                <w:sz w:val="16"/>
                <w:szCs w:val="16"/>
                <w:b w:val="1"/>
                <w:bCs w:val="1"/>
                <w:color w:val="auto"/>
              </w:rPr>
              <w:t>2020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Net income</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5,595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b w:val="1"/>
                <w:bCs w:val="1"/>
                <w:color w:val="auto"/>
              </w:rPr>
              <w:t>Dividends declared and paid ($3.72 per share)</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(3,426)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Common stock issued for stock-based awards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b w:val="1"/>
                <w:bCs w:val="1"/>
                <w:color w:val="auto"/>
              </w:rPr>
              <w:t>Stock repurchases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(2,553)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Stock compensation</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 comprehensive income (loss), net of taxes</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0" w:type="dxa"/>
            <w:vAlign w:val="bottom"/>
          </w:tcPr>
          <w:p>
            <w:pPr>
              <w:spacing w:after="0"/>
              <w:rPr>
                <w:sz w:val="1"/>
                <w:szCs w:val="1"/>
                <w:color w:val="auto"/>
              </w:rPr>
            </w:pPr>
          </w:p>
        </w:tc>
      </w:tr>
      <w:tr>
        <w:trPr>
          <w:trHeight w:val="219"/>
        </w:trPr>
        <w:tc>
          <w:tcPr>
            <w:tcW w:w="486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Dividend equivalents on RSUs</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4860" w:type="dxa"/>
            <w:vAlign w:val="bottom"/>
            <w:gridSpan w:val="2"/>
          </w:tcPr>
          <w:p>
            <w:pPr>
              <w:ind w:left="140"/>
              <w:spacing w:after="0"/>
              <w:rPr>
                <w:sz w:val="20"/>
                <w:szCs w:val="20"/>
                <w:color w:val="auto"/>
              </w:rPr>
            </w:pPr>
            <w:r>
              <w:rPr>
                <w:rFonts w:ascii="Arial" w:cs="Arial" w:eastAsia="Arial" w:hAnsi="Arial"/>
                <w:sz w:val="16"/>
                <w:szCs w:val="16"/>
                <w:b w:val="1"/>
                <w:bCs w:val="1"/>
                <w:color w:val="auto"/>
              </w:rPr>
              <w:t>Other</w:t>
            </w:r>
          </w:p>
        </w:tc>
        <w:tc>
          <w:tcPr>
            <w:tcW w:w="2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8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7"/>
        </w:trPr>
        <w:tc>
          <w:tcPr>
            <w:tcW w:w="4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December 31, 2020</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2,333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42,051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(36,578)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color w:val="auto"/>
              </w:rPr>
              <w:t>See accompanying notes.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48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29"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Description of business, including segment and geographic area information</w:t>
      </w:r>
    </w:p>
    <w:p>
      <w:pPr>
        <w:spacing w:after="0" w:line="225" w:lineRule="exact"/>
        <w:rPr>
          <w:sz w:val="20"/>
          <w:szCs w:val="20"/>
          <w:color w:val="auto"/>
        </w:rPr>
      </w:pPr>
    </w:p>
    <w:p>
      <w:pPr>
        <w:ind w:right="40"/>
        <w:spacing w:after="0" w:line="248" w:lineRule="auto"/>
        <w:rPr>
          <w:sz w:val="20"/>
          <w:szCs w:val="20"/>
          <w:color w:val="auto"/>
        </w:rPr>
      </w:pPr>
      <w:r>
        <w:rPr>
          <w:rFonts w:ascii="Arial" w:cs="Arial" w:eastAsia="Arial" w:hAnsi="Arial"/>
          <w:sz w:val="18"/>
          <w:szCs w:val="18"/>
          <w:color w:val="auto"/>
        </w:rPr>
        <w:t>We design, make and sell semiconductors to electronics designers and manufacturers all over the world. We have two reportable segments, Analog and Embedded Processing, each of which represents groups of similar products that are combined on the basis of similar design and development requirements, product characteristics, manufacturing processes and distribution channels.</w:t>
      </w:r>
    </w:p>
    <w:p>
      <w:pPr>
        <w:spacing w:after="0" w:line="74" w:lineRule="exact"/>
        <w:rPr>
          <w:sz w:val="20"/>
          <w:szCs w:val="20"/>
          <w:color w:val="auto"/>
        </w:rPr>
      </w:pPr>
    </w:p>
    <w:p>
      <w:pPr>
        <w:ind w:left="660" w:right="220" w:hanging="328"/>
        <w:spacing w:after="0" w:line="25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Analog semiconductors change real-world signals, such as sound, temperature, pressure or images, by conditioning them, amplifying them and often converting them to a stream of digital data that can be processed by other semiconductors, such as embedded processors. Analog semiconductors are also used to manage power in all electronic equipment by converting, distributing, storing, discharging, isolating and measuring electrical energy, whether the equipment is plugged into a wall or using a battery. Our Analog segment consists of two major product lines: Power and Signal Chain.</w:t>
      </w:r>
    </w:p>
    <w:p>
      <w:pPr>
        <w:spacing w:after="0" w:line="7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Embedded Processing products are the digital “brains” of many types of electronic equipment. They are designed to handle specific tasks and can be optimized for various combinations of performance, power and cost, depending on the application.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During 2020, we reorganized the product lines within our Analog segment to simplify our business structure into our Power and Signal Chain product lines.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changes had no effect on either our previously reported consolidated financial statements or our reportable segment results.</w:t>
      </w:r>
    </w:p>
    <w:p>
      <w:pPr>
        <w:spacing w:after="0" w:line="21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report the results of our remaining business activities in Other. Other includes operating segments that do not meet the quantitative thresholds for individually reportable segments and cannot be aggregated with other operating segments. Other includes DLP</w:t>
      </w:r>
      <w:r>
        <w:rPr>
          <w:rFonts w:ascii="Arial" w:cs="Arial" w:eastAsia="Arial" w:hAnsi="Arial"/>
          <w:sz w:val="10"/>
          <w:szCs w:val="10"/>
          <w:color w:val="auto"/>
        </w:rPr>
        <w:t>®</w:t>
      </w:r>
      <w:r>
        <w:rPr>
          <w:rFonts w:ascii="Arial" w:cs="Arial" w:eastAsia="Arial" w:hAnsi="Arial"/>
          <w:sz w:val="18"/>
          <w:szCs w:val="18"/>
          <w:color w:val="auto"/>
        </w:rPr>
        <w:t xml:space="preserve"> products, calculators and custom ASIC products.</w:t>
      </w:r>
    </w:p>
    <w:p>
      <w:pPr>
        <w:spacing w:after="0" w:line="184"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In Other, we also include items that are not used in evaluating the results of or in allocating resources to our segments. Examples of these items include acquisition charges (see Note 7); restructuring charges (see Note 12); and certain corporate-level items, such as litigation expenses, environmental costs, insurance settlements, and gains and losses from other activities, including asset dispositions. We allocate the remainder of our expenses associated with corporate activities to our operating segments based on specific methodologies, such as percentage of operating expenses or headcount.</w:t>
      </w:r>
    </w:p>
    <w:p>
      <w:pPr>
        <w:spacing w:after="0" w:line="157"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Our centralized manufacturing and support organizations, such as facilities, procurement and logistics, provide support to our operating segments, including those in Other. Costs incurred by these organizations, including depreciation, are charged to the segments on a per-unit basis. Consequently, depreciation expense is not an independently identifiable component within the segments’ results and, therefore, is not provided.</w:t>
      </w:r>
    </w:p>
    <w:p>
      <w:pPr>
        <w:spacing w:after="0" w:line="14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With the exception of goodwill, we do not identify or allocate assets by operating segment, nor does the chief operating decision maker evaluate operating segments using discrete asset information. We have no material intersegment revenue. The accounting policies of the segments are consistent with those described in the summary of significant accounting policies and practices.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i w:val="1"/>
          <w:iCs w:val="1"/>
          <w:color w:val="auto"/>
        </w:rPr>
        <w:t>Segment information</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Analog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10,886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10,223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10,801</w:t>
            </w: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3,554</w:t>
            </w:r>
          </w:p>
        </w:tc>
      </w:tr>
      <w:tr>
        <w:trPr>
          <w:trHeight w:val="213"/>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1,005</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1,429</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Operating profit: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Analog</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4,912</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4,477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5,109</w:t>
            </w: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Embedded Processing</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743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1,205</w:t>
            </w:r>
          </w:p>
        </w:tc>
      </w:tr>
      <w:tr>
        <w:trPr>
          <w:trHeight w:val="213"/>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399</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operating profit</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5,894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5,723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 information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following geographic area information includes revenue, based on product shipment destination, and property, plant and equipment, based on physical location. The geographic revenue information does not necessarily reflect end demand by geography because our products tend to be shipped to the locations where our customers manufacture their products.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rPr>
              <w:t>For Years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1,547</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1,827</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2,288</w:t>
            </w: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9,541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9,240</w:t>
            </w: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2,249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2,707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3,047</w:t>
            </w: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r>
      <w:tr>
        <w:trPr>
          <w:trHeight w:val="213"/>
        </w:trPr>
        <w:tc>
          <w:tcPr>
            <w:tcW w:w="74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340</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revenue</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14,461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14,383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15,784</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340" w:right="580" w:hanging="332"/>
        <w:spacing w:after="0" w:line="263" w:lineRule="auto"/>
        <w:tabs>
          <w:tab w:leader="none" w:pos="337"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Revenue from products shipped into China was $8.0 billion, $7.2 billion and $7.0 billion in 2020, 2019 and 2018, respectively, which includes shipments to customers that manufacture in China and then export end products to their customers around the world, as well as distributors that transship inventory through China to service other countries.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780" w:type="dxa"/>
            <w:vAlign w:val="bottom"/>
            <w:tcBorders>
              <w:bottom w:val="single" w:sz="8" w:color="auto"/>
            </w:tcBorders>
          </w:tcPr>
          <w:p>
            <w:pPr>
              <w:spacing w:after="0"/>
              <w:rPr>
                <w:sz w:val="18"/>
                <w:szCs w:val="18"/>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r>
      <w:tr>
        <w:trPr>
          <w:trHeight w:val="19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0"/>
        </w:trPr>
        <w:tc>
          <w:tcPr>
            <w:tcW w:w="8720" w:type="dxa"/>
            <w:vAlign w:val="bottom"/>
          </w:tcPr>
          <w:p>
            <w:pPr>
              <w:ind w:left="140"/>
              <w:spacing w:after="0"/>
              <w:rPr>
                <w:sz w:val="20"/>
                <w:szCs w:val="20"/>
                <w:color w:val="auto"/>
              </w:rPr>
            </w:pPr>
            <w:r>
              <w:rPr>
                <w:rFonts w:ascii="Arial" w:cs="Arial" w:eastAsia="Arial" w:hAnsi="Arial"/>
                <w:sz w:val="16"/>
                <w:szCs w:val="16"/>
                <w:color w:val="auto"/>
              </w:rPr>
              <w:t>United States</w:t>
            </w:r>
          </w:p>
        </w:tc>
        <w:tc>
          <w:tcPr>
            <w:tcW w:w="28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2,036</w:t>
            </w:r>
          </w:p>
        </w:tc>
        <w:tc>
          <w:tcPr>
            <w:tcW w:w="10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1,998</w:t>
            </w:r>
          </w:p>
        </w:tc>
      </w:tr>
      <w:tr>
        <w:trPr>
          <w:trHeight w:val="230"/>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Asia (a)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w:t>
            </w:r>
          </w:p>
        </w:tc>
      </w:tr>
      <w:tr>
        <w:trPr>
          <w:trHeight w:val="230"/>
        </w:trPr>
        <w:tc>
          <w:tcPr>
            <w:tcW w:w="8720" w:type="dxa"/>
            <w:vAlign w:val="bottom"/>
          </w:tcPr>
          <w:p>
            <w:pPr>
              <w:ind w:left="140"/>
              <w:spacing w:after="0"/>
              <w:rPr>
                <w:sz w:val="20"/>
                <w:szCs w:val="20"/>
                <w:color w:val="auto"/>
              </w:rPr>
            </w:pPr>
            <w:r>
              <w:rPr>
                <w:rFonts w:ascii="Arial" w:cs="Arial" w:eastAsia="Arial" w:hAnsi="Arial"/>
                <w:sz w:val="16"/>
                <w:szCs w:val="16"/>
                <w:color w:val="auto"/>
              </w:rPr>
              <w:t>Europe, Middle East and Africa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2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Japan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r>
      <w:tr>
        <w:trPr>
          <w:trHeight w:val="230"/>
        </w:trPr>
        <w:tc>
          <w:tcPr>
            <w:tcW w:w="872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Rest of world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r>
      <w:tr>
        <w:trPr>
          <w:trHeight w:val="235"/>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property, plant and equipment</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3,269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3,303</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180" w:hanging="332"/>
        <w:spacing w:after="0" w:line="342" w:lineRule="auto"/>
        <w:tabs>
          <w:tab w:leader="none" w:pos="337" w:val="left"/>
        </w:tabs>
        <w:numPr>
          <w:ilvl w:val="0"/>
          <w:numId w:val="14"/>
        </w:numPr>
        <w:rPr>
          <w:rFonts w:ascii="Arial" w:cs="Arial" w:eastAsia="Arial" w:hAnsi="Arial"/>
          <w:sz w:val="16"/>
          <w:szCs w:val="16"/>
          <w:color w:val="auto"/>
        </w:rPr>
      </w:pPr>
      <w:r>
        <w:rPr>
          <w:rFonts w:ascii="Arial" w:cs="Arial" w:eastAsia="Arial" w:hAnsi="Arial"/>
          <w:sz w:val="16"/>
          <w:szCs w:val="16"/>
          <w:color w:val="auto"/>
        </w:rPr>
        <w:t>Property, plant and equipment at our two sites in the Philippines was $333 million and $394 million as of December 31, 2020 and 2019, respectively. Property, plant and equipment at our sites in China was $370 million and $304 million as of December 31,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0" w:name="page31"/>
    <w:bookmarkEnd w:id="30"/>
    <w:p>
      <w:pPr>
        <w:ind w:left="180" w:hanging="172"/>
        <w:spacing w:after="0"/>
        <w:tabs>
          <w:tab w:leader="none" w:pos="1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Basis of presentation and 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accounting principles generally accepted in the United States (GAAP). The basis of these financial statements is comparable for all periods presented herein.</w:t>
      </w:r>
    </w:p>
    <w:p>
      <w:pPr>
        <w:spacing w:after="0" w:line="170" w:lineRule="exact"/>
        <w:rPr>
          <w:sz w:val="20"/>
          <w:szCs w:val="20"/>
          <w:color w:val="auto"/>
        </w:rPr>
      </w:pPr>
    </w:p>
    <w:p>
      <w:pPr>
        <w:ind w:right="440"/>
        <w:spacing w:after="0" w:line="311" w:lineRule="auto"/>
        <w:rPr>
          <w:sz w:val="20"/>
          <w:szCs w:val="20"/>
          <w:color w:val="auto"/>
        </w:rPr>
      </w:pPr>
      <w:r>
        <w:rPr>
          <w:rFonts w:ascii="Arial" w:cs="Arial" w:eastAsia="Arial" w:hAnsi="Arial"/>
          <w:sz w:val="16"/>
          <w:szCs w:val="16"/>
          <w:color w:val="auto"/>
        </w:rPr>
        <w:t>The consolidated financial statements include the accounts of all subsidiaries. All intercompany balances and transactions have been eliminated in consolidation. All dollar amounts in the financial statements and tables in these notes, except per-share amounts, are stated in millions of U.S. dollars unless otherwise indicated. We have reclassified certain amounts in the prior periods’ financial statements to conform to the 2020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 and practices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Revenue recognition</w:t>
      </w:r>
    </w:p>
    <w:p>
      <w:pPr>
        <w:spacing w:after="0" w:line="2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generate revenue primarily from the sale of semiconductor products, either directly to a customer or to a distributor. We have a variety of types of contracts with our customers and distributors. In determining whether a contract exists, we evaluate the terms of the arrangement, the relationship with the customer or distributor and their ability to pay.</w:t>
      </w:r>
    </w:p>
    <w:p>
      <w:pPr>
        <w:spacing w:after="0" w:line="19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recognize revenue from sales of our products, including sales to our distributors, when control is transferred. Control is considered transferred when title and risk of loss pass, when the customer becomes obligated to pay and, where required, when the customer has accepted the products. This transfer generally occurs at a point in time upon shipment or delivery to the customer or distributor, depending upon the terms of the sales order. Payment for sales to customers and distributors is generally due on our standard commercial terms. For sales to distributors, payment is not contingent upon resale of the products.</w:t>
      </w:r>
    </w:p>
    <w:p>
      <w:pPr>
        <w:spacing w:after="0" w:line="188"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Revenue from sales of our products that are subject to inventory consignment agreements is recognized at a point in time, when the customer or distributor pulls product from consignment inventory that we store at designated locations. Delivery and transfer of control occur at that point, when title and risk of loss transfers and the customer or distributor becomes obligated to pay for the products pulled from inventory. Until the products are pulled for use or sale by the customer or distributor, we retain control over the products’ disposition, including the right to pull back or relocate the products.</w:t>
      </w:r>
    </w:p>
    <w:p>
      <w:pPr>
        <w:spacing w:after="0" w:line="15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revenue recognized is adjusted based on allowances, which are prepared on a portfolio basis using a most likely amount methodology based on analysis of historical data and contractual terms. These allowances, which are not material, generally include adjustments for pricing arrangements, product returns and incentives. The length of time between invoicing and payment is not significant under any of our payment terms. In instances where the timing of revenue recognition differs from the timing of invoicing, we have determined our contracts generally do not include a significant financing component.</w:t>
      </w:r>
    </w:p>
    <w:p>
      <w:pPr>
        <w:spacing w:after="0" w:line="15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In addition, we record an allowance for credit losses on accounts receivable that we estimate may not be collected. We monitor collectability of accounts receivable primarily through review of accounts receivable aging. When collection is at risk, we assess the impact on amounts recorded for credit losses and, if necessary, record a charge in the period such determination is made.</w:t>
      </w:r>
    </w:p>
    <w:p>
      <w:pPr>
        <w:spacing w:after="0" w:line="18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We recognize shipping fees, if any, received from customers in revenue. We include the related shipping and handling costs in cost of revenue. The majority of our customers pay these fees directly to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Advertising costs</w:t>
      </w:r>
    </w:p>
    <w:p>
      <w:pPr>
        <w:spacing w:after="0" w:line="2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We expense advertising and other promotional costs as incurred. This expense was $28 million, $30 million and $34 million in 2020, 2019 and 2018,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Income taxes</w:t>
      </w:r>
    </w:p>
    <w:p>
      <w:pPr>
        <w:spacing w:after="0" w:line="23" w:lineRule="exact"/>
        <w:rPr>
          <w:sz w:val="20"/>
          <w:szCs w:val="20"/>
          <w:color w:val="auto"/>
        </w:rPr>
      </w:pPr>
    </w:p>
    <w:p>
      <w:pPr>
        <w:ind w:right="420"/>
        <w:spacing w:after="0" w:line="277" w:lineRule="auto"/>
        <w:rPr>
          <w:sz w:val="20"/>
          <w:szCs w:val="20"/>
          <w:color w:val="auto"/>
        </w:rPr>
      </w:pPr>
      <w:r>
        <w:rPr>
          <w:rFonts w:ascii="Arial" w:cs="Arial" w:eastAsia="Arial" w:hAnsi="Arial"/>
          <w:sz w:val="17"/>
          <w:szCs w:val="17"/>
          <w:color w:val="auto"/>
        </w:rPr>
        <w:t>We account for income taxes using an asset and liability approach. We record the amount of taxes payable or refundable for the current year and the deferred tax assets and liabilities for future tax consequences related to events that have been recognized in the financial statements or tax returns. We record a valuation allowance when it is more likely than not that some or all of the deferred tax assets will not be realized.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9"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i w:val="1"/>
          <w:iCs w:val="1"/>
          <w:u w:val="single" w:color="auto"/>
          <w:color w:val="auto"/>
        </w:rPr>
        <w:t>Other assessed taxes</w:t>
      </w:r>
    </w:p>
    <w:p>
      <w:pPr>
        <w:spacing w:after="0" w:line="23" w:lineRule="exact"/>
        <w:rPr>
          <w:sz w:val="20"/>
          <w:szCs w:val="20"/>
          <w:color w:val="auto"/>
        </w:rPr>
      </w:pPr>
    </w:p>
    <w:p>
      <w:pPr>
        <w:ind w:right="540"/>
        <w:spacing w:after="0" w:line="260" w:lineRule="auto"/>
        <w:rPr>
          <w:sz w:val="20"/>
          <w:szCs w:val="20"/>
          <w:color w:val="auto"/>
        </w:rPr>
      </w:pPr>
      <w:r>
        <w:rPr>
          <w:rFonts w:ascii="Arial" w:cs="Arial" w:eastAsia="Arial" w:hAnsi="Arial"/>
          <w:sz w:val="18"/>
          <w:szCs w:val="18"/>
          <w:color w:val="auto"/>
        </w:rPr>
        <w:t>Some transactions require us to collect taxes such as sales, value-added and excise taxes from our customers. These transactions are presented in our Consolidated Statements of Income on a net (excluded from revenue) basis.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Leases</w:t>
      </w:r>
    </w:p>
    <w:p>
      <w:pPr>
        <w:spacing w:after="0" w:line="23"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We determine if an arrangement is a lease at inception. Leases are included in other long-term assets, accrued expenses and other liabilities, and other long-term liabilities on our Consolidated Balance Sheets.</w:t>
      </w:r>
    </w:p>
    <w:p>
      <w:pPr>
        <w:spacing w:after="0" w:line="185" w:lineRule="exact"/>
        <w:rPr>
          <w:sz w:val="20"/>
          <w:szCs w:val="20"/>
          <w:color w:val="auto"/>
        </w:rPr>
      </w:pPr>
    </w:p>
    <w:p>
      <w:pPr>
        <w:ind w:right="160"/>
        <w:spacing w:after="0" w:line="275" w:lineRule="auto"/>
        <w:rPr>
          <w:sz w:val="20"/>
          <w:szCs w:val="20"/>
          <w:color w:val="auto"/>
        </w:rPr>
      </w:pPr>
      <w:r>
        <w:rPr>
          <w:rFonts w:ascii="Arial" w:cs="Arial" w:eastAsia="Arial" w:hAnsi="Arial"/>
          <w:sz w:val="17"/>
          <w:szCs w:val="17"/>
          <w:color w:val="auto"/>
        </w:rPr>
        <w:t>Lease assets represent our right to use underlying assets for the lease term, and lease liabilities represent our obligations to make lease payments over the lease term. On the commencement date, leases are evaluated for classification, and assets and liabilities are recognized based on the present value of lease payments over the lease term. We use our incremental borrowing rate based on the information available at commencement in determining the present value of lease payments. Operating lease expense is generally recognized on a straight-line basis over the lease term. Our lease values include options to extend or not to terminate the lease when it is reasonably certain that we will exercise such options.</w:t>
      </w:r>
    </w:p>
    <w:p>
      <w:pPr>
        <w:spacing w:after="0" w:line="176"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We have agreements with lease and non-lease components, which are accounted for as a single lease component. Leases with an initial lease term of 12 months or less are not recorded on the balance sheet; we recognize lease expense for these leases on a straight-line basis over the lease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Earnings per share (EPS)</w:t>
      </w:r>
    </w:p>
    <w:p>
      <w:pPr>
        <w:spacing w:after="0" w:line="23"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We use the two-class method for calculating EPS because the restricted stock units (RSUs) we grant are participating securities containing non-forfeitable rights to receive dividend equivalents. Under the two-class method, a portion of net income is allocated to RSUs and excluded from the calculation of income allocated to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Computation and reconciliation of earnings per common share are as follows (shares in millions):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7"/>
          </w:tcPr>
          <w:p>
            <w:pPr>
              <w:jc w:val="center"/>
              <w:ind w:right="340"/>
              <w:spacing w:after="0"/>
              <w:rPr>
                <w:sz w:val="20"/>
                <w:szCs w:val="20"/>
                <w:color w:val="auto"/>
              </w:rPr>
            </w:pPr>
            <w:r>
              <w:rPr>
                <w:rFonts w:ascii="Arial" w:cs="Arial" w:eastAsia="Arial" w:hAnsi="Arial"/>
                <w:sz w:val="16"/>
                <w:szCs w:val="16"/>
                <w:b w:val="1"/>
                <w:bCs w:val="1"/>
                <w:color w:val="auto"/>
                <w:w w:val="91"/>
              </w:rPr>
              <w:t>For Years Ended December 31,</w:t>
            </w: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860" w:type="dxa"/>
            <w:vAlign w:val="bottom"/>
          </w:tcPr>
          <w:p>
            <w:pPr>
              <w:jc w:val="right"/>
              <w:ind w:right="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ind w:right="179"/>
              <w:spacing w:after="0"/>
              <w:rPr>
                <w:sz w:val="20"/>
                <w:szCs w:val="20"/>
                <w:color w:val="auto"/>
              </w:rPr>
            </w:pPr>
            <w:r>
              <w:rPr>
                <w:rFonts w:ascii="Arial" w:cs="Arial" w:eastAsia="Arial" w:hAnsi="Arial"/>
                <w:sz w:val="16"/>
                <w:szCs w:val="16"/>
                <w:b w:val="1"/>
                <w:bCs w:val="1"/>
                <w:color w:val="auto"/>
              </w:rPr>
              <w:t>EPS</w:t>
            </w:r>
          </w:p>
        </w:tc>
        <w:tc>
          <w:tcPr>
            <w:tcW w:w="120" w:type="dxa"/>
            <w:vAlign w:val="bottom"/>
          </w:tcPr>
          <w:p>
            <w:pPr>
              <w:spacing w:after="0"/>
              <w:rPr>
                <w:sz w:val="18"/>
                <w:szCs w:val="18"/>
                <w:color w:val="auto"/>
              </w:rPr>
            </w:pPr>
          </w:p>
        </w:tc>
        <w:tc>
          <w:tcPr>
            <w:tcW w:w="960" w:type="dxa"/>
            <w:vAlign w:val="bottom"/>
            <w:gridSpan w:val="3"/>
          </w:tcPr>
          <w:p>
            <w:pPr>
              <w:ind w:left="40"/>
              <w:spacing w:after="0"/>
              <w:rPr>
                <w:sz w:val="20"/>
                <w:szCs w:val="20"/>
                <w:color w:val="auto"/>
              </w:rPr>
            </w:pPr>
            <w:r>
              <w:rPr>
                <w:rFonts w:ascii="Arial" w:cs="Arial" w:eastAsia="Arial" w:hAnsi="Arial"/>
                <w:sz w:val="16"/>
                <w:szCs w:val="16"/>
                <w:b w:val="1"/>
                <w:bCs w:val="1"/>
                <w:color w:val="auto"/>
              </w:rPr>
              <w:t>Net Income</w:t>
            </w: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89"/>
              </w:rPr>
              <w:t>Shares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ind w:right="199"/>
              <w:spacing w:after="0"/>
              <w:rPr>
                <w:sz w:val="20"/>
                <w:szCs w:val="20"/>
                <w:color w:val="auto"/>
              </w:rPr>
            </w:pPr>
            <w:r>
              <w:rPr>
                <w:rFonts w:ascii="Arial" w:cs="Arial" w:eastAsia="Arial" w:hAnsi="Arial"/>
                <w:sz w:val="16"/>
                <w:szCs w:val="16"/>
                <w:b w:val="1"/>
                <w:bCs w:val="1"/>
                <w:color w:val="auto"/>
              </w:rPr>
              <w:t>EPS</w:t>
            </w:r>
          </w:p>
        </w:tc>
        <w:tc>
          <w:tcPr>
            <w:tcW w:w="120" w:type="dxa"/>
            <w:vAlign w:val="bottom"/>
          </w:tcPr>
          <w:p>
            <w:pPr>
              <w:spacing w:after="0"/>
              <w:rPr>
                <w:sz w:val="18"/>
                <w:szCs w:val="18"/>
                <w:color w:val="auto"/>
              </w:rPr>
            </w:pPr>
          </w:p>
        </w:tc>
        <w:tc>
          <w:tcPr>
            <w:tcW w:w="960" w:type="dxa"/>
            <w:vAlign w:val="bottom"/>
            <w:gridSpan w:val="3"/>
          </w:tcPr>
          <w:p>
            <w:pPr>
              <w:ind w:left="20"/>
              <w:spacing w:after="0"/>
              <w:rPr>
                <w:sz w:val="20"/>
                <w:szCs w:val="20"/>
                <w:color w:val="auto"/>
              </w:rPr>
            </w:pPr>
            <w:r>
              <w:rPr>
                <w:rFonts w:ascii="Arial" w:cs="Arial" w:eastAsia="Arial" w:hAnsi="Arial"/>
                <w:sz w:val="16"/>
                <w:szCs w:val="16"/>
                <w:b w:val="1"/>
                <w:bCs w:val="1"/>
                <w:color w:val="auto"/>
              </w:rPr>
              <w:t>Net Income</w:t>
            </w:r>
          </w:p>
        </w:tc>
        <w:tc>
          <w:tcPr>
            <w:tcW w:w="860" w:type="dxa"/>
            <w:vAlign w:val="bottom"/>
          </w:tcPr>
          <w:p>
            <w:pPr>
              <w:jc w:val="right"/>
              <w:ind w:right="11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ind w:right="199"/>
              <w:spacing w:after="0"/>
              <w:rPr>
                <w:sz w:val="20"/>
                <w:szCs w:val="20"/>
                <w:color w:val="auto"/>
              </w:rPr>
            </w:pPr>
            <w:r>
              <w:rPr>
                <w:rFonts w:ascii="Arial" w:cs="Arial" w:eastAsia="Arial" w:hAnsi="Arial"/>
                <w:sz w:val="16"/>
                <w:szCs w:val="16"/>
                <w:b w:val="1"/>
                <w:bCs w:val="1"/>
                <w:color w:val="auto"/>
              </w:rPr>
              <w:t>EPS</w:t>
            </w:r>
          </w:p>
        </w:tc>
        <w:tc>
          <w:tcPr>
            <w:tcW w:w="0" w:type="dxa"/>
            <w:vAlign w:val="bottom"/>
          </w:tcPr>
          <w:p>
            <w:pPr>
              <w:spacing w:after="0"/>
              <w:rPr>
                <w:sz w:val="1"/>
                <w:szCs w:val="1"/>
                <w:color w:val="auto"/>
              </w:rPr>
            </w:pPr>
          </w:p>
        </w:tc>
      </w:tr>
      <w:tr>
        <w:trPr>
          <w:trHeight w:val="199"/>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Basic EPS:</w:t>
            </w: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5,595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Arial" w:cs="Arial" w:eastAsia="Arial" w:hAnsi="Arial"/>
                <w:sz w:val="16"/>
                <w:szCs w:val="16"/>
                <w:color w:val="auto"/>
                <w:w w:val="99"/>
              </w:rPr>
              <w:t>Income allocated to common stock</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921</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6.05</w:t>
            </w:r>
          </w:p>
        </w:tc>
        <w:tc>
          <w:tcPr>
            <w:tcW w:w="12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4,985</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936</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5,537</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5.71</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620" w:type="dxa"/>
            <w:vAlign w:val="bottom"/>
            <w:shd w:val="clear" w:color="auto" w:fill="CCEEFF"/>
          </w:tcPr>
          <w:p>
            <w:pPr>
              <w:ind w:left="140"/>
              <w:spacing w:after="0" w:line="133" w:lineRule="exact"/>
              <w:rPr>
                <w:sz w:val="20"/>
                <w:szCs w:val="20"/>
                <w:color w:val="auto"/>
              </w:rPr>
            </w:pPr>
            <w:r>
              <w:rPr>
                <w:rFonts w:ascii="Arial" w:cs="Arial" w:eastAsia="Arial" w:hAnsi="Arial"/>
                <w:sz w:val="15"/>
                <w:szCs w:val="15"/>
                <w:color w:val="auto"/>
              </w:rPr>
              <w:t>Dilutive effect of stock compensation</w:t>
            </w: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plans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6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Diluted EPS:</w:t>
            </w: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62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60" w:type="dxa"/>
            <w:vAlign w:val="bottom"/>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5,595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5,017</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ind w:left="20"/>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5,580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Income allocated to RSUs</w:t>
            </w: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00" w:type="dxa"/>
            <w:vAlign w:val="bottom"/>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Arial" w:cs="Arial" w:eastAsia="Arial" w:hAnsi="Arial"/>
                <w:sz w:val="16"/>
                <w:szCs w:val="16"/>
                <w:color w:val="auto"/>
                <w:w w:val="99"/>
              </w:rPr>
              <w:t>Income allocated to common stock</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5,568</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933</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w:t>
            </w:r>
          </w:p>
        </w:tc>
        <w:tc>
          <w:tcPr>
            <w:tcW w:w="660" w:type="dxa"/>
            <w:vAlign w:val="bottom"/>
          </w:tcPr>
          <w:p>
            <w:pPr>
              <w:jc w:val="right"/>
              <w:spacing w:after="0"/>
              <w:rPr>
                <w:sz w:val="20"/>
                <w:szCs w:val="20"/>
                <w:color w:val="auto"/>
              </w:rPr>
            </w:pPr>
            <w:r>
              <w:rPr>
                <w:rFonts w:ascii="Arial" w:cs="Arial" w:eastAsia="Arial" w:hAnsi="Arial"/>
                <w:sz w:val="16"/>
                <w:szCs w:val="16"/>
                <w:b w:val="1"/>
                <w:bCs w:val="1"/>
                <w:color w:val="auto"/>
              </w:rPr>
              <w:t>5.97</w:t>
            </w:r>
          </w:p>
        </w:tc>
        <w:tc>
          <w:tcPr>
            <w:tcW w:w="120" w:type="dxa"/>
            <w:vAlign w:val="bottom"/>
          </w:tcPr>
          <w:p>
            <w:pPr>
              <w:spacing w:after="0"/>
              <w:rPr>
                <w:sz w:val="18"/>
                <w:szCs w:val="18"/>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4,986</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5,538</w:t>
            </w:r>
          </w:p>
        </w:tc>
        <w:tc>
          <w:tcPr>
            <w:tcW w:w="1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5.59</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Potentially dilutive securities representing 4 million, 6 million and 4 million shares of common stock that were outstanding in 2020, 2019 and 2018 respectively, were excluded from the computation of diluted earnings per common share during these periods because their effect would have been anti-dilutive.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Investments</w:t>
      </w:r>
    </w:p>
    <w:p>
      <w:pPr>
        <w:spacing w:after="0" w:line="23" w:lineRule="exact"/>
        <w:rPr>
          <w:sz w:val="20"/>
          <w:szCs w:val="20"/>
          <w:color w:val="auto"/>
        </w:rPr>
      </w:pPr>
    </w:p>
    <w:p>
      <w:pPr>
        <w:ind w:right="460"/>
        <w:spacing w:after="0" w:line="260" w:lineRule="auto"/>
        <w:rPr>
          <w:sz w:val="20"/>
          <w:szCs w:val="20"/>
          <w:color w:val="auto"/>
        </w:rPr>
      </w:pPr>
      <w:r>
        <w:rPr>
          <w:rFonts w:ascii="Arial" w:cs="Arial" w:eastAsia="Arial" w:hAnsi="Arial"/>
          <w:sz w:val="18"/>
          <w:szCs w:val="18"/>
          <w:color w:val="auto"/>
        </w:rPr>
        <w:t>We present investments on our Consolidated Balance Sheets as cash equivalents, short-term investments or long-term investments, which are detailed below. See Note 6 for additional information.</w:t>
      </w:r>
    </w:p>
    <w:p>
      <w:pPr>
        <w:spacing w:after="0" w:line="185" w:lineRule="exact"/>
        <w:rPr>
          <w:sz w:val="20"/>
          <w:szCs w:val="20"/>
          <w:color w:val="auto"/>
        </w:rPr>
      </w:pPr>
    </w:p>
    <w:p>
      <w:pPr>
        <w:ind w:left="660" w:right="220" w:hanging="328"/>
        <w:spacing w:after="0" w:line="25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Cash equivalents and short-term investments </w:t>
      </w:r>
      <w:r>
        <w:rPr>
          <w:rFonts w:ascii="Arial" w:cs="Arial" w:eastAsia="Arial" w:hAnsi="Arial"/>
          <w:sz w:val="18"/>
          <w:szCs w:val="18"/>
          <w:color w:val="auto"/>
        </w:rPr>
        <w:t>– We consider investments in available-for-sale debt securities with maturities of 90 days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date of our investment to be cash equivalents. We consider investments in available-for-sale debt securities with maturities beyond 90 days from the date of our investment as being available for use in current operations and include them in short-term investments. The primary objectives of our cash equivalent and short-term investment activities are to preserve capital and maintain liquidity while generating appropriate returns.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2" w:name="page33"/>
    <w:bookmarkEnd w:id="32"/>
    <w:p>
      <w:pPr>
        <w:ind w:left="660" w:hanging="328"/>
        <w:spacing w:after="0"/>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 xml:space="preserve">Long-term investments </w:t>
      </w:r>
      <w:r>
        <w:rPr>
          <w:rFonts w:ascii="Arial" w:cs="Arial" w:eastAsia="Arial" w:hAnsi="Arial"/>
          <w:sz w:val="17"/>
          <w:szCs w:val="17"/>
          <w:color w:val="auto"/>
        </w:rPr>
        <w:t>– Long-term investments consist of mutual funds, venture capital funds and non-marketable equity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Inventories</w:t>
      </w:r>
    </w:p>
    <w:p>
      <w:pPr>
        <w:spacing w:after="0" w:line="23"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Inventories are stated at the lower of cost or estimated net realizable value. Cost is generally computed on a currently adjusted standard cost basis, which approximates cost on a first-in, first-out basis. Standard cost is based on the normal utilization of installed factory capacity. Cost associated with underutilization of capacity is expensed as incurred. Inventory held at consignment locations is included in our finished goods inventory.</w:t>
      </w:r>
    </w:p>
    <w:p>
      <w:pPr>
        <w:spacing w:after="0" w:line="15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review inventory quarterly for salability and obsolescence. A statistical allowance is provided for inventory considered unlikely to be sold. The statistical allowance is based on an analysis of historical disposal activity, historical customer shipments, as well as estimated future sales. A specific allowance for each material type will be carried if there is a significant event not captured by the statistical allowance. We write off inventory in the period in which disposal occurs.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Property, plant and equipment; acquisition-related intangibles; and other capitalized costs</w:t>
      </w:r>
    </w:p>
    <w:p>
      <w:pPr>
        <w:spacing w:after="0" w:line="23" w:lineRule="exact"/>
        <w:rPr>
          <w:sz w:val="20"/>
          <w:szCs w:val="20"/>
          <w:color w:val="auto"/>
        </w:rPr>
      </w:pPr>
    </w:p>
    <w:p>
      <w:pPr>
        <w:ind w:right="80"/>
        <w:spacing w:after="0" w:line="292" w:lineRule="auto"/>
        <w:rPr>
          <w:sz w:val="20"/>
          <w:szCs w:val="20"/>
          <w:color w:val="auto"/>
        </w:rPr>
      </w:pPr>
      <w:r>
        <w:rPr>
          <w:rFonts w:ascii="Arial" w:cs="Arial" w:eastAsia="Arial" w:hAnsi="Arial"/>
          <w:sz w:val="16"/>
          <w:szCs w:val="16"/>
          <w:color w:val="auto"/>
        </w:rPr>
        <w:t>Property, plant and equipment are stated at cost and depreciated over their estimated useful lives using the straight-line method. Our cost basis includes certain assets acquired in business combinations that were initially recorded at fair value as of the date of acquisition. Leasehold improvements are amortized using the straight-line method over the shorter of the remaining lease term or the estimated useful lives of the improvements. We amortize acquisition-related intangibles on a straight-line basis over the estimated economic life of the assets. Capitalized software licenses generally are amortized on a straight-line basis over the term of the license. Fully depreciated or amortized assets are written off against accumulated depreciation or amortization.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Impairments of long-lived assets</w:t>
      </w:r>
    </w:p>
    <w:p>
      <w:pPr>
        <w:spacing w:after="0" w:line="2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regularly review whether facts or circumstances exist that indicate the carrying values of property, plant and equipment or other long-lived assets, including intangible assets, are impaired. We assess the recoverability of assets by comparing the projected undiscounted net cash flows associated with those assets to their respective carrying amounts. Any impairment charge is based on the excess of the carrying amount over the fair value of those assets. Fair value is determined by available market valuations, if applicable, or by discounted cash flows.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Goodwill</w:t>
      </w:r>
    </w:p>
    <w:p>
      <w:pPr>
        <w:spacing w:after="0" w:line="2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Goodwill is reviewed for impairment annually or more frequently if certain impairment indicators arise. We perform our annual goodwill impairment test as of October 1 for our reporting units, which compares the fair value for each reporting unit to its associated carrying value, including goodwill. See Note 7 for additional information.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functional currency for our non-U.S. subsidiaries is the U.S. dollar. Accounts recorded in currencies other than the U.S. dollar are remeasured into the functional currency. Current assets (except inventories), deferred taxes, other assets, current liabilities and long-term liabilities are remeasured at exchange rates in effect at the end of each reporting period. Property, plant and equipment with associated depreciation and inventories are valued at historical exchange rates. Revenue and expense accounts other than depreciation for each month are remeasured at the appropriate daily rate of exchange. Currency exchange gains and losses from remeasurement are credited or charged to OI&amp;E.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and hedging</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use derivative financial instruments to manage exposure to foreign exchange risk. These instruments are primarily forward foreign currency exchange contracts, which are used as economic hedges to reduce the earnings impact that exchange rate fluctuations may have on our non-U.S. dollar net balance sheet exposures. Gains and losses from changes in the fair value of these forward foreign currency exchange contracts are credited or charged to OI&amp;E. We do not apply hedge accounting to our foreign currency derivative instruments.</w:t>
      </w:r>
    </w:p>
    <w:p>
      <w:pPr>
        <w:spacing w:after="0" w:line="193"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We are exposed to variability in compensation charges related to certain deferred compensation obligations to employees. We use total return swaps to economically hedge this exposure and offset the related compensation expense, recognizing changes in the value of the swaps and the related deferred compensation liabilities in SG&amp;A.</w:t>
      </w:r>
    </w:p>
    <w:p>
      <w:pPr>
        <w:spacing w:after="0" w:line="18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connection with the issuance of long-term debt, we may use financial derivatives such as treasury-rate lock agreements that are recognized in AOCI and amortized over the life of the related debt. The results of these derivative transactions have not been material.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1" w:right="379" w:bottom="1440" w:gutter="0" w:footer="0" w:header="0"/>
        </w:sectPr>
      </w:pPr>
    </w:p>
    <w:bookmarkStart w:id="33" w:name="page34"/>
    <w:bookmarkEnd w:id="33"/>
    <w:p>
      <w:pPr>
        <w:spacing w:after="0"/>
        <w:rPr>
          <w:sz w:val="20"/>
          <w:szCs w:val="20"/>
          <w:color w:val="auto"/>
        </w:rPr>
      </w:pPr>
      <w:r>
        <w:rPr>
          <w:rFonts w:ascii="Arial" w:cs="Arial" w:eastAsia="Arial" w:hAnsi="Arial"/>
          <w:sz w:val="18"/>
          <w:szCs w:val="18"/>
          <w:i w:val="1"/>
          <w:iCs w:val="1"/>
          <w:color w:val="auto"/>
        </w:rPr>
        <w:t>Changes in accounting standards – adopted standards for current period</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adopted the following Accounting Standards Updates (ASU) during the current period, none of which had a material impact on our financial position or results of operations.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960" w:type="dxa"/>
            <w:vAlign w:val="bottom"/>
            <w:tcBorders>
              <w:bottom w:val="single" w:sz="8" w:color="auto"/>
            </w:tcBorders>
          </w:tcPr>
          <w:p>
            <w:pPr>
              <w:ind w:left="820"/>
              <w:spacing w:after="0"/>
              <w:rPr>
                <w:sz w:val="20"/>
                <w:szCs w:val="20"/>
                <w:color w:val="auto"/>
              </w:rPr>
            </w:pPr>
            <w:r>
              <w:rPr>
                <w:rFonts w:ascii="Arial" w:cs="Arial" w:eastAsia="Arial" w:hAnsi="Arial"/>
                <w:sz w:val="16"/>
                <w:szCs w:val="16"/>
                <w:b w:val="1"/>
                <w:bCs w:val="1"/>
                <w:color w:val="auto"/>
              </w:rPr>
              <w:t>ASU</w:t>
            </w:r>
          </w:p>
        </w:tc>
        <w:tc>
          <w:tcPr>
            <w:tcW w:w="100" w:type="dxa"/>
            <w:vAlign w:val="bottom"/>
            <w:tcBorders>
              <w:bottom w:val="single" w:sz="8" w:color="CCEEFF"/>
            </w:tcBorders>
          </w:tcPr>
          <w:p>
            <w:pPr>
              <w:spacing w:after="0"/>
              <w:rPr>
                <w:sz w:val="18"/>
                <w:szCs w:val="18"/>
                <w:color w:val="auto"/>
              </w:rPr>
            </w:pPr>
          </w:p>
        </w:tc>
        <w:tc>
          <w:tcPr>
            <w:tcW w:w="7140" w:type="dxa"/>
            <w:vAlign w:val="bottom"/>
            <w:tcBorders>
              <w:bottom w:val="single" w:sz="8" w:color="auto"/>
            </w:tcBorders>
          </w:tcPr>
          <w:p>
            <w:pPr>
              <w:ind w:left="3180"/>
              <w:spacing w:after="0"/>
              <w:rPr>
                <w:sz w:val="20"/>
                <w:szCs w:val="20"/>
                <w:color w:val="auto"/>
              </w:rPr>
            </w:pPr>
            <w:r>
              <w:rPr>
                <w:rFonts w:ascii="Arial" w:cs="Arial" w:eastAsia="Arial" w:hAnsi="Arial"/>
                <w:sz w:val="16"/>
                <w:szCs w:val="16"/>
                <w:b w:val="1"/>
                <w:bCs w:val="1"/>
                <w:color w:val="auto"/>
              </w:rPr>
              <w:t>Description</w:t>
            </w:r>
          </w:p>
        </w:tc>
        <w:tc>
          <w:tcPr>
            <w:tcW w:w="10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Adopted Date</w:t>
            </w:r>
          </w:p>
        </w:tc>
      </w:tr>
      <w:tr>
        <w:trPr>
          <w:trHeight w:val="213"/>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ASU No. 2016-13</w:t>
            </w: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w w:val="94"/>
              </w:rPr>
              <w:t>Financial Instruments – Credit Losses (Topic 326): Measurement of Credit Losses on Financial Instruments</w:t>
            </w:r>
          </w:p>
        </w:tc>
        <w:tc>
          <w:tcPr>
            <w:tcW w:w="19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0"/>
              </w:rPr>
              <w:t>January 1, 2020</w:t>
            </w:r>
          </w:p>
        </w:tc>
      </w:tr>
      <w:tr>
        <w:trPr>
          <w:trHeight w:val="166"/>
        </w:trPr>
        <w:tc>
          <w:tcPr>
            <w:tcW w:w="2060" w:type="dxa"/>
            <w:vAlign w:val="bottom"/>
            <w:gridSpan w:val="2"/>
          </w:tcPr>
          <w:p>
            <w:pPr>
              <w:ind w:left="20"/>
              <w:spacing w:after="0" w:line="166" w:lineRule="exact"/>
              <w:rPr>
                <w:sz w:val="20"/>
                <w:szCs w:val="20"/>
                <w:color w:val="auto"/>
              </w:rPr>
            </w:pPr>
            <w:r>
              <w:rPr>
                <w:rFonts w:ascii="Arial" w:cs="Arial" w:eastAsia="Arial" w:hAnsi="Arial"/>
                <w:sz w:val="16"/>
                <w:szCs w:val="16"/>
                <w:color w:val="auto"/>
              </w:rPr>
              <w:t>ASU No. 2018-13</w:t>
            </w:r>
          </w:p>
        </w:tc>
        <w:tc>
          <w:tcPr>
            <w:tcW w:w="7240" w:type="dxa"/>
            <w:vAlign w:val="bottom"/>
            <w:gridSpan w:val="2"/>
          </w:tcPr>
          <w:p>
            <w:pPr>
              <w:ind w:left="20"/>
              <w:spacing w:after="0" w:line="166" w:lineRule="exact"/>
              <w:rPr>
                <w:sz w:val="20"/>
                <w:szCs w:val="20"/>
                <w:color w:val="auto"/>
              </w:rPr>
            </w:pPr>
            <w:r>
              <w:rPr>
                <w:rFonts w:ascii="Arial" w:cs="Arial" w:eastAsia="Arial" w:hAnsi="Arial"/>
                <w:sz w:val="16"/>
                <w:szCs w:val="16"/>
                <w:i w:val="1"/>
                <w:iCs w:val="1"/>
                <w:color w:val="auto"/>
                <w:w w:val="94"/>
              </w:rPr>
              <w:t>Fair Value Measurement (Topic 820): Disclosure Framework – Changes to the Disclosure Requirements for</w:t>
            </w:r>
          </w:p>
        </w:tc>
        <w:tc>
          <w:tcPr>
            <w:tcW w:w="1940" w:type="dxa"/>
            <w:vAlign w:val="bottom"/>
          </w:tcPr>
          <w:p>
            <w:pPr>
              <w:jc w:val="center"/>
              <w:spacing w:after="0" w:line="166" w:lineRule="exact"/>
              <w:rPr>
                <w:sz w:val="20"/>
                <w:szCs w:val="20"/>
                <w:color w:val="auto"/>
              </w:rPr>
            </w:pPr>
            <w:r>
              <w:rPr>
                <w:rFonts w:ascii="Arial" w:cs="Arial" w:eastAsia="Arial" w:hAnsi="Arial"/>
                <w:sz w:val="16"/>
                <w:szCs w:val="16"/>
                <w:color w:val="auto"/>
                <w:w w:val="90"/>
              </w:rPr>
              <w:t>January 1, 2020</w:t>
            </w:r>
          </w:p>
        </w:tc>
      </w:tr>
      <w:tr>
        <w:trPr>
          <w:trHeight w:val="209"/>
        </w:trPr>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40" w:type="dxa"/>
            <w:vAlign w:val="bottom"/>
            <w:gridSpan w:val="2"/>
          </w:tcPr>
          <w:p>
            <w:pPr>
              <w:ind w:left="20"/>
              <w:spacing w:after="0"/>
              <w:rPr>
                <w:sz w:val="20"/>
                <w:szCs w:val="20"/>
                <w:color w:val="auto"/>
              </w:rPr>
            </w:pPr>
            <w:r>
              <w:rPr>
                <w:rFonts w:ascii="Arial" w:cs="Arial" w:eastAsia="Arial" w:hAnsi="Arial"/>
                <w:sz w:val="16"/>
                <w:szCs w:val="16"/>
                <w:i w:val="1"/>
                <w:iCs w:val="1"/>
                <w:color w:val="auto"/>
              </w:rPr>
              <w:t>Fair Value Measurement</w:t>
            </w:r>
          </w:p>
        </w:tc>
        <w:tc>
          <w:tcPr>
            <w:tcW w:w="1940" w:type="dxa"/>
            <w:vAlign w:val="bottom"/>
          </w:tcPr>
          <w:p>
            <w:pPr>
              <w:spacing w:after="0"/>
              <w:rPr>
                <w:sz w:val="18"/>
                <w:szCs w:val="18"/>
                <w:color w:val="auto"/>
              </w:rPr>
            </w:pPr>
          </w:p>
        </w:tc>
      </w:tr>
      <w:tr>
        <w:trPr>
          <w:trHeight w:val="169"/>
        </w:trPr>
        <w:tc>
          <w:tcPr>
            <w:tcW w:w="206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color w:val="auto"/>
              </w:rPr>
              <w:t>ASU No. 2018-15</w:t>
            </w:r>
          </w:p>
        </w:tc>
        <w:tc>
          <w:tcPr>
            <w:tcW w:w="7240" w:type="dxa"/>
            <w:vAlign w:val="bottom"/>
            <w:gridSpan w:val="2"/>
            <w:shd w:val="clear" w:color="auto" w:fill="CCEEFF"/>
          </w:tcPr>
          <w:p>
            <w:pPr>
              <w:ind w:left="20"/>
              <w:spacing w:after="0" w:line="169" w:lineRule="exact"/>
              <w:rPr>
                <w:sz w:val="20"/>
                <w:szCs w:val="20"/>
                <w:color w:val="auto"/>
              </w:rPr>
            </w:pPr>
            <w:r>
              <w:rPr>
                <w:rFonts w:ascii="Arial" w:cs="Arial" w:eastAsia="Arial" w:hAnsi="Arial"/>
                <w:sz w:val="16"/>
                <w:szCs w:val="16"/>
                <w:i w:val="1"/>
                <w:iCs w:val="1"/>
                <w:color w:val="auto"/>
                <w:w w:val="98"/>
              </w:rPr>
              <w:t>Intangibles – Goodwill and Other – Internal-Use Software (Subtopic 350-40): Customer’s Accounting for</w:t>
            </w:r>
          </w:p>
        </w:tc>
        <w:tc>
          <w:tcPr>
            <w:tcW w:w="1940" w:type="dxa"/>
            <w:vAlign w:val="bottom"/>
            <w:shd w:val="clear" w:color="auto" w:fill="CCEEFF"/>
          </w:tcPr>
          <w:p>
            <w:pPr>
              <w:jc w:val="center"/>
              <w:spacing w:after="0" w:line="169" w:lineRule="exact"/>
              <w:rPr>
                <w:sz w:val="20"/>
                <w:szCs w:val="20"/>
                <w:color w:val="auto"/>
              </w:rPr>
            </w:pPr>
            <w:r>
              <w:rPr>
                <w:rFonts w:ascii="Arial" w:cs="Arial" w:eastAsia="Arial" w:hAnsi="Arial"/>
                <w:sz w:val="16"/>
                <w:szCs w:val="16"/>
                <w:color w:val="auto"/>
                <w:w w:val="90"/>
              </w:rPr>
              <w:t>January 1, 2020</w:t>
            </w:r>
          </w:p>
        </w:tc>
      </w:tr>
      <w:tr>
        <w:trPr>
          <w:trHeight w:val="212"/>
        </w:trPr>
        <w:tc>
          <w:tcPr>
            <w:tcW w:w="1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40" w:type="dxa"/>
            <w:vAlign w:val="bottom"/>
            <w:gridSpan w:val="2"/>
            <w:shd w:val="clear" w:color="auto" w:fill="CCEEFF"/>
          </w:tcPr>
          <w:p>
            <w:pPr>
              <w:ind w:left="20"/>
              <w:spacing w:after="0"/>
              <w:rPr>
                <w:sz w:val="20"/>
                <w:szCs w:val="20"/>
                <w:color w:val="auto"/>
              </w:rPr>
            </w:pPr>
            <w:r>
              <w:rPr>
                <w:rFonts w:ascii="Arial" w:cs="Arial" w:eastAsia="Arial" w:hAnsi="Arial"/>
                <w:sz w:val="16"/>
                <w:szCs w:val="16"/>
                <w:i w:val="1"/>
                <w:iCs w:val="1"/>
                <w:color w:val="auto"/>
              </w:rPr>
              <w:t>Implementation Costs Incurred in a Cloud Computing Arrangement That Is a Service Contract</w:t>
            </w:r>
          </w:p>
        </w:tc>
        <w:tc>
          <w:tcPr>
            <w:tcW w:w="19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45"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Stock compensation</w:t>
      </w:r>
    </w:p>
    <w:p>
      <w:pPr>
        <w:spacing w:after="0" w:line="22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stock options outstanding to participants under long-term incentive plans. The option price per share may not be less than the fair market value of our common stock on the date of the grant. The options have a 10-year term, generally vest ratably over four years and continue to vest after the option recipient retires.</w:t>
      </w:r>
    </w:p>
    <w:p>
      <w:pPr>
        <w:spacing w:after="0" w:line="18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also have RSUs outstanding to participants under long-term incentive plans. Each RSU represents the right to receive one share of TI common stock, issued on the vesting date, which is generally four years after the date of grant. RSUs continue to vest after the recipient retires. Holders of RSUs receive an annual cash payment equivalent to the dividends paid on our common stock.</w:t>
      </w:r>
    </w:p>
    <w:p>
      <w:pPr>
        <w:spacing w:after="0" w:line="18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We have options and RSUs outstanding to non-employee directors under director compensation plans. The plans generally provide for annual grants of stock options and RSUs, a one-time grant of RSUs to each new non-employee director and the issuance of TI common stock upon the distribution of stock units credited to director deferred compensation accounts.</w:t>
      </w:r>
    </w:p>
    <w:p>
      <w:pPr>
        <w:spacing w:after="0" w:line="184"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also have an employee stock purchase plan (ESPP) under which options are offered to all eligible employees in amounts based on a percentage of the employee’s compensation, subject to a cap. Under the plan, the option price per share is 85% of the fair market value on the exercise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Total stock compensation expense recognized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right"/>
              <w:spacing w:after="0"/>
              <w:rPr>
                <w:sz w:val="20"/>
                <w:szCs w:val="20"/>
                <w:color w:val="auto"/>
              </w:rPr>
            </w:pPr>
            <w:r>
              <w:rPr>
                <w:rFonts w:ascii="Arial" w:cs="Arial" w:eastAsia="Arial" w:hAnsi="Arial"/>
                <w:sz w:val="16"/>
                <w:szCs w:val="16"/>
                <w:b w:val="1"/>
                <w:bCs w:val="1"/>
                <w:color w:val="auto"/>
                <w:w w:val="91"/>
              </w:rPr>
              <w:t>For Years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R&amp;D</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SG&amp;A</w:t>
            </w: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r>
      <w:tr>
        <w:trPr>
          <w:trHeight w:val="212"/>
        </w:trPr>
        <w:tc>
          <w:tcPr>
            <w:tcW w:w="7420" w:type="dxa"/>
            <w:vAlign w:val="bottom"/>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224</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217</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w:t>
            </w:r>
          </w:p>
        </w:tc>
      </w:tr>
      <w:tr>
        <w:trPr>
          <w:trHeight w:val="20"/>
        </w:trPr>
        <w:tc>
          <w:tcPr>
            <w:tcW w:w="74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These amounts include expenses related to non-qualified stock options, RSUs and stock options offered under our ESPP and are net of estimated forfeitures.</w:t>
      </w:r>
    </w:p>
    <w:p>
      <w:pPr>
        <w:spacing w:after="0" w:line="170"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We recognize compensation expense for non-qualified stock options and RSUs on a straight-line basis over the minimum service period required for vesting of the award, adjusting for estimated forfeitures based on historical activity. Awards issued to employees who are retirement eligible or nearing retirement eligibility are expensed on an accelerated basis. Options issued under our ESPP are expensed over a three-month period.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i w:val="1"/>
          <w:iCs w:val="1"/>
          <w:color w:val="auto"/>
        </w:rPr>
        <w:t>Fair-value methods and assumptions</w:t>
      </w:r>
    </w:p>
    <w:p>
      <w:pPr>
        <w:spacing w:after="0" w:line="22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account for all awards granted under our various stock compensation plans at fair value. We estimate the fair values for non-qualified stock options using the Black-Scholes-Merton option-pricing model with the following weighted average assumptions: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right"/>
              <w:ind w:right="24"/>
              <w:spacing w:after="0"/>
              <w:rPr>
                <w:sz w:val="20"/>
                <w:szCs w:val="20"/>
                <w:color w:val="auto"/>
              </w:rPr>
            </w:pPr>
            <w:r>
              <w:rPr>
                <w:rFonts w:ascii="Arial" w:cs="Arial" w:eastAsia="Arial" w:hAnsi="Arial"/>
                <w:sz w:val="16"/>
                <w:szCs w:val="16"/>
                <w:b w:val="1"/>
                <w:bCs w:val="1"/>
                <w:color w:val="auto"/>
              </w:rPr>
              <w:t>For Years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708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FF0F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FF0FC"/>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212"/>
        </w:trPr>
        <w:tc>
          <w:tcPr>
            <w:tcW w:w="708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grant date fair value,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25.55</w:t>
            </w:r>
          </w:p>
        </w:tc>
        <w:tc>
          <w:tcPr>
            <w:tcW w:w="120" w:type="dxa"/>
            <w:vAlign w:val="bottom"/>
            <w:shd w:val="clear" w:color="auto" w:fill="CFF0FC"/>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22.08</w:t>
            </w:r>
          </w:p>
        </w:tc>
        <w:tc>
          <w:tcPr>
            <w:tcW w:w="120" w:type="dxa"/>
            <w:vAlign w:val="bottom"/>
            <w:shd w:val="clear" w:color="auto" w:fill="CFF0FC"/>
          </w:tcPr>
          <w:p>
            <w:pPr>
              <w:spacing w:after="0"/>
              <w:rPr>
                <w:sz w:val="18"/>
                <w:szCs w:val="18"/>
                <w:color w:val="auto"/>
              </w:rPr>
            </w:pP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23.20</w:t>
            </w:r>
          </w:p>
        </w:tc>
      </w:tr>
      <w:tr>
        <w:trPr>
          <w:trHeight w:val="213"/>
        </w:trPr>
        <w:tc>
          <w:tcPr>
            <w:tcW w:w="7080" w:type="dxa"/>
            <w:vAlign w:val="bottom"/>
          </w:tcPr>
          <w:p>
            <w:pPr>
              <w:ind w:left="20"/>
              <w:spacing w:after="0"/>
              <w:rPr>
                <w:sz w:val="20"/>
                <w:szCs w:val="20"/>
                <w:color w:val="auto"/>
              </w:rPr>
            </w:pPr>
            <w:r>
              <w:rPr>
                <w:rFonts w:ascii="Arial" w:cs="Arial" w:eastAsia="Arial" w:hAnsi="Arial"/>
                <w:sz w:val="16"/>
                <w:szCs w:val="16"/>
                <w:color w:val="auto"/>
              </w:rPr>
              <w:t>Weighted average assumptions used:</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26 %</w:t>
            </w:r>
          </w:p>
        </w:tc>
        <w:tc>
          <w:tcPr>
            <w:tcW w:w="120" w:type="dxa"/>
            <w:vAlign w:val="bottom"/>
            <w:shd w:val="clear" w:color="auto" w:fill="CFF0FC"/>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26 %</w:t>
            </w:r>
          </w:p>
        </w:tc>
        <w:tc>
          <w:tcPr>
            <w:tcW w:w="120" w:type="dxa"/>
            <w:vAlign w:val="bottom"/>
            <w:shd w:val="clear" w:color="auto" w:fill="CFF0FC"/>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23 %</w:t>
            </w:r>
          </w:p>
        </w:tc>
      </w:tr>
      <w:tr>
        <w:trPr>
          <w:trHeight w:val="213"/>
        </w:trPr>
        <w:tc>
          <w:tcPr>
            <w:tcW w:w="7080" w:type="dxa"/>
            <w:vAlign w:val="bottom"/>
          </w:tcPr>
          <w:p>
            <w:pPr>
              <w:ind w:left="140"/>
              <w:spacing w:after="0"/>
              <w:rPr>
                <w:sz w:val="20"/>
                <w:szCs w:val="20"/>
                <w:color w:val="auto"/>
              </w:rPr>
            </w:pPr>
            <w:r>
              <w:rPr>
                <w:rFonts w:ascii="Arial" w:cs="Arial" w:eastAsia="Arial" w:hAnsi="Arial"/>
                <w:sz w:val="16"/>
                <w:szCs w:val="16"/>
                <w:color w:val="auto"/>
              </w:rPr>
              <w:t>Expected lives (in years)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6.8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19"/>
        </w:trPr>
        <w:tc>
          <w:tcPr>
            <w:tcW w:w="7080" w:type="dxa"/>
            <w:vAlign w:val="bottom"/>
            <w:shd w:val="clear" w:color="auto" w:fill="CFF0FC"/>
          </w:tcPr>
          <w:p>
            <w:pPr>
              <w:ind w:left="140"/>
              <w:spacing w:after="0"/>
              <w:rPr>
                <w:sz w:val="20"/>
                <w:szCs w:val="20"/>
                <w:color w:val="auto"/>
              </w:rPr>
            </w:pPr>
            <w:r>
              <w:rPr>
                <w:rFonts w:ascii="Arial" w:cs="Arial" w:eastAsia="Arial" w:hAnsi="Arial"/>
                <w:sz w:val="16"/>
                <w:szCs w:val="16"/>
                <w:color w:val="auto"/>
              </w:rPr>
              <w:t>Risk-free interest rates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1.53 %</w:t>
            </w:r>
          </w:p>
        </w:tc>
        <w:tc>
          <w:tcPr>
            <w:tcW w:w="120" w:type="dxa"/>
            <w:vAlign w:val="bottom"/>
            <w:shd w:val="clear" w:color="auto" w:fill="CFF0FC"/>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120" w:type="dxa"/>
            <w:vAlign w:val="bottom"/>
            <w:shd w:val="clear" w:color="auto" w:fill="CFF0FC"/>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2.57 %</w:t>
            </w:r>
          </w:p>
        </w:tc>
      </w:tr>
      <w:tr>
        <w:trPr>
          <w:trHeight w:val="210"/>
        </w:trPr>
        <w:tc>
          <w:tcPr>
            <w:tcW w:w="7080" w:type="dxa"/>
            <w:vAlign w:val="bottom"/>
          </w:tcPr>
          <w:p>
            <w:pPr>
              <w:ind w:left="140"/>
              <w:spacing w:after="0"/>
              <w:rPr>
                <w:sz w:val="20"/>
                <w:szCs w:val="20"/>
                <w:color w:val="auto"/>
              </w:rPr>
            </w:pPr>
            <w:r>
              <w:rPr>
                <w:rFonts w:ascii="Arial" w:cs="Arial" w:eastAsia="Arial" w:hAnsi="Arial"/>
                <w:sz w:val="16"/>
                <w:szCs w:val="16"/>
                <w:color w:val="auto"/>
              </w:rPr>
              <w:t>Expected dividend yields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2.76 %</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2.95 %</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2.25 %</w:t>
            </w:r>
          </w:p>
        </w:tc>
      </w:tr>
    </w:tbl>
    <w:p>
      <w:pPr>
        <w:spacing w:after="0" w:line="20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determine expected volatility on all options granted using available implied volatility rates. We believe that market-based measures of implied volatility are currently the best available indicators of the expected volatility used in these estimates.</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determine expected lives of options based on the historical option exercise experience of our optionees using a rolling 10-year average. We believe the historical experience method is the best estimate of future exercise patterns currently available.</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70"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Expected dividend yields are based on the annualized approved quarterly dividend rate and the current market price of our common stock at the time of grant. No assumption for a future dividend rate change is included unless there is an approved plan to change the dividend in the near term.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per share of RSUs is determined based on the closing price of our common stock on the date of grant.</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ESPP is a discount-purchase plan and consequently the Black-Scholes-Merton option-pricing model is not used to determine the fair value per share of these awards. The fair value per share under this plan equals the amount of the discount.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incentive and director compensation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option and RSU transactions under our long-term incentive and director compensation plans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620" w:type="dxa"/>
            <w:vAlign w:val="bottom"/>
          </w:tcPr>
          <w:p>
            <w:pPr>
              <w:spacing w:after="0"/>
              <w:rPr>
                <w:sz w:val="18"/>
                <w:szCs w:val="18"/>
                <w:color w:val="auto"/>
              </w:rPr>
            </w:pPr>
          </w:p>
        </w:tc>
        <w:tc>
          <w:tcPr>
            <w:tcW w:w="1880" w:type="dxa"/>
            <w:vAlign w:val="bottom"/>
            <w:tcBorders>
              <w:bottom w:val="single" w:sz="8" w:color="auto"/>
            </w:tcBorders>
            <w:gridSpan w:val="3"/>
          </w:tcPr>
          <w:p>
            <w:pPr>
              <w:ind w:left="900"/>
              <w:spacing w:after="0"/>
              <w:rPr>
                <w:sz w:val="20"/>
                <w:szCs w:val="20"/>
                <w:color w:val="auto"/>
              </w:rPr>
            </w:pPr>
            <w:r>
              <w:rPr>
                <w:rFonts w:ascii="Arial" w:cs="Arial" w:eastAsia="Arial" w:hAnsi="Arial"/>
                <w:sz w:val="16"/>
                <w:szCs w:val="16"/>
                <w:b w:val="1"/>
                <w:bCs w:val="1"/>
                <w:color w:val="auto"/>
                <w:w w:val="88"/>
              </w:rPr>
              <w:t>Stock Options</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RSUs</w:t>
            </w:r>
          </w:p>
        </w:tc>
        <w:tc>
          <w:tcPr>
            <w:tcW w:w="0" w:type="dxa"/>
            <w:vAlign w:val="bottom"/>
          </w:tcPr>
          <w:p>
            <w:pPr>
              <w:spacing w:after="0"/>
              <w:rPr>
                <w:sz w:val="1"/>
                <w:szCs w:val="1"/>
                <w:color w:val="auto"/>
              </w:rPr>
            </w:pPr>
          </w:p>
        </w:tc>
      </w:tr>
      <w:tr>
        <w:trPr>
          <w:trHeight w:val="158"/>
        </w:trPr>
        <w:tc>
          <w:tcPr>
            <w:tcW w:w="56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ind w:left="20"/>
              <w:spacing w:after="0" w:line="158" w:lineRule="exact"/>
              <w:rPr>
                <w:sz w:val="20"/>
                <w:szCs w:val="20"/>
                <w:color w:val="auto"/>
              </w:rPr>
            </w:pPr>
            <w:r>
              <w:rPr>
                <w:rFonts w:ascii="Arial" w:cs="Arial" w:eastAsia="Arial" w:hAnsi="Arial"/>
                <w:sz w:val="16"/>
                <w:szCs w:val="16"/>
                <w:b w:val="1"/>
                <w:bCs w:val="1"/>
                <w:color w:val="auto"/>
                <w:w w:val="91"/>
              </w:rPr>
              <w:t>Weighted Average</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tcPr>
          <w:p>
            <w:pPr>
              <w:jc w:val="center"/>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5620" w:type="dxa"/>
            <w:vAlign w:val="bottom"/>
          </w:tcPr>
          <w:p>
            <w:pPr>
              <w:spacing w:after="0"/>
              <w:rPr>
                <w:sz w:val="14"/>
                <w:szCs w:val="14"/>
                <w:color w:val="auto"/>
              </w:rPr>
            </w:pPr>
          </w:p>
        </w:tc>
        <w:tc>
          <w:tcPr>
            <w:tcW w:w="13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4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9"/>
              </w:rPr>
              <w:t>Exercise Price per</w:t>
            </w:r>
          </w:p>
        </w:tc>
        <w:tc>
          <w:tcPr>
            <w:tcW w:w="13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jc w:val="center"/>
              <w:ind w:right="19"/>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w w:val="89"/>
              </w:rPr>
              <w:t>Share</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w w:val="92"/>
              </w:rPr>
              <w:t>Value per Share</w:t>
            </w:r>
          </w:p>
        </w:tc>
        <w:tc>
          <w:tcPr>
            <w:tcW w:w="0" w:type="dxa"/>
            <w:vAlign w:val="bottom"/>
          </w:tcPr>
          <w:p>
            <w:pPr>
              <w:spacing w:after="0"/>
              <w:rPr>
                <w:sz w:val="1"/>
                <w:szCs w:val="1"/>
                <w:color w:val="auto"/>
              </w:rPr>
            </w:pPr>
          </w:p>
        </w:tc>
      </w:tr>
      <w:tr>
        <w:trPr>
          <w:trHeight w:val="212"/>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grants, December 31, 2019</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32,493,944</w:t>
            </w:r>
          </w:p>
        </w:tc>
        <w:tc>
          <w:tcPr>
            <w:tcW w:w="5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66.57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5,897,800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79.62</w:t>
            </w:r>
          </w:p>
        </w:tc>
        <w:tc>
          <w:tcPr>
            <w:tcW w:w="0" w:type="dxa"/>
            <w:vAlign w:val="bottom"/>
          </w:tcPr>
          <w:p>
            <w:pPr>
              <w:spacing w:after="0"/>
              <w:rPr>
                <w:sz w:val="1"/>
                <w:szCs w:val="1"/>
                <w:color w:val="auto"/>
              </w:rPr>
            </w:pPr>
          </w:p>
        </w:tc>
      </w:tr>
      <w:tr>
        <w:trPr>
          <w:trHeight w:val="213"/>
        </w:trPr>
        <w:tc>
          <w:tcPr>
            <w:tcW w:w="562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4,253,606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130.48</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b w:val="1"/>
                <w:bCs w:val="1"/>
                <w:color w:val="auto"/>
              </w:rPr>
              <w:t>1,005,778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b w:val="1"/>
                <w:bCs w:val="1"/>
                <w:color w:val="auto"/>
              </w:rPr>
              <w:t>130.59</w:t>
            </w:r>
          </w:p>
        </w:tc>
        <w:tc>
          <w:tcPr>
            <w:tcW w:w="0" w:type="dxa"/>
            <w:vAlign w:val="bottom"/>
          </w:tcPr>
          <w:p>
            <w:pPr>
              <w:spacing w:after="0"/>
              <w:rPr>
                <w:sz w:val="1"/>
                <w:szCs w:val="1"/>
                <w:color w:val="auto"/>
              </w:rPr>
            </w:pPr>
          </w:p>
        </w:tc>
      </w:tr>
      <w:tr>
        <w:trPr>
          <w:trHeight w:val="219"/>
        </w:trPr>
        <w:tc>
          <w:tcPr>
            <w:tcW w:w="56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Stock options exercised/RSUs vested</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(8,392,354)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53.28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(2,034,933)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53.88</w:t>
            </w:r>
          </w:p>
        </w:tc>
        <w:tc>
          <w:tcPr>
            <w:tcW w:w="0" w:type="dxa"/>
            <w:vAlign w:val="bottom"/>
          </w:tcPr>
          <w:p>
            <w:pPr>
              <w:spacing w:after="0"/>
              <w:rPr>
                <w:sz w:val="1"/>
                <w:szCs w:val="1"/>
                <w:color w:val="auto"/>
              </w:rPr>
            </w:pPr>
          </w:p>
        </w:tc>
      </w:tr>
      <w:tr>
        <w:trPr>
          <w:trHeight w:val="213"/>
        </w:trPr>
        <w:tc>
          <w:tcPr>
            <w:tcW w:w="56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Forfeited and expired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(359,919)</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111.06</w:t>
            </w:r>
          </w:p>
        </w:tc>
        <w:tc>
          <w:tcPr>
            <w:tcW w:w="10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(157,021)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Arial" w:cs="Arial" w:eastAsia="Arial" w:hAnsi="Arial"/>
                <w:sz w:val="16"/>
                <w:szCs w:val="16"/>
                <w:b w:val="1"/>
                <w:bCs w:val="1"/>
                <w:color w:val="auto"/>
              </w:rPr>
              <w:t>103.90</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Outstanding grants, December 31, 2020</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27,995,277</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79.69</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4,711,624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100.80</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weighted average grant date fair values per share of RSUs granted in 2020, 2019 and 2018 were $130.59, $106.58 and $110.05, respectively. In 2020, 2019 and 2018, the total grant date fair values of shares vested from RSU grants were $110 million, $125 million and $123 million,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number of shares remaining available for future issuance under these plans was 40,334,683.</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t>Summarized information about stock options outstanding as of December 31, 2020,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160" w:type="dxa"/>
            <w:vAlign w:val="bottom"/>
            <w:tcBorders>
              <w:bottom w:val="single" w:sz="8" w:color="auto"/>
            </w:tcBorders>
            <w:gridSpan w:val="5"/>
          </w:tcPr>
          <w:p>
            <w:pPr>
              <w:jc w:val="center"/>
              <w:ind w:left="919"/>
              <w:spacing w:after="0"/>
              <w:rPr>
                <w:sz w:val="20"/>
                <w:szCs w:val="20"/>
                <w:color w:val="auto"/>
              </w:rPr>
            </w:pPr>
            <w:r>
              <w:rPr>
                <w:rFonts w:ascii="Arial" w:cs="Arial" w:eastAsia="Arial" w:hAnsi="Arial"/>
                <w:sz w:val="16"/>
                <w:szCs w:val="16"/>
                <w:b w:val="1"/>
                <w:bCs w:val="1"/>
                <w:color w:val="auto"/>
                <w:w w:val="90"/>
              </w:rPr>
              <w:t>Stock Options Outstanding</w:t>
            </w: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Options Exercisable</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420" w:type="dxa"/>
            <w:vAlign w:val="bottom"/>
            <w:gridSpan w:val="2"/>
          </w:tcPr>
          <w:p>
            <w:pPr>
              <w:jc w:val="center"/>
              <w:ind w:right="120"/>
              <w:spacing w:after="0" w:line="158" w:lineRule="exact"/>
              <w:rPr>
                <w:sz w:val="20"/>
                <w:szCs w:val="20"/>
                <w:color w:val="auto"/>
              </w:rPr>
            </w:pPr>
            <w:r>
              <w:rPr>
                <w:rFonts w:ascii="Arial" w:cs="Arial" w:eastAsia="Arial" w:hAnsi="Arial"/>
                <w:sz w:val="16"/>
                <w:szCs w:val="16"/>
                <w:b w:val="1"/>
                <w:bCs w:val="1"/>
                <w:color w:val="auto"/>
                <w:w w:val="90"/>
              </w:rPr>
              <w:t>Weighted Average</w:t>
            </w: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w w:val="98"/>
              </w:rPr>
              <w:t>Weighted Average</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5"/>
              </w:rPr>
              <w:t>Number</w:t>
            </w:r>
          </w:p>
        </w:tc>
        <w:tc>
          <w:tcPr>
            <w:tcW w:w="13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2"/>
              </w:rPr>
              <w:t>Remaining</w:t>
            </w:r>
          </w:p>
        </w:tc>
        <w:tc>
          <w:tcPr>
            <w:tcW w:w="1420" w:type="dxa"/>
            <w:vAlign w:val="bottom"/>
            <w:gridSpan w:val="3"/>
            <w:vMerge w:val="continue"/>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Exercise Price Range</w:t>
            </w:r>
          </w:p>
        </w:tc>
        <w:tc>
          <w:tcPr>
            <w:tcW w:w="100" w:type="dxa"/>
            <w:vAlign w:val="bottom"/>
            <w:vMerge w:val="restart"/>
          </w:tcPr>
          <w:p>
            <w:pPr>
              <w:spacing w:after="0"/>
              <w:rPr>
                <w:sz w:val="14"/>
                <w:szCs w:val="14"/>
                <w:color w:val="auto"/>
              </w:rPr>
            </w:pPr>
          </w:p>
        </w:tc>
        <w:tc>
          <w:tcPr>
            <w:tcW w:w="14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1"/>
              </w:rPr>
              <w:t>Outstanding</w:t>
            </w:r>
          </w:p>
        </w:tc>
        <w:tc>
          <w:tcPr>
            <w:tcW w:w="14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420" w:type="dxa"/>
            <w:vAlign w:val="bottom"/>
            <w:gridSpan w:val="3"/>
          </w:tcPr>
          <w:p>
            <w:pPr>
              <w:ind w:left="20"/>
              <w:spacing w:after="0" w:line="162" w:lineRule="exact"/>
              <w:rPr>
                <w:sz w:val="20"/>
                <w:szCs w:val="20"/>
                <w:color w:val="auto"/>
              </w:rPr>
            </w:pPr>
            <w:r>
              <w:rPr>
                <w:rFonts w:ascii="Arial" w:cs="Arial" w:eastAsia="Arial" w:hAnsi="Arial"/>
                <w:sz w:val="16"/>
                <w:szCs w:val="16"/>
                <w:b w:val="1"/>
                <w:bCs w:val="1"/>
                <w:color w:val="auto"/>
                <w:w w:val="99"/>
              </w:rPr>
              <w:t>Exercise Price per</w:t>
            </w:r>
          </w:p>
        </w:tc>
        <w:tc>
          <w:tcPr>
            <w:tcW w:w="142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9"/>
              </w:rPr>
              <w:t>Exercisable</w:t>
            </w:r>
          </w:p>
        </w:tc>
        <w:tc>
          <w:tcPr>
            <w:tcW w:w="1300" w:type="dxa"/>
            <w:vAlign w:val="bottom"/>
            <w:gridSpan w:val="2"/>
          </w:tcPr>
          <w:p>
            <w:pPr>
              <w:ind w:left="20"/>
              <w:spacing w:after="0" w:line="162" w:lineRule="exact"/>
              <w:rPr>
                <w:sz w:val="20"/>
                <w:szCs w:val="20"/>
                <w:color w:val="auto"/>
              </w:rPr>
            </w:pPr>
            <w:r>
              <w:rPr>
                <w:rFonts w:ascii="Arial" w:cs="Arial" w:eastAsia="Arial" w:hAnsi="Arial"/>
                <w:sz w:val="16"/>
                <w:szCs w:val="16"/>
                <w:b w:val="1"/>
                <w:bCs w:val="1"/>
                <w:color w:val="auto"/>
                <w:w w:val="90"/>
              </w:rPr>
              <w:t>Exercise Price per</w:t>
            </w:r>
          </w:p>
        </w:tc>
        <w:tc>
          <w:tcPr>
            <w:tcW w:w="0" w:type="dxa"/>
            <w:vAlign w:val="bottom"/>
          </w:tcPr>
          <w:p>
            <w:pPr>
              <w:spacing w:after="0"/>
              <w:rPr>
                <w:sz w:val="1"/>
                <w:szCs w:val="1"/>
                <w:color w:val="auto"/>
              </w:rPr>
            </w:pPr>
          </w:p>
        </w:tc>
      </w:tr>
      <w:tr>
        <w:trPr>
          <w:trHeight w:val="213"/>
        </w:trPr>
        <w:tc>
          <w:tcPr>
            <w:tcW w:w="41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(Shares)</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Share</w:t>
            </w:r>
          </w:p>
        </w:tc>
        <w:tc>
          <w:tcPr>
            <w:tcW w:w="1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(Shares)</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w w:val="89"/>
              </w:rPr>
              <w:t>Share</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$ 28.13 to 161.98</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27,995,277</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79.69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17,221,451</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59.33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2020, 2019 and 2018, the aggregate intrinsic values (i.e., the difference in the closing market price on the date of exercise and the exercise price paid by the optionee) of options exercised were $681 million, $819 million and $561 million, respectively.</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Summarized information as of December 31, 2020, about outstanding stock options that are vested and expected to vest, as well as stock options that are currently exercisable, is as follows:</w:t>
      </w:r>
    </w:p>
    <w:p>
      <w:pPr>
        <w:spacing w:after="0" w:line="207" w:lineRule="exact"/>
        <w:rPr>
          <w:sz w:val="20"/>
          <w:szCs w:val="20"/>
          <w:color w:val="auto"/>
        </w:rPr>
      </w:pPr>
    </w:p>
    <w:p>
      <w:pPr>
        <w:jc w:val="center"/>
        <w:ind w:left="7040"/>
        <w:spacing w:after="0"/>
        <w:rPr>
          <w:sz w:val="20"/>
          <w:szCs w:val="20"/>
          <w:color w:val="auto"/>
        </w:rPr>
      </w:pPr>
      <w:r>
        <w:rPr>
          <w:rFonts w:ascii="Arial" w:cs="Arial" w:eastAsia="Arial" w:hAnsi="Arial"/>
          <w:sz w:val="16"/>
          <w:szCs w:val="16"/>
          <w:b w:val="1"/>
          <w:bCs w:val="1"/>
          <w:color w:val="auto"/>
        </w:rPr>
        <w:t>Outstanding</w:t>
      </w:r>
    </w:p>
    <w:p>
      <w:pPr>
        <w:jc w:val="center"/>
        <w:ind w:left="7040"/>
        <w:spacing w:after="0" w:line="211" w:lineRule="auto"/>
        <w:rPr>
          <w:sz w:val="20"/>
          <w:szCs w:val="20"/>
          <w:color w:val="auto"/>
        </w:rPr>
      </w:pPr>
      <w:r>
        <w:rPr>
          <w:rFonts w:ascii="Arial" w:cs="Arial" w:eastAsia="Arial" w:hAnsi="Arial"/>
          <w:sz w:val="16"/>
          <w:szCs w:val="16"/>
          <w:b w:val="1"/>
          <w:bCs w:val="1"/>
          <w:color w:val="auto"/>
        </w:rPr>
        <w:t>Stock Options</w:t>
      </w:r>
    </w:p>
    <w:p>
      <w:pPr>
        <w:jc w:val="center"/>
        <w:ind w:left="7040"/>
        <w:spacing w:after="0" w:line="211" w:lineRule="auto"/>
        <w:rPr>
          <w:sz w:val="20"/>
          <w:szCs w:val="20"/>
          <w:color w:val="auto"/>
        </w:rPr>
      </w:pPr>
      <w:r>
        <w:rPr>
          <w:rFonts w:ascii="Arial" w:cs="Arial" w:eastAsia="Arial" w:hAnsi="Arial"/>
          <w:sz w:val="16"/>
          <w:szCs w:val="16"/>
          <w:b w:val="1"/>
          <w:bCs w:val="1"/>
          <w:color w:val="auto"/>
        </w:rPr>
        <w:t>(Fully Vested and</w:t>
      </w:r>
    </w:p>
    <w:p>
      <w:pPr>
        <w:ind w:left="8540"/>
        <w:spacing w:after="0"/>
        <w:tabs>
          <w:tab w:leader="none" w:pos="10280" w:val="left"/>
        </w:tabs>
        <w:rPr>
          <w:sz w:val="20"/>
          <w:szCs w:val="20"/>
          <w:color w:val="auto"/>
        </w:rPr>
      </w:pPr>
      <w:r>
        <w:rPr>
          <w:rFonts w:ascii="Arial" w:cs="Arial" w:eastAsia="Arial" w:hAnsi="Arial"/>
          <w:sz w:val="16"/>
          <w:szCs w:val="16"/>
          <w:b w:val="1"/>
          <w:bCs w:val="1"/>
          <w:color w:val="auto"/>
        </w:rPr>
        <w:t>Expected to Vest)</w:t>
      </w:r>
      <w:r>
        <w:rPr>
          <w:sz w:val="20"/>
          <w:szCs w:val="20"/>
          <w:color w:val="auto"/>
        </w:rPr>
        <w:tab/>
      </w:r>
      <w:r>
        <w:rPr>
          <w:rFonts w:ascii="Arial" w:cs="Arial" w:eastAsia="Arial" w:hAnsi="Arial"/>
          <w:sz w:val="14"/>
          <w:szCs w:val="14"/>
          <w:b w:val="1"/>
          <w:bCs w:val="1"/>
          <w:color w:val="auto"/>
        </w:rPr>
        <w:t>Options</w:t>
      </w:r>
    </w:p>
    <w:p>
      <w:pPr>
        <w:spacing w:after="0" w:line="1" w:lineRule="exact"/>
        <w:rPr>
          <w:sz w:val="20"/>
          <w:szCs w:val="20"/>
          <w:color w:val="auto"/>
        </w:rPr>
      </w:pPr>
    </w:p>
    <w:p>
      <w:pPr>
        <w:ind w:left="9060"/>
        <w:spacing w:after="0"/>
        <w:tabs>
          <w:tab w:leader="none" w:pos="10160" w:val="left"/>
        </w:tabs>
        <w:rPr>
          <w:sz w:val="20"/>
          <w:szCs w:val="20"/>
          <w:color w:val="auto"/>
        </w:rPr>
      </w:pPr>
      <w:r>
        <w:rPr>
          <w:rFonts w:ascii="Arial" w:cs="Arial" w:eastAsia="Arial" w:hAnsi="Arial"/>
          <w:sz w:val="16"/>
          <w:szCs w:val="16"/>
          <w:b w:val="1"/>
          <w:bCs w:val="1"/>
          <w:color w:val="auto"/>
        </w:rPr>
        <w:t>(a)</w:t>
      </w:r>
      <w:r>
        <w:rPr>
          <w:sz w:val="20"/>
          <w:szCs w:val="20"/>
          <w:color w:val="auto"/>
        </w:rPr>
        <w:tab/>
      </w:r>
      <w:r>
        <w:rPr>
          <w:rFonts w:ascii="Arial" w:cs="Arial" w:eastAsia="Arial" w:hAnsi="Arial"/>
          <w:sz w:val="16"/>
          <w:szCs w:val="16"/>
          <w:b w:val="1"/>
          <w:bCs w:val="1"/>
          <w:color w:val="auto"/>
        </w:rPr>
        <w:t>Exercisable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Number of outstanding (shares)</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27,596,705</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17,221,451</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Weighted average remaining contractual life (in years)</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exercise price per share</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59.33</w:t>
            </w: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color w:val="auto"/>
              </w:rPr>
              <w:t>Intrinsic value (millions of dollars)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2,346</w:t>
            </w:r>
          </w:p>
        </w:tc>
        <w:tc>
          <w:tcPr>
            <w:tcW w:w="12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1,805</w:t>
            </w:r>
          </w:p>
        </w:tc>
      </w:tr>
    </w:tbl>
    <w:p>
      <w:pPr>
        <w:spacing w:after="0" w:line="208" w:lineRule="exact"/>
        <w:rPr>
          <w:sz w:val="20"/>
          <w:szCs w:val="20"/>
          <w:color w:val="auto"/>
        </w:rPr>
      </w:pPr>
    </w:p>
    <w:p>
      <w:pPr>
        <w:ind w:left="340" w:right="300" w:hanging="332"/>
        <w:spacing w:after="0" w:line="277" w:lineRule="auto"/>
        <w:tabs>
          <w:tab w:leader="none" w:pos="337"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effects of expected forfeitures. Excluding the effects of expected forfeitures, the aggregate intrinsic value of stock options outstanding was $2.36 billion.</w:t>
      </w:r>
    </w:p>
    <w:p>
      <w:pPr>
        <w:spacing w:after="0" w:line="170"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As of December 31, 2020, total future compensation related to equity awards not yet recognized in our Consolidated Statements of Income was $237 million, consisting of $103 million related to unvested stock options and $134 million related to unvested RSUs. The $237 million is expected to be recognized as follows: $115 million in 2021, $77 million in 2022, $40 million in 2023 and $5 million in 2024.</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stock purchase plan</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Options outstanding under the ESPP as of December 31, 2020, had an exercise price equal to 85% of the fair market value of TI common stock on the date of automatic exercise. The automatic exercise occurred on January 4, 2021, resulting in an exercise price of $137.89 per share. Of the total outstanding options, none were exercisable as of December 31,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ESPP transactions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1320" w:type="dxa"/>
            <w:vAlign w:val="bottom"/>
            <w:tcBorders>
              <w:bottom w:val="single" w:sz="8" w:color="auto"/>
            </w:tcBorders>
          </w:tcPr>
          <w:p>
            <w:pPr>
              <w:ind w:left="440"/>
              <w:spacing w:after="0"/>
              <w:rPr>
                <w:sz w:val="20"/>
                <w:szCs w:val="20"/>
                <w:color w:val="auto"/>
              </w:rPr>
            </w:pPr>
            <w:r>
              <w:rPr>
                <w:rFonts w:ascii="Arial" w:cs="Arial" w:eastAsia="Arial" w:hAnsi="Arial"/>
                <w:sz w:val="16"/>
                <w:szCs w:val="16"/>
                <w:b w:val="1"/>
                <w:bCs w:val="1"/>
                <w:color w:val="auto"/>
              </w:rPr>
              <w:t>Shares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89"/>
              </w:rPr>
              <w:t>Exercise Price</w:t>
            </w:r>
          </w:p>
        </w:tc>
      </w:tr>
      <w:tr>
        <w:trPr>
          <w:trHeight w:val="213"/>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grants, December 31, 2019</w:t>
            </w:r>
          </w:p>
        </w:tc>
        <w:tc>
          <w:tcPr>
            <w:tcW w:w="1320" w:type="dxa"/>
            <w:vAlign w:val="bottom"/>
            <w:shd w:val="clear" w:color="auto" w:fill="CCEEFF"/>
          </w:tcPr>
          <w:p>
            <w:pPr>
              <w:jc w:val="center"/>
              <w:ind w:left="599"/>
              <w:spacing w:after="0"/>
              <w:rPr>
                <w:sz w:val="20"/>
                <w:szCs w:val="20"/>
                <w:color w:val="auto"/>
              </w:rPr>
            </w:pPr>
            <w:r>
              <w:rPr>
                <w:rFonts w:ascii="Arial" w:cs="Arial" w:eastAsia="Arial" w:hAnsi="Arial"/>
                <w:sz w:val="16"/>
                <w:szCs w:val="16"/>
                <w:color w:val="auto"/>
                <w:w w:val="89"/>
              </w:rPr>
              <w:t>173,849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110.14</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Granted</w:t>
            </w:r>
          </w:p>
        </w:tc>
        <w:tc>
          <w:tcPr>
            <w:tcW w:w="1320" w:type="dxa"/>
            <w:vAlign w:val="bottom"/>
          </w:tcPr>
          <w:p>
            <w:pPr>
              <w:jc w:val="center"/>
              <w:ind w:left="599"/>
              <w:spacing w:after="0"/>
              <w:rPr>
                <w:sz w:val="20"/>
                <w:szCs w:val="20"/>
                <w:color w:val="auto"/>
              </w:rPr>
            </w:pPr>
            <w:r>
              <w:rPr>
                <w:rFonts w:ascii="Arial" w:cs="Arial" w:eastAsia="Arial" w:hAnsi="Arial"/>
                <w:sz w:val="16"/>
                <w:szCs w:val="16"/>
                <w:b w:val="1"/>
                <w:bCs w:val="1"/>
                <w:color w:val="auto"/>
                <w:w w:val="89"/>
              </w:rPr>
              <w:t>714,680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108.74</w:t>
            </w: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Exercised</w:t>
            </w:r>
          </w:p>
        </w:tc>
        <w:tc>
          <w:tcPr>
            <w:tcW w:w="1320" w:type="dxa"/>
            <w:vAlign w:val="bottom"/>
            <w:tcBorders>
              <w:bottom w:val="single" w:sz="8" w:color="auto"/>
            </w:tcBorders>
            <w:shd w:val="clear" w:color="auto" w:fill="CCEEFF"/>
          </w:tcPr>
          <w:p>
            <w:pPr>
              <w:jc w:val="center"/>
              <w:ind w:left="559"/>
              <w:spacing w:after="0"/>
              <w:rPr>
                <w:sz w:val="20"/>
                <w:szCs w:val="20"/>
                <w:color w:val="auto"/>
              </w:rPr>
            </w:pPr>
            <w:r>
              <w:rPr>
                <w:rFonts w:ascii="Arial" w:cs="Arial" w:eastAsia="Arial" w:hAnsi="Arial"/>
                <w:sz w:val="16"/>
                <w:szCs w:val="16"/>
                <w:b w:val="1"/>
                <w:bCs w:val="1"/>
                <w:color w:val="auto"/>
                <w:w w:val="93"/>
              </w:rPr>
              <w:t>(745,483)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103.48</w:t>
            </w:r>
          </w:p>
        </w:tc>
      </w:tr>
      <w:tr>
        <w:trPr>
          <w:trHeight w:val="212"/>
        </w:trPr>
        <w:tc>
          <w:tcPr>
            <w:tcW w:w="8480" w:type="dxa"/>
            <w:vAlign w:val="bottom"/>
          </w:tcPr>
          <w:p>
            <w:pPr>
              <w:ind w:left="20"/>
              <w:spacing w:after="0"/>
              <w:rPr>
                <w:sz w:val="20"/>
                <w:szCs w:val="20"/>
                <w:color w:val="auto"/>
              </w:rPr>
            </w:pPr>
            <w:r>
              <w:rPr>
                <w:rFonts w:ascii="Arial" w:cs="Arial" w:eastAsia="Arial" w:hAnsi="Arial"/>
                <w:sz w:val="16"/>
                <w:szCs w:val="16"/>
                <w:b w:val="1"/>
                <w:bCs w:val="1"/>
                <w:color w:val="auto"/>
              </w:rPr>
              <w:t>Outstanding grants, December 31, 2020</w:t>
            </w:r>
          </w:p>
        </w:tc>
        <w:tc>
          <w:tcPr>
            <w:tcW w:w="1320" w:type="dxa"/>
            <w:vAlign w:val="bottom"/>
            <w:tcBorders>
              <w:bottom w:val="single" w:sz="8" w:color="auto"/>
            </w:tcBorders>
          </w:tcPr>
          <w:p>
            <w:pPr>
              <w:jc w:val="center"/>
              <w:ind w:left="599"/>
              <w:spacing w:after="0"/>
              <w:rPr>
                <w:sz w:val="20"/>
                <w:szCs w:val="20"/>
                <w:color w:val="auto"/>
              </w:rPr>
            </w:pPr>
            <w:r>
              <w:rPr>
                <w:rFonts w:ascii="Arial" w:cs="Arial" w:eastAsia="Arial" w:hAnsi="Arial"/>
                <w:sz w:val="16"/>
                <w:szCs w:val="16"/>
                <w:b w:val="1"/>
                <w:bCs w:val="1"/>
                <w:color w:val="auto"/>
                <w:w w:val="89"/>
              </w:rPr>
              <w:t>143,046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b w:val="1"/>
                <w:bCs w:val="1"/>
                <w:color w:val="auto"/>
              </w:rPr>
              <w:t>137.89</w:t>
            </w:r>
          </w:p>
        </w:tc>
      </w:tr>
      <w:tr>
        <w:trPr>
          <w:trHeight w:val="21"/>
        </w:trPr>
        <w:tc>
          <w:tcPr>
            <w:tcW w:w="84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80"/>
        <w:spacing w:after="0" w:line="263" w:lineRule="auto"/>
        <w:rPr>
          <w:sz w:val="20"/>
          <w:szCs w:val="20"/>
          <w:color w:val="auto"/>
        </w:rPr>
      </w:pPr>
      <w:r>
        <w:rPr>
          <w:rFonts w:ascii="Arial" w:cs="Arial" w:eastAsia="Arial" w:hAnsi="Arial"/>
          <w:sz w:val="18"/>
          <w:szCs w:val="18"/>
          <w:color w:val="auto"/>
        </w:rPr>
        <w:t>The weighted average grant date fair values per share of options granted under the ESPP in 2020, 2019 and 2018 were $19.19, $18.05 and $15.43, respectively. In 2020, 2019 and 2018, the total intrinsic value of options exercised under these plans was $14 million, $13 million and $13 million,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the number of shares remaining available for future issuance under this plan was 33,097,602.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color w:val="auto"/>
        </w:rPr>
        <w:t>Effect on shares outstanding and treasury shares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Treasury shares were acquired in connection with the board-authorized stock repurchase program. As of December 31, 2020, $10.63 billion of stock repurchase authorizations remain, and no expiration date has been specified.</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current practice is to issue shares of common stock from treasury shares upon exercise of stock options, distribution of director deferred compensation and vesting of RSUs. The following table reflects the changes in our treasury shares: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0"/>
              <w:spacing w:after="0"/>
              <w:rPr>
                <w:sz w:val="20"/>
                <w:szCs w:val="20"/>
                <w:color w:val="auto"/>
              </w:rPr>
            </w:pPr>
            <w:r>
              <w:rPr>
                <w:rFonts w:ascii="Arial" w:cs="Arial" w:eastAsia="Arial" w:hAnsi="Arial"/>
                <w:sz w:val="16"/>
                <w:szCs w:val="16"/>
                <w:b w:val="1"/>
                <w:bCs w:val="1"/>
                <w:color w:val="auto"/>
              </w:rPr>
              <w:t>Stock Options</w:t>
            </w: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RSUs</w:t>
            </w: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Treasury Shares</w:t>
            </w:r>
          </w:p>
        </w:tc>
        <w:tc>
          <w:tcPr>
            <w:tcW w:w="0" w:type="dxa"/>
            <w:vAlign w:val="bottom"/>
          </w:tcPr>
          <w:p>
            <w:pPr>
              <w:spacing w:after="0"/>
              <w:rPr>
                <w:sz w:val="1"/>
                <w:szCs w:val="1"/>
                <w:color w:val="auto"/>
              </w:rPr>
            </w:pPr>
          </w:p>
        </w:tc>
      </w:tr>
      <w:tr>
        <w:trPr>
          <w:trHeight w:val="212"/>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 2017</w:t>
            </w: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757,657,217</w:t>
            </w:r>
          </w:p>
        </w:tc>
        <w:tc>
          <w:tcPr>
            <w:tcW w:w="0" w:type="dxa"/>
            <w:vAlign w:val="bottom"/>
          </w:tcPr>
          <w:p>
            <w:pPr>
              <w:spacing w:after="0"/>
              <w:rPr>
                <w:sz w:val="1"/>
                <w:szCs w:val="1"/>
                <w:color w:val="auto"/>
              </w:rPr>
            </w:pPr>
          </w:p>
        </w:tc>
      </w:tr>
      <w:tr>
        <w:trPr>
          <w:trHeight w:val="207"/>
        </w:trPr>
        <w:tc>
          <w:tcPr>
            <w:tcW w:w="7420" w:type="dxa"/>
            <w:vAlign w:val="bottom"/>
          </w:tcPr>
          <w:p>
            <w:pPr>
              <w:ind w:left="20"/>
              <w:spacing w:after="0"/>
              <w:rPr>
                <w:sz w:val="20"/>
                <w:szCs w:val="20"/>
                <w:color w:val="auto"/>
              </w:rPr>
            </w:pPr>
            <w:r>
              <w:rPr>
                <w:rFonts w:ascii="Arial" w:cs="Arial" w:eastAsia="Arial" w:hAnsi="Arial"/>
                <w:sz w:val="16"/>
                <w:szCs w:val="16"/>
                <w:color w:val="auto"/>
              </w:rPr>
              <w:t>Repurchases</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49,482,220</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used for:</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Stock options/RSUs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(8,432,458)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(2,769,994)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applied to taxes</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553,720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ESPP</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(819,878)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Director deferred stock units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(5,181)</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Total issued</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(9,252,336)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(2,216,274)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(11,468,610)</w:t>
            </w:r>
          </w:p>
        </w:tc>
        <w:tc>
          <w:tcPr>
            <w:tcW w:w="0" w:type="dxa"/>
            <w:vAlign w:val="bottom"/>
          </w:tcPr>
          <w:p>
            <w:pPr>
              <w:spacing w:after="0"/>
              <w:rPr>
                <w:sz w:val="1"/>
                <w:szCs w:val="1"/>
                <w:color w:val="auto"/>
              </w:rPr>
            </w:pPr>
          </w:p>
        </w:tc>
      </w:tr>
      <w:tr>
        <w:trPr>
          <w:trHeight w:val="45"/>
        </w:trPr>
        <w:tc>
          <w:tcPr>
            <w:tcW w:w="7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7420" w:type="dxa"/>
            <w:vAlign w:val="bottom"/>
            <w:tcBorders>
              <w:top w:val="single" w:sz="8" w:color="CCEEFF"/>
            </w:tcBorders>
            <w:shd w:val="clear" w:color="auto" w:fill="CCEEFF"/>
          </w:tcPr>
          <w:p>
            <w:pPr>
              <w:ind w:left="20"/>
              <w:spacing w:after="0" w:line="174" w:lineRule="exact"/>
              <w:rPr>
                <w:sz w:val="20"/>
                <w:szCs w:val="20"/>
                <w:color w:val="auto"/>
              </w:rPr>
            </w:pPr>
            <w:r>
              <w:rPr>
                <w:rFonts w:ascii="Arial" w:cs="Arial" w:eastAsia="Arial" w:hAnsi="Arial"/>
                <w:sz w:val="16"/>
                <w:szCs w:val="16"/>
                <w:color w:val="auto"/>
              </w:rPr>
              <w:t>Balance, December 31, 2018</w:t>
            </w:r>
          </w:p>
        </w:tc>
        <w:tc>
          <w:tcPr>
            <w:tcW w:w="1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auto"/>
            </w:tcBorders>
            <w:shd w:val="clear" w:color="auto" w:fill="CCEEFF"/>
          </w:tcPr>
          <w:p>
            <w:pPr>
              <w:spacing w:after="0"/>
              <w:rPr>
                <w:sz w:val="15"/>
                <w:szCs w:val="15"/>
                <w:color w:val="auto"/>
              </w:rPr>
            </w:pPr>
          </w:p>
        </w:tc>
        <w:tc>
          <w:tcPr>
            <w:tcW w:w="1000" w:type="dxa"/>
            <w:vAlign w:val="bottom"/>
            <w:tcBorders>
              <w:top w:val="single" w:sz="8" w:color="CCEEFF"/>
              <w:bottom w:val="single" w:sz="8" w:color="auto"/>
            </w:tcBorders>
            <w:shd w:val="clear" w:color="auto" w:fill="CCEEFF"/>
          </w:tcPr>
          <w:p>
            <w:pPr>
              <w:jc w:val="right"/>
              <w:spacing w:after="0" w:line="174" w:lineRule="exact"/>
              <w:rPr>
                <w:sz w:val="20"/>
                <w:szCs w:val="20"/>
                <w:color w:val="auto"/>
              </w:rPr>
            </w:pPr>
            <w:r>
              <w:rPr>
                <w:rFonts w:ascii="Arial" w:cs="Arial" w:eastAsia="Arial" w:hAnsi="Arial"/>
                <w:sz w:val="16"/>
                <w:szCs w:val="16"/>
                <w:color w:val="auto"/>
              </w:rPr>
              <w:t>795,665,646</w:t>
            </w:r>
          </w:p>
        </w:tc>
        <w:tc>
          <w:tcPr>
            <w:tcW w:w="0" w:type="dxa"/>
            <w:vAlign w:val="bottom"/>
          </w:tcPr>
          <w:p>
            <w:pPr>
              <w:spacing w:after="0"/>
              <w:rPr>
                <w:sz w:val="1"/>
                <w:szCs w:val="1"/>
                <w:color w:val="auto"/>
              </w:rPr>
            </w:pPr>
          </w:p>
        </w:tc>
      </w:tr>
      <w:tr>
        <w:trPr>
          <w:trHeight w:val="239"/>
        </w:trPr>
        <w:tc>
          <w:tcPr>
            <w:tcW w:w="7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Repurchases</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27,398,701</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Shares used for:</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Stock options/RSUs</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(11,529,174)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(2,370,762)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Stock applied to taxes</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490,347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ESPP</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(798,806)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Director deferred stock units</w:t>
            </w:r>
          </w:p>
        </w:tc>
        <w:tc>
          <w:tcPr>
            <w:tcW w:w="1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(71,571)</w:t>
            </w:r>
          </w:p>
        </w:tc>
        <w:tc>
          <w:tcPr>
            <w:tcW w:w="0" w:type="dxa"/>
            <w:vAlign w:val="bottom"/>
          </w:tcPr>
          <w:p>
            <w:pPr>
              <w:spacing w:after="0"/>
              <w:rPr>
                <w:sz w:val="1"/>
                <w:szCs w:val="1"/>
                <w:color w:val="auto"/>
              </w:rPr>
            </w:pPr>
          </w:p>
        </w:tc>
      </w:tr>
      <w:tr>
        <w:trPr>
          <w:trHeight w:val="277"/>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issued</w:t>
            </w:r>
          </w:p>
        </w:tc>
        <w:tc>
          <w:tcPr>
            <w:tcW w:w="100" w:type="dxa"/>
            <w:vAlign w:val="bottom"/>
            <w:tcBorders>
              <w:top w:val="single" w:sz="8" w:color="auto"/>
              <w:bottom w:val="single" w:sz="8" w:color="auto"/>
            </w:tcBorders>
            <w:shd w:val="clear" w:color="auto" w:fill="CCEEFF"/>
          </w:tcPr>
          <w:p>
            <w:pPr>
              <w:spacing w:after="0"/>
              <w:rPr>
                <w:sz w:val="23"/>
                <w:szCs w:val="23"/>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(12,327,980)</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60" w:type="dxa"/>
            <w:vAlign w:val="bottom"/>
            <w:tcBorders>
              <w:top w:val="single" w:sz="8" w:color="auto"/>
              <w:bottom w:val="single" w:sz="8" w:color="auto"/>
            </w:tcBorders>
            <w:shd w:val="clear" w:color="auto" w:fill="CCEEFF"/>
          </w:tcPr>
          <w:p>
            <w:pPr>
              <w:spacing w:after="0"/>
              <w:rPr>
                <w:sz w:val="23"/>
                <w:szCs w:val="23"/>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(1,880,415)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CCEEFF"/>
              <w:bottom w:val="single" w:sz="8" w:color="CCEEFF"/>
            </w:tcBorders>
            <w:shd w:val="clear" w:color="auto" w:fill="CCEEFF"/>
          </w:tcPr>
          <w:p>
            <w:pPr>
              <w:spacing w:after="0"/>
              <w:rPr>
                <w:sz w:val="23"/>
                <w:szCs w:val="23"/>
                <w:color w:val="auto"/>
              </w:rPr>
            </w:pPr>
          </w:p>
        </w:tc>
        <w:tc>
          <w:tcPr>
            <w:tcW w:w="10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(14,208,395)</w:t>
            </w:r>
          </w:p>
        </w:tc>
        <w:tc>
          <w:tcPr>
            <w:tcW w:w="0" w:type="dxa"/>
            <w:vAlign w:val="bottom"/>
          </w:tcPr>
          <w:p>
            <w:pPr>
              <w:spacing w:after="0"/>
              <w:rPr>
                <w:sz w:val="1"/>
                <w:szCs w:val="1"/>
                <w:color w:val="auto"/>
              </w:rPr>
            </w:pPr>
          </w:p>
        </w:tc>
      </w:tr>
      <w:tr>
        <w:trPr>
          <w:trHeight w:val="173"/>
        </w:trPr>
        <w:tc>
          <w:tcPr>
            <w:tcW w:w="7420" w:type="dxa"/>
            <w:vAlign w:val="bottom"/>
            <w:tcBorders>
              <w:top w:val="single" w:sz="8" w:color="CCEEFF"/>
              <w:bottom w:val="single" w:sz="8" w:color="CCEEFF"/>
            </w:tcBorders>
          </w:tcPr>
          <w:p>
            <w:pPr>
              <w:ind w:left="20"/>
              <w:spacing w:after="0" w:line="174" w:lineRule="exact"/>
              <w:rPr>
                <w:sz w:val="20"/>
                <w:szCs w:val="20"/>
                <w:color w:val="auto"/>
              </w:rPr>
            </w:pPr>
            <w:r>
              <w:rPr>
                <w:rFonts w:ascii="Arial" w:cs="Arial" w:eastAsia="Arial" w:hAnsi="Arial"/>
                <w:sz w:val="16"/>
                <w:szCs w:val="16"/>
                <w:color w:val="auto"/>
              </w:rPr>
              <w:t>Balance, December 31, 2019</w:t>
            </w:r>
          </w:p>
        </w:tc>
        <w:tc>
          <w:tcPr>
            <w:tcW w:w="100" w:type="dxa"/>
            <w:vAlign w:val="bottom"/>
            <w:tcBorders>
              <w:top w:val="single" w:sz="8" w:color="auto"/>
              <w:bottom w:val="single" w:sz="8" w:color="CCEEFF"/>
            </w:tcBorders>
          </w:tcPr>
          <w:p>
            <w:pPr>
              <w:spacing w:after="0"/>
              <w:rPr>
                <w:sz w:val="15"/>
                <w:szCs w:val="15"/>
                <w:color w:val="auto"/>
              </w:rPr>
            </w:pPr>
          </w:p>
        </w:tc>
        <w:tc>
          <w:tcPr>
            <w:tcW w:w="110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60" w:type="dxa"/>
            <w:vAlign w:val="bottom"/>
            <w:tcBorders>
              <w:top w:val="single" w:sz="8" w:color="auto"/>
              <w:bottom w:val="single" w:sz="8" w:color="CCEEFF"/>
            </w:tcBorders>
          </w:tcPr>
          <w:p>
            <w:pPr>
              <w:spacing w:after="0"/>
              <w:rPr>
                <w:sz w:val="15"/>
                <w:szCs w:val="15"/>
                <w:color w:val="auto"/>
              </w:rPr>
            </w:pPr>
          </w:p>
        </w:tc>
        <w:tc>
          <w:tcPr>
            <w:tcW w:w="960" w:type="dxa"/>
            <w:vAlign w:val="bottom"/>
            <w:tcBorders>
              <w:top w:val="single" w:sz="8" w:color="auto"/>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spacing w:after="0" w:line="174" w:lineRule="exact"/>
              <w:rPr>
                <w:sz w:val="20"/>
                <w:szCs w:val="20"/>
                <w:color w:val="auto"/>
              </w:rPr>
            </w:pPr>
            <w:r>
              <w:rPr>
                <w:rFonts w:ascii="Arial" w:cs="Arial" w:eastAsia="Arial" w:hAnsi="Arial"/>
                <w:sz w:val="16"/>
                <w:szCs w:val="16"/>
                <w:color w:val="auto"/>
              </w:rPr>
              <w:t>808,784,381</w:t>
            </w:r>
          </w:p>
        </w:tc>
        <w:tc>
          <w:tcPr>
            <w:tcW w:w="0" w:type="dxa"/>
            <w:vAlign w:val="bottom"/>
          </w:tcPr>
          <w:p>
            <w:pPr>
              <w:spacing w:after="0"/>
              <w:rPr>
                <w:sz w:val="1"/>
                <w:szCs w:val="1"/>
                <w:color w:val="auto"/>
              </w:rPr>
            </w:pPr>
          </w:p>
        </w:tc>
      </w:tr>
      <w:tr>
        <w:trPr>
          <w:trHeight w:val="240"/>
        </w:trPr>
        <w:tc>
          <w:tcPr>
            <w:tcW w:w="7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Repurchases</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23,430,215</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Shares used for:</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b w:val="1"/>
                <w:bCs w:val="1"/>
                <w:color w:val="auto"/>
              </w:rPr>
              <w:t>Stock options/RSUs</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(8,392,354)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(2,034,933)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Stock applied to taxes</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421,518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b w:val="1"/>
                <w:bCs w:val="1"/>
                <w:color w:val="auto"/>
              </w:rPr>
              <w:t>ESPP</w:t>
            </w: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b w:val="1"/>
                <w:bCs w:val="1"/>
                <w:color w:val="auto"/>
              </w:rPr>
              <w:t>(745,483)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Director deferred stock units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(1,557)</w:t>
            </w:r>
          </w:p>
        </w:tc>
        <w:tc>
          <w:tcPr>
            <w:tcW w:w="0" w:type="dxa"/>
            <w:vAlign w:val="bottom"/>
          </w:tcPr>
          <w:p>
            <w:pPr>
              <w:spacing w:after="0"/>
              <w:rPr>
                <w:sz w:val="1"/>
                <w:szCs w:val="1"/>
                <w:color w:val="auto"/>
              </w:rPr>
            </w:pPr>
          </w:p>
        </w:tc>
      </w:tr>
      <w:tr>
        <w:trPr>
          <w:trHeight w:val="212"/>
        </w:trPr>
        <w:tc>
          <w:tcPr>
            <w:tcW w:w="7420" w:type="dxa"/>
            <w:vAlign w:val="bottom"/>
          </w:tcPr>
          <w:p>
            <w:pPr>
              <w:ind w:left="20"/>
              <w:spacing w:after="0"/>
              <w:rPr>
                <w:sz w:val="20"/>
                <w:szCs w:val="20"/>
                <w:color w:val="auto"/>
              </w:rPr>
            </w:pPr>
            <w:r>
              <w:rPr>
                <w:rFonts w:ascii="Arial" w:cs="Arial" w:eastAsia="Arial" w:hAnsi="Arial"/>
                <w:sz w:val="16"/>
                <w:szCs w:val="16"/>
                <w:b w:val="1"/>
                <w:bCs w:val="1"/>
                <w:color w:val="auto"/>
              </w:rPr>
              <w:t>Total issued</w:t>
            </w: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(9,137,837)</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(1,613,415)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(10,751,252)</w:t>
            </w:r>
          </w:p>
        </w:tc>
        <w:tc>
          <w:tcPr>
            <w:tcW w:w="0" w:type="dxa"/>
            <w:vAlign w:val="bottom"/>
          </w:tcPr>
          <w:p>
            <w:pPr>
              <w:spacing w:after="0"/>
              <w:rPr>
                <w:sz w:val="1"/>
                <w:szCs w:val="1"/>
                <w:color w:val="auto"/>
              </w:rPr>
            </w:pPr>
          </w:p>
        </w:tc>
      </w:tr>
      <w:tr>
        <w:trPr>
          <w:trHeight w:val="45"/>
        </w:trPr>
        <w:tc>
          <w:tcPr>
            <w:tcW w:w="74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96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7420" w:type="dxa"/>
            <w:vAlign w:val="bottom"/>
            <w:tcBorders>
              <w:top w:val="single" w:sz="8" w:color="CCEEFF"/>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b w:val="1"/>
                <w:bCs w:val="1"/>
                <w:color w:val="auto"/>
              </w:rPr>
              <w:t>Balance, December 31, 2020</w:t>
            </w:r>
          </w:p>
        </w:tc>
        <w:tc>
          <w:tcPr>
            <w:tcW w:w="100" w:type="dxa"/>
            <w:vAlign w:val="bottom"/>
            <w:tcBorders>
              <w:top w:val="single" w:sz="8" w:color="auto"/>
              <w:bottom w:val="single" w:sz="8" w:color="CCEEFF"/>
            </w:tcBorders>
            <w:shd w:val="clear" w:color="auto" w:fill="CCEEFF"/>
          </w:tcPr>
          <w:p>
            <w:pPr>
              <w:spacing w:after="0"/>
              <w:rPr>
                <w:sz w:val="17"/>
                <w:szCs w:val="17"/>
                <w:color w:val="auto"/>
              </w:rPr>
            </w:pPr>
          </w:p>
        </w:tc>
        <w:tc>
          <w:tcPr>
            <w:tcW w:w="110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auto"/>
            </w:tcBorders>
            <w:shd w:val="clear" w:color="auto" w:fill="CCEEFF"/>
          </w:tcPr>
          <w:p>
            <w:pPr>
              <w:spacing w:after="0"/>
              <w:rPr>
                <w:sz w:val="17"/>
                <w:szCs w:val="17"/>
                <w:color w:val="auto"/>
              </w:rPr>
            </w:pPr>
          </w:p>
        </w:tc>
        <w:tc>
          <w:tcPr>
            <w:tcW w:w="1000" w:type="dxa"/>
            <w:vAlign w:val="bottom"/>
            <w:tcBorders>
              <w:top w:val="single" w:sz="8" w:color="CCEEFF"/>
              <w:bottom w:val="single" w:sz="8" w:color="auto"/>
            </w:tcBorders>
            <w:shd w:val="clear" w:color="auto" w:fill="CCEEFF"/>
          </w:tcPr>
          <w:p>
            <w:pPr>
              <w:jc w:val="right"/>
              <w:spacing w:after="0" w:line="177" w:lineRule="exact"/>
              <w:rPr>
                <w:sz w:val="20"/>
                <w:szCs w:val="20"/>
                <w:color w:val="auto"/>
              </w:rPr>
            </w:pPr>
            <w:r>
              <w:rPr>
                <w:rFonts w:ascii="Arial" w:cs="Arial" w:eastAsia="Arial" w:hAnsi="Arial"/>
                <w:sz w:val="16"/>
                <w:szCs w:val="16"/>
                <w:b w:val="1"/>
                <w:bCs w:val="1"/>
                <w:color w:val="auto"/>
              </w:rPr>
              <w:t>821,461,787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The effects on cash flows are as follows:</w:t>
            </w: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6"/>
                <w:szCs w:val="16"/>
                <w:b w:val="1"/>
                <w:bCs w:val="1"/>
                <w:color w:val="auto"/>
                <w:w w:val="90"/>
              </w:rPr>
              <w:t>For Years Ended December 31,</w:t>
            </w: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common stock transactions (a)</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470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6"/>
        </w:trPr>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benefit realized from stock compensation</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Reduction to deferred tax asset</w:t>
            </w: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Excess tax benefit for stock compensation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of taxes paid for employee shares withheld of $53 million, $52 million and $60 million in 2020, 2019 and 2018, respectively.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 xml:space="preserve">4. </w:t>
      </w:r>
      <w:r>
        <w:rPr>
          <w:rFonts w:ascii="Arial" w:cs="Arial" w:eastAsia="Arial" w:hAnsi="Arial"/>
          <w:sz w:val="18"/>
          <w:szCs w:val="18"/>
          <w:u w:val="single" w:color="auto"/>
          <w:color w:val="auto"/>
        </w:rPr>
        <w:t>Income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is comprised of the following components: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11"/>
          </w:tcPr>
          <w:p>
            <w:pPr>
              <w:jc w:val="right"/>
              <w:spacing w:after="0"/>
              <w:rPr>
                <w:sz w:val="20"/>
                <w:szCs w:val="20"/>
                <w:color w:val="auto"/>
              </w:rPr>
            </w:pPr>
            <w:r>
              <w:rPr>
                <w:rFonts w:ascii="Arial" w:cs="Arial" w:eastAsia="Arial" w:hAnsi="Arial"/>
                <w:sz w:val="16"/>
                <w:szCs w:val="16"/>
                <w:b w:val="1"/>
                <w:bCs w:val="1"/>
                <w:color w:val="auto"/>
                <w:w w:val="96"/>
              </w:rPr>
              <w:t>For Years Ended December 31,</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5,210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4,915</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5,672</w:t>
            </w:r>
          </w:p>
        </w:tc>
        <w:tc>
          <w:tcPr>
            <w:tcW w:w="0" w:type="dxa"/>
            <w:vAlign w:val="bottom"/>
          </w:tcPr>
          <w:p>
            <w:pPr>
              <w:spacing w:after="0"/>
              <w:rPr>
                <w:sz w:val="1"/>
                <w:szCs w:val="1"/>
                <w:color w:val="auto"/>
              </w:rPr>
            </w:pPr>
          </w:p>
        </w:tc>
      </w:tr>
      <w:tr>
        <w:trPr>
          <w:trHeight w:val="213"/>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Non-U.S.</w:t>
            </w: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32"/>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b w:val="1"/>
                <w:bCs w:val="1"/>
                <w:color w:val="auto"/>
                <w:w w:val="89"/>
              </w:rPr>
              <w:t>$</w:t>
            </w: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6,017</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5,728</w:t>
            </w: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0" w:type="dxa"/>
            <w:vAlign w:val="bottom"/>
          </w:tcPr>
          <w:p>
            <w:pPr>
              <w:spacing w:after="0"/>
              <w:rPr>
                <w:sz w:val="1"/>
                <w:szCs w:val="1"/>
                <w:color w:val="auto"/>
              </w:rPr>
            </w:pPr>
          </w:p>
        </w:tc>
      </w:tr>
      <w:tr>
        <w:trPr>
          <w:trHeight w:val="20"/>
        </w:trPr>
        <w:tc>
          <w:tcPr>
            <w:tcW w:w="5080" w:type="dxa"/>
            <w:vAlign w:val="bottom"/>
            <w:tcBorders>
              <w:top w:val="single" w:sz="8" w:color="CCEEFF"/>
              <w:bottom w:val="single" w:sz="8" w:color="CCEEFF"/>
            </w:tcBorders>
            <w:gridSpan w:val="11"/>
            <w:vMerge w:val="restart"/>
          </w:tcPr>
          <w:p>
            <w:pPr>
              <w:spacing w:after="0"/>
              <w:rPr>
                <w:sz w:val="20"/>
                <w:szCs w:val="20"/>
                <w:color w:val="auto"/>
              </w:rPr>
            </w:pPr>
            <w:r>
              <w:rPr>
                <w:rFonts w:ascii="Arial" w:cs="Arial" w:eastAsia="Arial" w:hAnsi="Arial"/>
                <w:sz w:val="18"/>
                <w:szCs w:val="18"/>
                <w:color w:val="auto"/>
                <w:w w:val="91"/>
              </w:rPr>
              <w:t>Provision for income taxes is comprised of the following components:</w:t>
            </w:r>
          </w:p>
        </w:tc>
        <w:tc>
          <w:tcPr>
            <w:tcW w:w="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5080" w:type="dxa"/>
            <w:vAlign w:val="bottom"/>
            <w:gridSpan w:val="11"/>
            <w:vMerge w:val="continue"/>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16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9"/>
          </w:tcPr>
          <w:p>
            <w:pPr>
              <w:jc w:val="right"/>
              <w:ind w:right="580"/>
              <w:spacing w:after="0"/>
              <w:rPr>
                <w:sz w:val="20"/>
                <w:szCs w:val="20"/>
                <w:color w:val="auto"/>
              </w:rPr>
            </w:pPr>
            <w:r>
              <w:rPr>
                <w:rFonts w:ascii="Arial" w:cs="Arial" w:eastAsia="Arial" w:hAnsi="Arial"/>
                <w:sz w:val="16"/>
                <w:szCs w:val="16"/>
                <w:b w:val="1"/>
                <w:bCs w:val="1"/>
                <w:color w:val="auto"/>
              </w:rPr>
              <w:t>For Years Ended December 31,</w:t>
            </w: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6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6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Current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Deferred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3"/>
              </w:rPr>
              <w:t>Current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w w:val="97"/>
              </w:rPr>
              <w:t>Deferred</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6"/>
                <w:szCs w:val="16"/>
                <w:b w:val="1"/>
                <w:bCs w:val="1"/>
                <w:color w:val="auto"/>
              </w:rPr>
              <w:t>Current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6"/>
                <w:szCs w:val="16"/>
                <w:b w:val="1"/>
                <w:bCs w:val="1"/>
                <w:color w:val="auto"/>
                <w:w w:val="97"/>
              </w:rPr>
              <w:t>Deferred</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2"/>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federal</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w w:val="89"/>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w w:val="91"/>
              </w:rPr>
              <w:t>(98)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0" w:type="dxa"/>
            <w:vAlign w:val="bottom"/>
          </w:tcPr>
          <w:p>
            <w:pPr>
              <w:spacing w:after="0"/>
              <w:rPr>
                <w:sz w:val="1"/>
                <w:szCs w:val="1"/>
                <w:color w:val="auto"/>
              </w:rPr>
            </w:pPr>
          </w:p>
        </w:tc>
      </w:tr>
      <w:tr>
        <w:trPr>
          <w:trHeight w:val="213"/>
        </w:trPr>
        <w:tc>
          <w:tcPr>
            <w:tcW w:w="1640" w:type="dxa"/>
            <w:vAlign w:val="bottom"/>
          </w:tcPr>
          <w:p>
            <w:pPr>
              <w:ind w:left="20"/>
              <w:spacing w:after="0"/>
              <w:rPr>
                <w:sz w:val="20"/>
                <w:szCs w:val="20"/>
                <w:color w:val="auto"/>
              </w:rPr>
            </w:pPr>
            <w:r>
              <w:rPr>
                <w:rFonts w:ascii="Arial" w:cs="Arial" w:eastAsia="Arial" w:hAnsi="Arial"/>
                <w:sz w:val="16"/>
                <w:szCs w:val="16"/>
                <w:color w:val="auto"/>
              </w:rPr>
              <w:t>Non-U.S.</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192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177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rPr>
              <w:t>225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gridSpan w:val="3"/>
          </w:tcPr>
          <w:p>
            <w:pPr>
              <w:jc w:val="right"/>
              <w:ind w:right="20"/>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217</w:t>
            </w: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state</w:t>
            </w: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2"/>
        </w:trPr>
        <w:tc>
          <w:tcPr>
            <w:tcW w:w="1640" w:type="dxa"/>
            <w:vAlign w:val="bottom"/>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559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auto"/>
              </w:rPr>
              <w:t>(137)</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422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711</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1,211</w:t>
            </w: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4"/>
          </w:tcPr>
          <w:p>
            <w:pPr>
              <w:jc w:val="right"/>
              <w:ind w:right="20"/>
              <w:spacing w:after="0"/>
              <w:rPr>
                <w:sz w:val="20"/>
                <w:szCs w:val="20"/>
                <w:color w:val="auto"/>
              </w:rPr>
            </w:pPr>
            <w:r>
              <w:rPr>
                <w:rFonts w:ascii="Arial" w:cs="Arial" w:eastAsia="Arial" w:hAnsi="Arial"/>
                <w:sz w:val="16"/>
                <w:szCs w:val="16"/>
                <w:color w:val="auto"/>
              </w:rPr>
              <w:t>(105)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21"/>
        </w:trPr>
        <w:tc>
          <w:tcPr>
            <w:tcW w:w="16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Principal reconciling items from the U.S. statutory income tax rate to the effective tax rate (provision for income taxes as a percentage of income before income taxes) are as follows: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00" w:type="dxa"/>
            <w:vAlign w:val="bottom"/>
          </w:tcPr>
          <w:p>
            <w:pPr>
              <w:spacing w:after="0"/>
              <w:rPr>
                <w:sz w:val="18"/>
                <w:szCs w:val="18"/>
                <w:color w:val="auto"/>
              </w:rPr>
            </w:pPr>
          </w:p>
        </w:tc>
        <w:tc>
          <w:tcPr>
            <w:tcW w:w="3240" w:type="dxa"/>
            <w:vAlign w:val="bottom"/>
            <w:tcBorders>
              <w:bottom w:val="single" w:sz="8" w:color="auto"/>
            </w:tcBorders>
            <w:gridSpan w:val="5"/>
          </w:tcPr>
          <w:p>
            <w:pPr>
              <w:ind w:left="1000"/>
              <w:spacing w:after="0"/>
              <w:rPr>
                <w:sz w:val="20"/>
                <w:szCs w:val="20"/>
                <w:color w:val="auto"/>
              </w:rPr>
            </w:pPr>
            <w:r>
              <w:rPr>
                <w:rFonts w:ascii="Arial" w:cs="Arial" w:eastAsia="Arial" w:hAnsi="Arial"/>
                <w:sz w:val="16"/>
                <w:szCs w:val="16"/>
                <w:b w:val="1"/>
                <w:bCs w:val="1"/>
                <w:color w:val="auto"/>
                <w:w w:val="94"/>
              </w:rPr>
              <w:t>For Years Ended December 31,</w:t>
            </w:r>
          </w:p>
        </w:tc>
        <w:tc>
          <w:tcPr>
            <w:tcW w:w="900" w:type="dxa"/>
            <w:vAlign w:val="bottom"/>
            <w:tcBorders>
              <w:bottom w:val="single" w:sz="8" w:color="auto"/>
            </w:tcBorders>
          </w:tcPr>
          <w:p>
            <w:pPr>
              <w:spacing w:after="0"/>
              <w:rPr>
                <w:sz w:val="18"/>
                <w:szCs w:val="18"/>
                <w:color w:val="auto"/>
              </w:rPr>
            </w:pPr>
          </w:p>
        </w:tc>
      </w:tr>
      <w:tr>
        <w:trPr>
          <w:trHeight w:val="210"/>
        </w:trPr>
        <w:tc>
          <w:tcPr>
            <w:tcW w:w="7100" w:type="dxa"/>
            <w:vAlign w:val="bottom"/>
            <w:tcBorders>
              <w:bottom w:val="single" w:sz="8" w:color="CCEE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r>
      <w:tr>
        <w:trPr>
          <w:trHeight w:val="212"/>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statutory income tax rate</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21.0 %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21.0 %</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U.S. tax benefit for foreign derived intangible income</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(6.1)</w:t>
            </w:r>
          </w:p>
        </w:tc>
        <w:tc>
          <w:tcPr>
            <w:tcW w:w="1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(5.3)</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Impact of changes in uncertain tax positions</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U.S. excess tax benefit for stock compensation</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79"/>
              <w:spacing w:after="0"/>
              <w:rPr>
                <w:sz w:val="20"/>
                <w:szCs w:val="20"/>
                <w:color w:val="auto"/>
              </w:rPr>
            </w:pPr>
            <w:r>
              <w:rPr>
                <w:rFonts w:ascii="Arial" w:cs="Arial" w:eastAsia="Arial" w:hAnsi="Arial"/>
                <w:sz w:val="16"/>
                <w:szCs w:val="16"/>
                <w:color w:val="auto"/>
              </w:rPr>
              <w:t>(2.0)</w:t>
            </w:r>
          </w:p>
        </w:tc>
      </w:tr>
      <w:tr>
        <w:trPr>
          <w:trHeight w:val="219"/>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R&amp;D tax credit</w:t>
            </w:r>
          </w:p>
        </w:tc>
        <w:tc>
          <w:tcPr>
            <w:tcW w:w="134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r>
      <w:tr>
        <w:trPr>
          <w:trHeight w:val="213"/>
        </w:trPr>
        <w:tc>
          <w:tcPr>
            <w:tcW w:w="7100" w:type="dxa"/>
            <w:vAlign w:val="bottom"/>
          </w:tcPr>
          <w:p>
            <w:pPr>
              <w:ind w:left="20"/>
              <w:spacing w:after="0"/>
              <w:rPr>
                <w:sz w:val="20"/>
                <w:szCs w:val="20"/>
                <w:color w:val="auto"/>
              </w:rPr>
            </w:pPr>
            <w:r>
              <w:rPr>
                <w:rFonts w:ascii="Arial" w:cs="Arial" w:eastAsia="Arial" w:hAnsi="Arial"/>
                <w:sz w:val="16"/>
                <w:szCs w:val="16"/>
                <w:color w:val="auto"/>
              </w:rPr>
              <w:t>U.S. Tax Act transitional non-cash expense</w:t>
            </w:r>
          </w:p>
        </w:tc>
        <w:tc>
          <w:tcPr>
            <w:tcW w:w="144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rPr>
              <w:t>—</w:t>
            </w:r>
          </w:p>
        </w:tc>
        <w:tc>
          <w:tcPr>
            <w:tcW w:w="1800" w:type="dxa"/>
            <w:vAlign w:val="bottom"/>
            <w:gridSpan w:val="3"/>
          </w:tcPr>
          <w:p>
            <w:pPr>
              <w:jc w:val="right"/>
              <w:ind w:right="70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19"/>
              <w:spacing w:after="0"/>
              <w:rPr>
                <w:sz w:val="20"/>
                <w:szCs w:val="20"/>
                <w:color w:val="auto"/>
              </w:rPr>
            </w:pPr>
            <w:r>
              <w:rPr>
                <w:rFonts w:ascii="Arial" w:cs="Arial" w:eastAsia="Arial" w:hAnsi="Arial"/>
                <w:sz w:val="16"/>
                <w:szCs w:val="16"/>
                <w:color w:val="auto"/>
              </w:rPr>
              <w:t>4.2</w:t>
            </w:r>
          </w:p>
        </w:tc>
      </w:tr>
      <w:tr>
        <w:trPr>
          <w:trHeight w:val="216"/>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34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b w:val="1"/>
                <w:bCs w:val="1"/>
                <w:color w:val="auto"/>
              </w:rPr>
              <w:t>(0.1)</w:t>
            </w:r>
          </w:p>
        </w:tc>
        <w:tc>
          <w:tcPr>
            <w:tcW w:w="10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r>
      <w:tr>
        <w:trPr>
          <w:trHeight w:val="212"/>
        </w:trPr>
        <w:tc>
          <w:tcPr>
            <w:tcW w:w="7100" w:type="dxa"/>
            <w:vAlign w:val="bottom"/>
          </w:tcPr>
          <w:p>
            <w:pPr>
              <w:ind w:left="20"/>
              <w:spacing w:after="0"/>
              <w:rPr>
                <w:sz w:val="20"/>
                <w:szCs w:val="20"/>
                <w:color w:val="auto"/>
              </w:rPr>
            </w:pPr>
            <w:r>
              <w:rPr>
                <w:rFonts w:ascii="Arial" w:cs="Arial" w:eastAsia="Arial" w:hAnsi="Arial"/>
                <w:sz w:val="16"/>
                <w:szCs w:val="16"/>
                <w:color w:val="auto"/>
              </w:rPr>
              <w:t>Effective tax rate</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7.0 %</w:t>
            </w:r>
          </w:p>
        </w:tc>
        <w:tc>
          <w:tcPr>
            <w:tcW w:w="10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12.4 %</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16.5 %</w:t>
            </w:r>
          </w:p>
        </w:tc>
      </w:tr>
      <w:tr>
        <w:trPr>
          <w:trHeight w:val="21"/>
        </w:trPr>
        <w:tc>
          <w:tcPr>
            <w:tcW w:w="7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earnings represented by non-cash operating assets, such as fixed assets and inventory, will continue to be permanently reinvested outside the United States. Provisions of the U.S. Tax Cuts and Jobs Act (the Tax Act), such as the one-time tax on indefinitely reinvested earnings and the global intangible low-taxed income (GILTI) tax for years beginning in 2018, eliminate any additional U.S. taxation resulting from repatriation of earnings of non-U.S. subsidiaries to the United States. Consequently, no U.S. tax provision has been made for the future remittance of these earnings. However, withholding or distribution taxes in certain non-U.S. jurisdictions will be incurred upon repatriation of available cash to the United States. A provision has been made for deferred taxes on these undistributed earnings to the extent that repatriation of the available cash to the United States is expected to result in a tax liability. As of December 31, 2020, we have no basis differences that would result in material unrecognized deferred tax liabilities.</w:t>
      </w:r>
    </w:p>
    <w:p>
      <w:pPr>
        <w:spacing w:after="0" w:line="16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We have made an allowable policy election to account for the effects of GILTI as a component of income tax expense in the period in which the tax is incurred.</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color w:val="auto"/>
        </w:rPr>
        <w:t>The primary components of deferred tax assets and liabilities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18"/>
                <w:szCs w:val="18"/>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r>
      <w:tr>
        <w:trPr>
          <w:trHeight w:val="19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Deferred loss and tax credit carryforwards</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207</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Stock compensation</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106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and related reserves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w:t>
            </w: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Retirement costs for defined benefit and retiree health care</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Total deferred tax assets, before valuation allowance</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645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662</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Valuation allowance</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(179)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(180)</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Total deferred tax assets, after valuation allowance</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466</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482</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Property, plant and equipment</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(164)</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International earnings</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r>
      <w:tr>
        <w:trPr>
          <w:trHeight w:val="213"/>
        </w:trPr>
        <w:tc>
          <w:tcPr>
            <w:tcW w:w="8720" w:type="dxa"/>
            <w:vAlign w:val="bottom"/>
          </w:tcPr>
          <w:p>
            <w:pPr>
              <w:ind w:left="140"/>
              <w:spacing w:after="0"/>
              <w:rPr>
                <w:sz w:val="20"/>
                <w:szCs w:val="20"/>
                <w:color w:val="auto"/>
              </w:rPr>
            </w:pPr>
            <w:r>
              <w:rPr>
                <w:rFonts w:ascii="Arial" w:cs="Arial" w:eastAsia="Arial" w:hAnsi="Arial"/>
                <w:sz w:val="16"/>
                <w:szCs w:val="16"/>
                <w:color w:val="auto"/>
              </w:rPr>
              <w:t>Acquisition-related intangibles and fair-value adjustments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19"/>
        </w:trPr>
        <w:tc>
          <w:tcPr>
            <w:tcW w:w="87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07"/>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deferred tax liabilities</w:t>
            </w:r>
          </w:p>
        </w:tc>
        <w:tc>
          <w:tcPr>
            <w:tcW w:w="78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(213)</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deferred tax assets and liabilities based on tax jurisdictions are presented on our Consolidated Balance Sheets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ind w:left="20"/>
              <w:spacing w:after="0"/>
              <w:rPr>
                <w:sz w:val="20"/>
                <w:szCs w:val="20"/>
                <w:color w:val="auto"/>
              </w:rPr>
            </w:pPr>
            <w:r>
              <w:rPr>
                <w:rFonts w:ascii="Arial" w:cs="Arial" w:eastAsia="Arial" w:hAnsi="Arial"/>
                <w:sz w:val="16"/>
                <w:szCs w:val="16"/>
                <w:b w:val="1"/>
                <w:bCs w:val="1"/>
                <w:color w:val="auto"/>
                <w:w w:val="88"/>
              </w:rPr>
              <w:t>December 31,</w:t>
            </w:r>
          </w:p>
        </w:tc>
        <w:tc>
          <w:tcPr>
            <w:tcW w:w="780" w:type="dxa"/>
            <w:vAlign w:val="bottom"/>
            <w:tcBorders>
              <w:bottom w:val="single" w:sz="8" w:color="auto"/>
            </w:tcBorders>
          </w:tcPr>
          <w:p>
            <w:pPr>
              <w:spacing w:after="0"/>
              <w:rPr>
                <w:sz w:val="18"/>
                <w:szCs w:val="18"/>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6"/>
                <w:szCs w:val="16"/>
                <w:b w:val="1"/>
                <w:bCs w:val="1"/>
                <w:color w:val="auto"/>
              </w:rPr>
              <w:t>343</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197</w:t>
            </w:r>
          </w:p>
        </w:tc>
      </w:tr>
      <w:tr>
        <w:trPr>
          <w:trHeight w:val="213"/>
        </w:trPr>
        <w:tc>
          <w:tcPr>
            <w:tcW w:w="8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Deferred tax liabilities</w:t>
            </w: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w w:val="98"/>
              </w:rPr>
              <w:t>(90)</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480"/>
              <w:spacing w:after="0"/>
              <w:rPr>
                <w:sz w:val="20"/>
                <w:szCs w:val="20"/>
                <w:color w:val="auto"/>
              </w:rPr>
            </w:pPr>
            <w:r>
              <w:rPr>
                <w:rFonts w:ascii="Arial" w:cs="Arial" w:eastAsia="Arial" w:hAnsi="Arial"/>
                <w:sz w:val="16"/>
                <w:szCs w:val="16"/>
                <w:color w:val="auto"/>
                <w:w w:val="98"/>
              </w:rPr>
              <w:t>(78)</w:t>
            </w:r>
          </w:p>
        </w:tc>
      </w:tr>
      <w:tr>
        <w:trPr>
          <w:trHeight w:val="237"/>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deferred tax asset</w:t>
            </w: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b w:val="1"/>
                <w:bCs w:val="1"/>
                <w:color w:val="auto"/>
              </w:rPr>
              <w:t>253</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119</w:t>
            </w: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make an ongoing assessment regarding the realization of U.S. and non-U.S. deferred tax assets. This assessment is based on our evaluation of relevant criteria, including the existence of deferred tax liabilities that can be used to absorb deferred tax assets, taxable income in prior carryback years and expectations for future taxable income. Valuation allowances decreased $1 million in 2020 and increased $8 million and $7 million in 2019 and 2018, respectively. These changes had no impact to net income in 2020, 2019 or 2018.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We have no tax loss carryforwards as of December 31, 2020.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Cash payments made for income taxes, net of refunds, were $720 million, $570 million and $705 million in 2020, 2019 and 2018,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225" w:lineRule="exact"/>
        <w:rPr>
          <w:sz w:val="20"/>
          <w:szCs w:val="20"/>
          <w:color w:val="auto"/>
        </w:rPr>
      </w:pPr>
    </w:p>
    <w:p>
      <w:pPr>
        <w:ind w:right="260"/>
        <w:spacing w:after="0" w:line="301" w:lineRule="auto"/>
        <w:rPr>
          <w:sz w:val="20"/>
          <w:szCs w:val="20"/>
          <w:color w:val="auto"/>
        </w:rPr>
      </w:pPr>
      <w:r>
        <w:rPr>
          <w:rFonts w:ascii="Arial" w:cs="Arial" w:eastAsia="Arial" w:hAnsi="Arial"/>
          <w:sz w:val="16"/>
          <w:szCs w:val="16"/>
          <w:color w:val="auto"/>
        </w:rPr>
        <w:t>We operate in a number of tax jurisdictions, and our income tax returns are subject to examination by tax authorities in those jurisdictions who may challenge any item on these tax returns. Because the matters challenged by authorities are typically complex, their ultimate outcome is uncertain. Before any benefit can be recorded in our financial statements, we must determine that it is “more likely than not” that a tax position will be sustained by the appropriate tax authorities. We recognize accrued interest related to uncertain tax positions and penalties as components of OI&amp;E.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color w:val="auto"/>
        </w:rPr>
        <w:t>The changes in the total amounts of uncertain tax positions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January 1</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303</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Additions based on tax positions related to the current year</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Additions for tax positions of prior years</w:t>
            </w:r>
          </w:p>
        </w:tc>
        <w:tc>
          <w:tcPr>
            <w:tcW w:w="8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Reductions for tax positions of prior years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w w:val="96"/>
              </w:rPr>
              <w:t>(249)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Settlements with tax authorities</w:t>
            </w:r>
          </w:p>
        </w:tc>
        <w:tc>
          <w:tcPr>
            <w:tcW w:w="8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Expiration of the statute of limitations for assessing taxes</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7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December 31</w:t>
            </w:r>
          </w:p>
        </w:tc>
        <w:tc>
          <w:tcPr>
            <w:tcW w:w="800" w:type="dxa"/>
            <w:vAlign w:val="bottom"/>
            <w:tcBorders>
              <w:top w:val="single" w:sz="8" w:color="auto"/>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286</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1"/>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income (expense) recognized in the year ended December 31</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41"/>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payable as of December 31</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liability for uncertain tax positions is a component of other long-term liabilities on our Consolidated Balance Sheets.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All of the $89 million and $303 million liabilities for uncertain tax positions as of December 31, 2020 and 2019, respectively, are comprised of positions that, if recognized, would lower the effective tax rate. If these liabilities are ultimately realized, $2 million of existing deferred tax assets in both 2020 and 2019 would also be realized. Reductions for tax positions of prior years in 2020 include a $249 million tax benefit for the effective settlement of a depreciation-related uncertain tax position. Accrued interest of $46 million related to this uncertain tax position was reversed and included in OI&amp;E.</w:t>
      </w:r>
    </w:p>
    <w:p>
      <w:pPr>
        <w:spacing w:after="0" w:line="15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As of December 31, 2020, the statute of limitations remains open for U.S. federal tax returns for 2013 and following years. Audit activities related to our U.S. federal tax returns through 2015 have been completed except for certain pending tax treaty procedures for relief from double taxation and an Internal Revenue Service appeals process related to the 2013 through 2015 audit. The procedures for relief from double taxation pertain to U.S. federal tax returns for the years 2007 through 2012.</w:t>
      </w:r>
    </w:p>
    <w:p>
      <w:pPr>
        <w:spacing w:after="0" w:line="18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 non-U.S. jurisdictions, the years open to audit represent the years still open under the statute of limitations. With respect to major jurisdictions outside the United States, our subsidiaries are no longer subject to income tax audits for years before 2007.</w:t>
      </w:r>
    </w:p>
    <w:p>
      <w:pPr>
        <w:spacing w:after="0" w:line="170" w:lineRule="exact"/>
        <w:rPr>
          <w:sz w:val="20"/>
          <w:szCs w:val="20"/>
          <w:color w:val="auto"/>
        </w:rPr>
      </w:pPr>
    </w:p>
    <w:p>
      <w:pPr>
        <w:ind w:left="180" w:hanging="172"/>
        <w:spacing w:after="0"/>
        <w:tabs>
          <w:tab w:leader="none" w:pos="18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Financial instruments and risk concentration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jc w:val="both"/>
        <w:ind w:right="80"/>
        <w:spacing w:after="0" w:line="311" w:lineRule="auto"/>
        <w:rPr>
          <w:sz w:val="20"/>
          <w:szCs w:val="20"/>
          <w:color w:val="auto"/>
        </w:rPr>
      </w:pPr>
      <w:r>
        <w:rPr>
          <w:rFonts w:ascii="Arial" w:cs="Arial" w:eastAsia="Arial" w:hAnsi="Arial"/>
          <w:sz w:val="16"/>
          <w:szCs w:val="16"/>
          <w:color w:val="auto"/>
        </w:rPr>
        <w:t>We hold derivative financial instruments such as forward foreign currency exchange contracts, the fair value of which was not material as of December 31, 2020. Our forward foreign currency exchange contracts outstanding as of December 31, 2020, had a notional value of $416 million to hedge our non-U.S. dollar net balance sheet exposures, including $147 million to sell Japanese yen, $85 million to sell euros and $82 million to sell British pounds.</w:t>
      </w:r>
    </w:p>
    <w:p>
      <w:pPr>
        <w:spacing w:after="0" w:line="149"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Our investments in cash equivalents, short-term investments and certain long-term investments, as well as our deferred compensation liabilities, are carried at fair value. Our postretirement plan assets are carried at fair value or net asset value per share. The carrying values for other current financial assets and liabilities, such as accounts receivable and accounts payable, approximate fair value due to the short maturity of such instruments. As of December 31, 2020, the carrying value of long-term debt, including the current portion, was $6.80 billion, and the estimated fair value was $7.78 billion. The estimated fair value is measured using broker-dealer quotes, which are Level 2 inputs. See Note 6 for a description of fair value and the definition of Level 2 inputs.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 concentration</w:t>
      </w:r>
    </w:p>
    <w:p>
      <w:pPr>
        <w:spacing w:after="0" w:line="225" w:lineRule="exact"/>
        <w:rPr>
          <w:sz w:val="20"/>
          <w:szCs w:val="20"/>
          <w:color w:val="auto"/>
        </w:rPr>
      </w:pPr>
    </w:p>
    <w:p>
      <w:pPr>
        <w:ind w:right="460"/>
        <w:spacing w:after="0" w:line="301" w:lineRule="auto"/>
        <w:rPr>
          <w:sz w:val="20"/>
          <w:szCs w:val="20"/>
          <w:color w:val="auto"/>
        </w:rPr>
      </w:pPr>
      <w:r>
        <w:rPr>
          <w:rFonts w:ascii="Arial" w:cs="Arial" w:eastAsia="Arial" w:hAnsi="Arial"/>
          <w:sz w:val="16"/>
          <w:szCs w:val="16"/>
          <w:color w:val="auto"/>
        </w:rPr>
        <w:t>We are subject to counterparty risks from financial institutions, customers and issuers of debt securities. Financial instruments that could subject us to concentrations of credit risk are primarily cash deposits, cash equivalents, short-term investments and accounts receivable. To manage our credit risk exposure, we place cash investments in investment-grade debt securities and limit the amount of credit exposure to any one issuer. We also limit counterparties on cash deposits and financial derivative contracts to financial institutions with investment-grade ratings.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0" w:name="page41"/>
    <w:bookmarkEnd w:id="40"/>
    <w:p>
      <w:pPr>
        <w:ind w:right="320"/>
        <w:spacing w:after="0" w:line="263" w:lineRule="auto"/>
        <w:rPr>
          <w:sz w:val="20"/>
          <w:szCs w:val="20"/>
          <w:color w:val="auto"/>
        </w:rPr>
      </w:pPr>
      <w:r>
        <w:rPr>
          <w:rFonts w:ascii="Arial" w:cs="Arial" w:eastAsia="Arial" w:hAnsi="Arial"/>
          <w:sz w:val="18"/>
          <w:szCs w:val="18"/>
          <w:color w:val="auto"/>
        </w:rPr>
        <w:t>Concentrations of credit risk with respect to accounts receivable are limited due to our large number of customers and their dispersion across different industries and geographic areas. We maintain allowances for expected returns, disputes, adjustments, incentives and credit losses. These allowances are deducted from accounts receivable on our Consolidated Balance Sheets.</w:t>
      </w:r>
    </w:p>
    <w:p>
      <w:pPr>
        <w:spacing w:after="0" w:line="18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Accounts receivable allowances changed to reflect amounts charged (credited) to operating results by $3 million, ($11) million and $11 million in 2020, 2019 and 2018,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One of our end customers accounted for 10%, 8% and 8% of revenue in 2020, 2019 and 2018, respectively, recognized primarily in our Analog segment.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end customer accounted for 10% or more of revenue in 2019 or 2018.</w:t>
      </w:r>
    </w:p>
    <w:p>
      <w:pPr>
        <w:spacing w:after="0" w:line="211" w:lineRule="exact"/>
        <w:rPr>
          <w:sz w:val="20"/>
          <w:szCs w:val="20"/>
          <w:color w:val="auto"/>
        </w:rPr>
      </w:pPr>
    </w:p>
    <w:p>
      <w:pPr>
        <w:ind w:left="180" w:hanging="172"/>
        <w:spacing w:after="0"/>
        <w:tabs>
          <w:tab w:leader="none" w:pos="18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Valuation of debt and equity investments and certain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measured at fair value</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Available-for-sale debt investments, money market funds and mutual funds are stated at fair value, which is generally based on market prices or broker quotes. See </w:t>
      </w:r>
      <w:r>
        <w:rPr>
          <w:rFonts w:ascii="Arial" w:cs="Arial" w:eastAsia="Arial" w:hAnsi="Arial"/>
          <w:sz w:val="18"/>
          <w:szCs w:val="18"/>
          <w:i w:val="1"/>
          <w:iCs w:val="1"/>
          <w:color w:val="auto"/>
        </w:rPr>
        <w:t>Fair-value considerations</w:t>
      </w:r>
      <w:r>
        <w:rPr>
          <w:rFonts w:ascii="Arial" w:cs="Arial" w:eastAsia="Arial" w:hAnsi="Arial"/>
          <w:sz w:val="18"/>
          <w:szCs w:val="18"/>
          <w:color w:val="auto"/>
        </w:rPr>
        <w:t>. Unrealized gains and losses from available-for-sale debt securities are recorded as an increase or decrease, net of taxes, in AOCI on our Consolidated Balance Sheets, and any credit losses on available-for-sale debt securities are recorded as an allowance for credit losses with an offset recognized in OI&amp;E in our Consolidated Statements of Income.</w:t>
      </w:r>
    </w:p>
    <w:p>
      <w:pPr>
        <w:spacing w:after="0" w:line="187"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Our mutual funds hold a variety of debt and equity investments intended to generate returns that offset changes in certain deferred compensation liabilities. We record changes in the fair value of these mutual funds and the related deferred compensation liabilities in SG&amp;A.</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22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Our other investments include equity-method investments and non-marketable equity investments, which are not measured at fair value. These investments consist of interests in venture capital funds and other non-marketable equity securities. Gains and losses from equity-method investments are recognized in OI&amp;E based on our ownership share of the investee’s financial results.</w:t>
      </w:r>
    </w:p>
    <w:p>
      <w:pPr>
        <w:spacing w:after="0" w:line="184"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Non-marketable equity securities are measured at cost with adjustments for observable changes in price or impairments. Gains and losses on non-marketable equity investments are recognized in OI&amp;E.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Details of our investments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7"/>
              </w:rPr>
              <w:t>December 31, 2019</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59"/>
        </w:trPr>
        <w:tc>
          <w:tcPr>
            <w:tcW w:w="3400" w:type="dxa"/>
            <w:vAlign w:val="bottom"/>
          </w:tcPr>
          <w:p>
            <w:pPr>
              <w:spacing w:after="0"/>
              <w:rPr>
                <w:sz w:val="13"/>
                <w:szCs w:val="13"/>
                <w:color w:val="auto"/>
              </w:rPr>
            </w:pPr>
          </w:p>
        </w:tc>
        <w:tc>
          <w:tcPr>
            <w:tcW w:w="1180" w:type="dxa"/>
            <w:vAlign w:val="bottom"/>
            <w:gridSpan w:val="2"/>
          </w:tcPr>
          <w:p>
            <w:pPr>
              <w:jc w:val="right"/>
              <w:spacing w:after="0" w:line="158" w:lineRule="exact"/>
              <w:rPr>
                <w:sz w:val="20"/>
                <w:szCs w:val="20"/>
                <w:color w:val="auto"/>
              </w:rPr>
            </w:pPr>
            <w:r>
              <w:rPr>
                <w:rFonts w:ascii="Arial" w:cs="Arial" w:eastAsia="Arial" w:hAnsi="Arial"/>
                <w:sz w:val="16"/>
                <w:szCs w:val="16"/>
                <w:b w:val="1"/>
                <w:bCs w:val="1"/>
                <w:color w:val="auto"/>
                <w:w w:val="95"/>
              </w:rPr>
              <w:t>Cash and Cash</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8" w:lineRule="exact"/>
              <w:rPr>
                <w:sz w:val="20"/>
                <w:szCs w:val="20"/>
                <w:color w:val="auto"/>
              </w:rPr>
            </w:pPr>
            <w:r>
              <w:rPr>
                <w:rFonts w:ascii="Arial" w:cs="Arial" w:eastAsia="Arial" w:hAnsi="Arial"/>
                <w:sz w:val="16"/>
                <w:szCs w:val="16"/>
                <w:b w:val="1"/>
                <w:bCs w:val="1"/>
                <w:color w:val="auto"/>
                <w:w w:val="95"/>
              </w:rPr>
              <w:t>Short-Term</w:t>
            </w:r>
          </w:p>
        </w:tc>
        <w:tc>
          <w:tcPr>
            <w:tcW w:w="140" w:type="dxa"/>
            <w:vAlign w:val="bottom"/>
          </w:tcPr>
          <w:p>
            <w:pPr>
              <w:spacing w:after="0"/>
              <w:rPr>
                <w:sz w:val="13"/>
                <w:szCs w:val="13"/>
                <w:color w:val="auto"/>
              </w:rPr>
            </w:pPr>
          </w:p>
        </w:tc>
        <w:tc>
          <w:tcPr>
            <w:tcW w:w="1060" w:type="dxa"/>
            <w:vAlign w:val="bottom"/>
          </w:tcPr>
          <w:p>
            <w:pPr>
              <w:jc w:val="center"/>
              <w:ind w:right="59"/>
              <w:spacing w:after="0" w:line="158" w:lineRule="exact"/>
              <w:rPr>
                <w:sz w:val="20"/>
                <w:szCs w:val="20"/>
                <w:color w:val="auto"/>
              </w:rPr>
            </w:pPr>
            <w:r>
              <w:rPr>
                <w:rFonts w:ascii="Arial" w:cs="Arial" w:eastAsia="Arial" w:hAnsi="Arial"/>
                <w:sz w:val="16"/>
                <w:szCs w:val="16"/>
                <w:b w:val="1"/>
                <w:bCs w:val="1"/>
                <w:color w:val="auto"/>
                <w:w w:val="95"/>
              </w:rPr>
              <w:t>Long-Term</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ind w:right="59"/>
              <w:spacing w:after="0" w:line="158" w:lineRule="exact"/>
              <w:rPr>
                <w:sz w:val="20"/>
                <w:szCs w:val="20"/>
                <w:color w:val="auto"/>
              </w:rPr>
            </w:pPr>
            <w:r>
              <w:rPr>
                <w:rFonts w:ascii="Arial" w:cs="Arial" w:eastAsia="Arial" w:hAnsi="Arial"/>
                <w:sz w:val="16"/>
                <w:szCs w:val="16"/>
                <w:b w:val="1"/>
                <w:bCs w:val="1"/>
                <w:color w:val="auto"/>
                <w:w w:val="89"/>
              </w:rPr>
              <w:t>Cash and Cash</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line="158" w:lineRule="exact"/>
              <w:rPr>
                <w:sz w:val="20"/>
                <w:szCs w:val="20"/>
                <w:color w:val="auto"/>
              </w:rPr>
            </w:pPr>
            <w:r>
              <w:rPr>
                <w:rFonts w:ascii="Arial" w:cs="Arial" w:eastAsia="Arial" w:hAnsi="Arial"/>
                <w:sz w:val="16"/>
                <w:szCs w:val="16"/>
                <w:b w:val="1"/>
                <w:bCs w:val="1"/>
                <w:color w:val="auto"/>
              </w:rPr>
              <w:t>Short-Term</w:t>
            </w:r>
          </w:p>
        </w:tc>
        <w:tc>
          <w:tcPr>
            <w:tcW w:w="140" w:type="dxa"/>
            <w:vAlign w:val="bottom"/>
          </w:tcPr>
          <w:p>
            <w:pPr>
              <w:spacing w:after="0"/>
              <w:rPr>
                <w:sz w:val="13"/>
                <w:szCs w:val="13"/>
                <w:color w:val="auto"/>
              </w:rPr>
            </w:pPr>
          </w:p>
        </w:tc>
        <w:tc>
          <w:tcPr>
            <w:tcW w:w="1060" w:type="dxa"/>
            <w:vAlign w:val="bottom"/>
          </w:tcPr>
          <w:p>
            <w:pPr>
              <w:jc w:val="right"/>
              <w:ind w:right="119"/>
              <w:spacing w:after="0" w:line="158" w:lineRule="exact"/>
              <w:rPr>
                <w:sz w:val="20"/>
                <w:szCs w:val="20"/>
                <w:color w:val="auto"/>
              </w:rPr>
            </w:pPr>
            <w:r>
              <w:rPr>
                <w:rFonts w:ascii="Arial" w:cs="Arial" w:eastAsia="Arial" w:hAnsi="Arial"/>
                <w:sz w:val="16"/>
                <w:szCs w:val="16"/>
                <w:b w:val="1"/>
                <w:bCs w:val="1"/>
                <w:color w:val="auto"/>
              </w:rPr>
              <w:t>Long-Term</w:t>
            </w:r>
          </w:p>
        </w:tc>
      </w:tr>
      <w:tr>
        <w:trPr>
          <w:trHeight w:val="213"/>
        </w:trPr>
        <w:tc>
          <w:tcPr>
            <w:tcW w:w="3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99"/>
              <w:spacing w:after="0"/>
              <w:rPr>
                <w:sz w:val="20"/>
                <w:szCs w:val="20"/>
                <w:color w:val="auto"/>
              </w:rPr>
            </w:pPr>
            <w:r>
              <w:rPr>
                <w:rFonts w:ascii="Arial" w:cs="Arial" w:eastAsia="Arial" w:hAnsi="Arial"/>
                <w:sz w:val="16"/>
                <w:szCs w:val="16"/>
                <w:b w:val="1"/>
                <w:bCs w:val="1"/>
                <w:color w:val="auto"/>
                <w:w w:val="93"/>
              </w:rPr>
              <w:t>Equivalents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Investments</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Investments</w:t>
            </w:r>
          </w:p>
        </w:tc>
        <w:tc>
          <w:tcPr>
            <w:tcW w:w="100" w:type="dxa"/>
            <w:vAlign w:val="bottom"/>
          </w:tcPr>
          <w:p>
            <w:pPr>
              <w:spacing w:after="0"/>
              <w:rPr>
                <w:sz w:val="18"/>
                <w:szCs w:val="18"/>
                <w:color w:val="auto"/>
              </w:rPr>
            </w:pPr>
          </w:p>
        </w:tc>
        <w:tc>
          <w:tcPr>
            <w:tcW w:w="1200" w:type="dxa"/>
            <w:vAlign w:val="bottom"/>
          </w:tcPr>
          <w:p>
            <w:pPr>
              <w:jc w:val="right"/>
              <w:ind w:right="159"/>
              <w:spacing w:after="0"/>
              <w:rPr>
                <w:sz w:val="20"/>
                <w:szCs w:val="20"/>
                <w:color w:val="auto"/>
              </w:rPr>
            </w:pPr>
            <w:r>
              <w:rPr>
                <w:rFonts w:ascii="Arial" w:cs="Arial" w:eastAsia="Arial" w:hAnsi="Arial"/>
                <w:sz w:val="16"/>
                <w:szCs w:val="16"/>
                <w:b w:val="1"/>
                <w:bCs w:val="1"/>
                <w:color w:val="auto"/>
              </w:rPr>
              <w:t>Equivalents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6"/>
                <w:szCs w:val="16"/>
                <w:b w:val="1"/>
                <w:bCs w:val="1"/>
                <w:color w:val="auto"/>
              </w:rPr>
              <w:t>Investments</w:t>
            </w:r>
          </w:p>
        </w:tc>
        <w:tc>
          <w:tcPr>
            <w:tcW w:w="140" w:type="dxa"/>
            <w:vAlign w:val="bottom"/>
          </w:tcPr>
          <w:p>
            <w:pPr>
              <w:spacing w:after="0"/>
              <w:rPr>
                <w:sz w:val="18"/>
                <w:szCs w:val="18"/>
                <w:color w:val="auto"/>
              </w:rPr>
            </w:pPr>
          </w:p>
        </w:tc>
        <w:tc>
          <w:tcPr>
            <w:tcW w:w="1060" w:type="dxa"/>
            <w:vAlign w:val="bottom"/>
          </w:tcPr>
          <w:p>
            <w:pPr>
              <w:jc w:val="right"/>
              <w:ind w:right="99"/>
              <w:spacing w:after="0"/>
              <w:rPr>
                <w:sz w:val="20"/>
                <w:szCs w:val="20"/>
                <w:color w:val="auto"/>
              </w:rPr>
            </w:pPr>
            <w:r>
              <w:rPr>
                <w:rFonts w:ascii="Arial" w:cs="Arial" w:eastAsia="Arial" w:hAnsi="Arial"/>
                <w:sz w:val="16"/>
                <w:szCs w:val="16"/>
                <w:b w:val="1"/>
                <w:bCs w:val="1"/>
                <w:color w:val="auto"/>
                <w:w w:val="92"/>
              </w:rPr>
              <w:t>Investments</w:t>
            </w:r>
          </w:p>
        </w:tc>
      </w:tr>
      <w:tr>
        <w:trPr>
          <w:trHeight w:val="199"/>
        </w:trPr>
        <w:tc>
          <w:tcPr>
            <w:tcW w:w="3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Measured at fair value:</w:t>
            </w:r>
          </w:p>
        </w:tc>
        <w:tc>
          <w:tcPr>
            <w:tcW w:w="1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886</w:t>
            </w:r>
          </w:p>
        </w:tc>
        <w:tc>
          <w:tcPr>
            <w:tcW w:w="260" w:type="dxa"/>
            <w:vAlign w:val="bottom"/>
            <w:gridSpan w:val="2"/>
          </w:tcPr>
          <w:p>
            <w:pPr>
              <w:jc w:val="right"/>
              <w:spacing w:after="0"/>
              <w:rPr>
                <w:sz w:val="20"/>
                <w:szCs w:val="20"/>
                <w:color w:val="auto"/>
              </w:rPr>
            </w:pPr>
            <w:r>
              <w:rPr>
                <w:rFonts w:ascii="Arial" w:cs="Arial" w:eastAsia="Arial" w:hAnsi="Arial"/>
                <w:sz w:val="16"/>
                <w:szCs w:val="16"/>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1,213</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w w:val="93"/>
              </w:rPr>
              <w:t>U.S. government agency and Treasury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1,340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3,054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1,734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07"/>
        </w:trPr>
        <w:tc>
          <w:tcPr>
            <w:tcW w:w="34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2,482</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3,461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18</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1,991</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w:t>
            </w:r>
          </w:p>
        </w:tc>
      </w:tr>
      <w:tr>
        <w:trPr>
          <w:trHeight w:val="259"/>
        </w:trPr>
        <w:tc>
          <w:tcPr>
            <w:tcW w:w="34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13"/>
        </w:trPr>
        <w:tc>
          <w:tcPr>
            <w:tcW w:w="3400" w:type="dxa"/>
            <w:vAlign w:val="bottom"/>
          </w:tcPr>
          <w:p>
            <w:pPr>
              <w:ind w:left="20"/>
              <w:spacing w:after="0"/>
              <w:rPr>
                <w:sz w:val="20"/>
                <w:szCs w:val="20"/>
                <w:color w:val="auto"/>
              </w:rPr>
            </w:pPr>
            <w:r>
              <w:rPr>
                <w:rFonts w:ascii="Arial" w:cs="Arial" w:eastAsia="Arial" w:hAnsi="Arial"/>
                <w:sz w:val="16"/>
                <w:szCs w:val="16"/>
                <w:b w:val="1"/>
                <w:bCs w:val="1"/>
                <w:color w:val="auto"/>
              </w:rPr>
              <w:t>Other measurement basis:</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Equity-method investments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3"/>
        </w:trPr>
        <w:tc>
          <w:tcPr>
            <w:tcW w:w="3400" w:type="dxa"/>
            <w:vAlign w:val="bottom"/>
          </w:tcPr>
          <w:p>
            <w:pPr>
              <w:ind w:left="140"/>
              <w:spacing w:after="0"/>
              <w:rPr>
                <w:sz w:val="20"/>
                <w:szCs w:val="20"/>
                <w:color w:val="auto"/>
              </w:rPr>
            </w:pPr>
            <w:r>
              <w:rPr>
                <w:rFonts w:ascii="Arial" w:cs="Arial" w:eastAsia="Arial" w:hAnsi="Arial"/>
                <w:sz w:val="16"/>
                <w:szCs w:val="16"/>
                <w:color w:val="auto"/>
              </w:rPr>
              <w:t>Non-marketable equity investments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34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on hand</w:t>
            </w: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625</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3400" w:type="dxa"/>
            <w:vAlign w:val="bottom"/>
          </w:tcPr>
          <w:p>
            <w:pPr>
              <w:ind w:left="20"/>
              <w:spacing w:after="0"/>
              <w:rPr>
                <w:sz w:val="20"/>
                <w:szCs w:val="20"/>
                <w:color w:val="auto"/>
              </w:rPr>
            </w:pPr>
            <w:r>
              <w:rPr>
                <w:rFonts w:ascii="Arial" w:cs="Arial" w:eastAsia="Arial" w:hAnsi="Arial"/>
                <w:sz w:val="16"/>
                <w:szCs w:val="16"/>
                <w:color w:val="auto"/>
              </w:rPr>
              <w:t>Total</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3,107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3,461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2,437</w:t>
            </w:r>
          </w:p>
        </w:tc>
        <w:tc>
          <w:tcPr>
            <w:tcW w:w="2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2,950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300</w:t>
            </w:r>
          </w:p>
        </w:tc>
      </w:tr>
      <w:tr>
        <w:trPr>
          <w:trHeight w:val="21"/>
        </w:trPr>
        <w:tc>
          <w:tcPr>
            <w:tcW w:w="3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1" w:name="page42"/>
    <w:bookmarkEnd w:id="41"/>
    <w:p>
      <w:pPr>
        <w:ind w:right="60"/>
        <w:spacing w:after="0" w:line="263" w:lineRule="auto"/>
        <w:rPr>
          <w:sz w:val="20"/>
          <w:szCs w:val="20"/>
          <w:color w:val="auto"/>
        </w:rPr>
      </w:pPr>
      <w:r>
        <w:rPr>
          <w:rFonts w:ascii="Arial" w:cs="Arial" w:eastAsia="Arial" w:hAnsi="Arial"/>
          <w:sz w:val="18"/>
          <w:szCs w:val="18"/>
          <w:color w:val="auto"/>
        </w:rPr>
        <w:t>As of December 31, 2020 and 2019, unrealized gains and losses associated with our available-for-sale investments were not material. We did not recognize any credit losses related to available-for-sale investments in 2020, 2019 or 2018. All of our debt securities classified as available for sale as of December 31, 2020, have maturities within one year.</w:t>
      </w:r>
    </w:p>
    <w:p>
      <w:pPr>
        <w:spacing w:after="0" w:line="18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 2020, 2019 and 2018, the proceeds from sales, redemptions and maturities of short-term available-for-sale investments were $5.29 billion, $2.31 billion and $6.71 billion, respectively. Gross realized gains and losses from these sales were not material.</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2020, we entered into total return swaps to economically hedge the variability of certain deferred compensation obligations to employees. As a result, we received proceeds of $253 million from the sale of investments in mutual funds that were previously being utilized to offset this exposure.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Fair-value considerations</w:t>
      </w:r>
    </w:p>
    <w:p>
      <w:pPr>
        <w:spacing w:after="0" w:line="225"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measure and report certain financial assets and liabilities at fair value on a recurring basis. Fair value is defined as the price that would be received to sell an asset or paid to transfer a liability (an exit price) in the principal or most advantageous market for the asset or liability in an orderly transaction between market participants on the measurement date.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three-level hierarchy described below indicates the extent and level of judgment used to estimate fair-value measurements.</w:t>
      </w:r>
    </w:p>
    <w:p>
      <w:pPr>
        <w:spacing w:after="0" w:line="225"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Uses unadjusted quoted prices that are available in active markets for identical assets or liabilities as of the reporting date.</w:t>
      </w:r>
    </w:p>
    <w:p>
      <w:pPr>
        <w:spacing w:after="0" w:line="117" w:lineRule="exact"/>
        <w:rPr>
          <w:rFonts w:ascii="Arial" w:cs="Arial" w:eastAsia="Arial" w:hAnsi="Arial"/>
          <w:sz w:val="18"/>
          <w:szCs w:val="18"/>
          <w:color w:val="auto"/>
        </w:rPr>
      </w:pPr>
    </w:p>
    <w:p>
      <w:pPr>
        <w:ind w:left="660" w:right="140" w:hanging="328"/>
        <w:spacing w:after="0" w:line="273"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 Uses inputs other than Level 1 that are either directly or indirectly observable as of the reporting date through correlation with market</w:t>
      </w:r>
      <w:r>
        <w:rPr>
          <w:rFonts w:ascii="Arial" w:cs="Arial" w:eastAsia="Arial" w:hAnsi="Arial"/>
          <w:sz w:val="17"/>
          <w:szCs w:val="17"/>
          <w:i w:val="1"/>
          <w:iCs w:val="1"/>
          <w:color w:val="auto"/>
        </w:rPr>
        <w:t xml:space="preserve"> </w:t>
      </w:r>
      <w:r>
        <w:rPr>
          <w:rFonts w:ascii="Arial" w:cs="Arial" w:eastAsia="Arial" w:hAnsi="Arial"/>
          <w:sz w:val="17"/>
          <w:szCs w:val="17"/>
          <w:color w:val="auto"/>
        </w:rPr>
        <w:t>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We utilize a third-party data service to provide Level 2 valuations. We verify these valuations for reasonableness relative to unadjusted quotes obtained from brokers or dealers based on observable prices for similar assets in active markets.</w:t>
      </w:r>
    </w:p>
    <w:p>
      <w:pPr>
        <w:spacing w:after="0" w:line="69" w:lineRule="exact"/>
        <w:rPr>
          <w:rFonts w:ascii="Arial" w:cs="Arial" w:eastAsia="Arial" w:hAnsi="Arial"/>
          <w:sz w:val="17"/>
          <w:szCs w:val="17"/>
          <w:color w:val="auto"/>
        </w:rPr>
      </w:pPr>
    </w:p>
    <w:p>
      <w:pPr>
        <w:ind w:left="660" w:right="2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Uses inputs that are unobservable, supported by little or no market activity and reflect the use of significant management judgment.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values are generally determined using pricing models that utilize management estimates of market participant assumptions. As of December 31, 2020 and 2019, we had no Level 3 assets or liabilities.</w:t>
      </w:r>
    </w:p>
    <w:p>
      <w:pPr>
        <w:spacing w:after="0" w:line="184"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The following are our assets and liabilities that were accounted for at fair value on a recurring basis. These tables do not include cash on hand, assets held by our postretirement plans, or assets and liabilities that are measured at historical cost or any basis other than fair value.</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1"/>
              </w:rPr>
              <w:t>December 31, 2020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0"/>
              </w:rPr>
              <w:t>December 31, 2019</w:t>
            </w: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r>
      <w:tr>
        <w:trPr>
          <w:trHeight w:val="210"/>
        </w:trPr>
        <w:tc>
          <w:tcPr>
            <w:tcW w:w="3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ind w:right="259"/>
              <w:spacing w:after="0"/>
              <w:rPr>
                <w:sz w:val="20"/>
                <w:szCs w:val="20"/>
                <w:color w:val="auto"/>
              </w:rPr>
            </w:pPr>
            <w:r>
              <w:rPr>
                <w:rFonts w:ascii="Arial" w:cs="Arial" w:eastAsia="Arial" w:hAnsi="Arial"/>
                <w:sz w:val="16"/>
                <w:szCs w:val="16"/>
                <w:b w:val="1"/>
                <w:bCs w:val="1"/>
                <w:color w:val="auto"/>
              </w:rPr>
              <w:t>Level 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Level 2</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9"/>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rPr>
              <w:t>Money market funds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886</w:t>
            </w:r>
          </w:p>
        </w:tc>
        <w:tc>
          <w:tcPr>
            <w:tcW w:w="320" w:type="dxa"/>
            <w:vAlign w:val="bottom"/>
            <w:gridSpan w:val="2"/>
          </w:tcPr>
          <w:p>
            <w:pPr>
              <w:jc w:val="right"/>
              <w:ind w:right="39"/>
              <w:spacing w:after="0"/>
              <w:rPr>
                <w:sz w:val="20"/>
                <w:szCs w:val="20"/>
                <w:color w:val="auto"/>
              </w:rPr>
            </w:pPr>
            <w:r>
              <w:rPr>
                <w:rFonts w:ascii="Arial" w:cs="Arial" w:eastAsia="Arial" w:hAnsi="Arial"/>
                <w:sz w:val="16"/>
                <w:szCs w:val="16"/>
                <w:b w:val="1"/>
                <w:bCs w:val="1"/>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886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1,213</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1,213</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obligations</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w:t>
            </w:r>
          </w:p>
        </w:tc>
      </w:tr>
      <w:tr>
        <w:trPr>
          <w:trHeight w:val="213"/>
        </w:trPr>
        <w:tc>
          <w:tcPr>
            <w:tcW w:w="3580" w:type="dxa"/>
            <w:vAlign w:val="bottom"/>
          </w:tcPr>
          <w:p>
            <w:pPr>
              <w:ind w:left="140"/>
              <w:spacing w:after="0"/>
              <w:rPr>
                <w:sz w:val="20"/>
                <w:szCs w:val="20"/>
                <w:color w:val="auto"/>
              </w:rPr>
            </w:pPr>
            <w:r>
              <w:rPr>
                <w:rFonts w:ascii="Arial" w:cs="Arial" w:eastAsia="Arial" w:hAnsi="Arial"/>
                <w:sz w:val="16"/>
                <w:szCs w:val="16"/>
                <w:color w:val="auto"/>
                <w:w w:val="98"/>
              </w:rPr>
              <w:t>U.S. government agency and Treasury securities</w:t>
            </w: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4,394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4,394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2,338</w:t>
            </w: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Mutual funds</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272</w:t>
            </w:r>
          </w:p>
        </w:tc>
      </w:tr>
      <w:tr>
        <w:trPr>
          <w:trHeight w:val="210"/>
        </w:trPr>
        <w:tc>
          <w:tcPr>
            <w:tcW w:w="3580" w:type="dxa"/>
            <w:vAlign w:val="bottom"/>
          </w:tcPr>
          <w:p>
            <w:pPr>
              <w:ind w:left="20"/>
              <w:spacing w:after="0"/>
              <w:rPr>
                <w:sz w:val="20"/>
                <w:szCs w:val="20"/>
                <w:color w:val="auto"/>
              </w:rPr>
            </w:pPr>
            <w:r>
              <w:rPr>
                <w:rFonts w:ascii="Arial" w:cs="Arial" w:eastAsia="Arial" w:hAnsi="Arial"/>
                <w:sz w:val="16"/>
                <w:szCs w:val="16"/>
                <w:color w:val="auto"/>
              </w:rPr>
              <w:t>Total assets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5,298</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663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5,961</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3,823</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1,390</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5,213</w:t>
            </w:r>
          </w:p>
        </w:tc>
      </w:tr>
      <w:tr>
        <w:trPr>
          <w:trHeight w:val="20"/>
        </w:trPr>
        <w:tc>
          <w:tcPr>
            <w:tcW w:w="358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3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13"/>
        </w:trPr>
        <w:tc>
          <w:tcPr>
            <w:tcW w:w="35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9"/>
        </w:trPr>
        <w:tc>
          <w:tcPr>
            <w:tcW w:w="35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298</w:t>
            </w:r>
          </w:p>
        </w:tc>
      </w:tr>
      <w:tr>
        <w:trPr>
          <w:trHeight w:val="209"/>
        </w:trPr>
        <w:tc>
          <w:tcPr>
            <w:tcW w:w="3580" w:type="dxa"/>
            <w:vAlign w:val="bottom"/>
          </w:tcPr>
          <w:p>
            <w:pPr>
              <w:ind w:left="20"/>
              <w:spacing w:after="0"/>
              <w:rPr>
                <w:sz w:val="20"/>
                <w:szCs w:val="20"/>
                <w:color w:val="auto"/>
              </w:rPr>
            </w:pPr>
            <w:r>
              <w:rPr>
                <w:rFonts w:ascii="Arial" w:cs="Arial" w:eastAsia="Arial" w:hAnsi="Arial"/>
                <w:sz w:val="16"/>
                <w:szCs w:val="16"/>
                <w:color w:val="auto"/>
              </w:rPr>
              <w:t>Total liabilities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298</w:t>
            </w:r>
          </w:p>
        </w:tc>
        <w:tc>
          <w:tcPr>
            <w:tcW w:w="3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298</w:t>
            </w:r>
          </w:p>
        </w:tc>
      </w:tr>
      <w:tr>
        <w:trPr>
          <w:trHeight w:val="21"/>
        </w:trPr>
        <w:tc>
          <w:tcPr>
            <w:tcW w:w="3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 xml:space="preserve">7. </w:t>
      </w:r>
      <w:r>
        <w:rPr>
          <w:rFonts w:ascii="Arial" w:cs="Arial" w:eastAsia="Arial" w:hAnsi="Arial"/>
          <w:sz w:val="18"/>
          <w:szCs w:val="18"/>
          <w:u w:val="single" w:color="auto"/>
          <w:color w:val="auto"/>
        </w:rPr>
        <w:t>Goodwill and acquisition-related intangibles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as of December 31, 2020 and 2019,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0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Goodwill</w:t>
            </w:r>
          </w:p>
        </w:tc>
      </w:tr>
      <w:tr>
        <w:trPr>
          <w:trHeight w:val="213"/>
        </w:trPr>
        <w:tc>
          <w:tcPr>
            <w:tcW w:w="10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Analog</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4,158</w:t>
            </w:r>
          </w:p>
        </w:tc>
      </w:tr>
      <w:tr>
        <w:trPr>
          <w:trHeight w:val="213"/>
        </w:trPr>
        <w:tc>
          <w:tcPr>
            <w:tcW w:w="10040" w:type="dxa"/>
            <w:vAlign w:val="bottom"/>
          </w:tcPr>
          <w:p>
            <w:pPr>
              <w:ind w:left="20"/>
              <w:spacing w:after="0"/>
              <w:rPr>
                <w:sz w:val="20"/>
                <w:szCs w:val="20"/>
                <w:color w:val="auto"/>
              </w:rPr>
            </w:pPr>
            <w:r>
              <w:rPr>
                <w:rFonts w:ascii="Arial" w:cs="Arial" w:eastAsia="Arial" w:hAnsi="Arial"/>
                <w:sz w:val="16"/>
                <w:szCs w:val="16"/>
                <w:color w:val="auto"/>
              </w:rPr>
              <w:t>Embedded Processing</w:t>
            </w: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172</w:t>
            </w:r>
          </w:p>
        </w:tc>
      </w:tr>
      <w:tr>
        <w:trPr>
          <w:trHeight w:val="216"/>
        </w:trPr>
        <w:tc>
          <w:tcPr>
            <w:tcW w:w="10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w:t>
            </w:r>
          </w:p>
        </w:tc>
      </w:tr>
      <w:tr>
        <w:trPr>
          <w:trHeight w:val="212"/>
        </w:trPr>
        <w:tc>
          <w:tcPr>
            <w:tcW w:w="1004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4,362</w:t>
            </w:r>
          </w:p>
        </w:tc>
      </w:tr>
      <w:tr>
        <w:trPr>
          <w:trHeight w:val="21"/>
        </w:trPr>
        <w:tc>
          <w:tcPr>
            <w:tcW w:w="10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perform our annual goodwill impairment test as of October 1 and determine whether the fair value of each of our reporting units is in excess of its carrying value. Determination of fair value is based upon management estimates and judgment, using unobservable inputs in discounted cash flow models to calculate the fair value of each reporting unit. These unobservable inputs are considered Level 3 measurements, as described in Note 6. In 2020, 2019 and 2018, we determined no impairment was indicated.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acquisition-related intangibles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w w:val="99"/>
              </w:rPr>
              <w:t>December 31, 2020</w:t>
            </w: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220" w:type="dxa"/>
            <w:vAlign w:val="bottom"/>
          </w:tcPr>
          <w:p>
            <w:pPr>
              <w:spacing w:after="0"/>
              <w:rPr>
                <w:sz w:val="14"/>
                <w:szCs w:val="14"/>
                <w:color w:val="auto"/>
              </w:rPr>
            </w:pPr>
          </w:p>
        </w:tc>
        <w:tc>
          <w:tcPr>
            <w:tcW w:w="1360" w:type="dxa"/>
            <w:vAlign w:val="bottom"/>
            <w:gridSpan w:val="2"/>
          </w:tcPr>
          <w:p>
            <w:pPr>
              <w:jc w:val="center"/>
              <w:ind w:right="120"/>
              <w:spacing w:after="0" w:line="161" w:lineRule="exact"/>
              <w:rPr>
                <w:sz w:val="20"/>
                <w:szCs w:val="20"/>
                <w:color w:val="auto"/>
              </w:rPr>
            </w:pPr>
            <w:r>
              <w:rPr>
                <w:rFonts w:ascii="Arial" w:cs="Arial" w:eastAsia="Arial" w:hAnsi="Arial"/>
                <w:sz w:val="16"/>
                <w:szCs w:val="16"/>
                <w:b w:val="1"/>
                <w:bCs w:val="1"/>
                <w:color w:val="auto"/>
                <w:w w:val="94"/>
              </w:rPr>
              <w:t>Amortization</w:t>
            </w:r>
          </w:p>
        </w:tc>
        <w:tc>
          <w:tcPr>
            <w:tcW w:w="122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line="161" w:lineRule="exact"/>
              <w:rPr>
                <w:sz w:val="20"/>
                <w:szCs w:val="20"/>
                <w:color w:val="auto"/>
              </w:rPr>
            </w:pPr>
            <w:r>
              <w:rPr>
                <w:rFonts w:ascii="Arial" w:cs="Arial" w:eastAsia="Arial" w:hAnsi="Arial"/>
                <w:sz w:val="16"/>
                <w:szCs w:val="16"/>
                <w:b w:val="1"/>
                <w:bCs w:val="1"/>
                <w:color w:val="auto"/>
              </w:rPr>
              <w:t>Accumulated</w:t>
            </w: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spacing w:after="0" w:line="161" w:lineRule="exact"/>
              <w:rPr>
                <w:sz w:val="20"/>
                <w:szCs w:val="20"/>
                <w:color w:val="auto"/>
              </w:rPr>
            </w:pPr>
            <w:r>
              <w:rPr>
                <w:rFonts w:ascii="Arial" w:cs="Arial" w:eastAsia="Arial" w:hAnsi="Arial"/>
                <w:sz w:val="16"/>
                <w:szCs w:val="16"/>
                <w:b w:val="1"/>
                <w:bCs w:val="1"/>
                <w:color w:val="auto"/>
                <w:w w:val="97"/>
              </w:rPr>
              <w:t>Gross Carrying</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ind w:left="40"/>
              <w:spacing w:after="0" w:line="161" w:lineRule="exact"/>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4"/>
                <w:szCs w:val="14"/>
                <w:color w:val="auto"/>
              </w:rPr>
            </w:pPr>
          </w:p>
        </w:tc>
        <w:tc>
          <w:tcPr>
            <w:tcW w:w="82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Net</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Period (Years)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Amount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Amortization</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Developed technology</w:t>
            </w:r>
          </w:p>
        </w:tc>
        <w:tc>
          <w:tcPr>
            <w:tcW w:w="12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8</w:t>
            </w:r>
            <w:r>
              <w:rPr>
                <w:rFonts w:ascii="Arial" w:cs="Arial" w:eastAsia="Arial" w:hAnsi="Arial"/>
                <w:sz w:val="17"/>
                <w:szCs w:val="17"/>
                <w:color w:val="auto"/>
              </w:rPr>
              <w:t>–</w:t>
            </w: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1,895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13"/>
        </w:trPr>
        <w:tc>
          <w:tcPr>
            <w:tcW w:w="22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intangibles</w:t>
            </w:r>
          </w:p>
        </w:tc>
        <w:tc>
          <w:tcPr>
            <w:tcW w:w="1240" w:type="dxa"/>
            <w:vAlign w:val="bottom"/>
            <w:tcBorders>
              <w:bottom w:val="single" w:sz="8" w:color="CCEEFF"/>
            </w:tcBorders>
          </w:tcPr>
          <w:p>
            <w:pPr>
              <w:jc w:val="right"/>
              <w:ind w:right="4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2"/>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1,905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1,753</w:t>
            </w: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9"/>
              <w:spacing w:after="0"/>
              <w:rPr>
                <w:sz w:val="20"/>
                <w:szCs w:val="20"/>
                <w:color w:val="auto"/>
              </w:rPr>
            </w:pPr>
            <w:r>
              <w:rPr>
                <w:rFonts w:ascii="Arial" w:cs="Arial" w:eastAsia="Arial" w:hAnsi="Arial"/>
                <w:sz w:val="16"/>
                <w:szCs w:val="16"/>
                <w:b w:val="1"/>
                <w:bCs w:val="1"/>
                <w:color w:val="auto"/>
                <w:w w:val="8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0" w:type="dxa"/>
            <w:vAlign w:val="bottom"/>
          </w:tcPr>
          <w:p>
            <w:pPr>
              <w:spacing w:after="0"/>
              <w:rPr>
                <w:sz w:val="1"/>
                <w:szCs w:val="1"/>
                <w:color w:val="auto"/>
              </w:rPr>
            </w:pPr>
          </w:p>
        </w:tc>
      </w:tr>
      <w:tr>
        <w:trPr>
          <w:trHeight w:val="20"/>
        </w:trPr>
        <w:tc>
          <w:tcPr>
            <w:tcW w:w="2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charges</w:t>
      </w:r>
    </w:p>
    <w:p>
      <w:pPr>
        <w:spacing w:after="0" w:line="225"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Acquisition charges represent the ongoing amortization of intangible assets resulting from the acquisition of National Semiconductor Corporation. These amounts are included in Other for segment reporting purposes, consistent with how management measures the performance of its segments.</w:t>
      </w:r>
    </w:p>
    <w:p>
      <w:pPr>
        <w:spacing w:after="0" w:line="12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Amortization of acquisition-related intangibles was $198 million, $288 million and $318 million in 2020, 2019 and 2018, respectively. Fully amortized assets are written off against accumulated amortization. The remaining estimated amortization is $144 million in 2021.</w:t>
      </w:r>
    </w:p>
    <w:p>
      <w:pPr>
        <w:spacing w:after="0" w:line="170" w:lineRule="exact"/>
        <w:rPr>
          <w:sz w:val="20"/>
          <w:szCs w:val="20"/>
          <w:color w:val="auto"/>
        </w:rPr>
      </w:pPr>
    </w:p>
    <w:p>
      <w:pPr>
        <w:ind w:left="180" w:hanging="172"/>
        <w:spacing w:after="0"/>
        <w:tabs>
          <w:tab w:leader="none" w:pos="18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Postretirement benefit plans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Plan descriptions</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We have various employee retirement plans, including defined contribution, defined benefit and retiree health care benefit plans. For qualifying employees, we offer deferred compensation arrangements.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retirement plans</w:t>
      </w:r>
    </w:p>
    <w:p>
      <w:pPr>
        <w:spacing w:after="0" w:line="23"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Our principal retirement plans in the United States are a defined contribution plan, an enhanced defined contribution plan and qualified and non-qualified defined benefit pension plans. The defined benefit plans were closed to new participants in 1997, and then current participants were allowed to make a one-time election to continue accruing a benefit in the plans or to cease accruing a benefit and instead to participate in the enhanced defined contribution plan.</w:t>
      </w:r>
    </w:p>
    <w:p>
      <w:pPr>
        <w:spacing w:after="0" w:line="15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Both defined contribution plans offer an employer-matching savings option that allows employees to make pretax and post-tax contributions to various investment choices. Employees who elected to continue accruing a benefit in the qualified defined benefit pension plans may also participate in the defined contribution plan, where employer-matching contributions are provided for up to 2% of the employee’s annual eligible earnings. Employees who elected not to continue accruing a benefit in the defined benefit pension plans and employees hired after November 1997 and through December 31, 2003, may participate in the enhanced defined contribution plan. This plan provides for a fixed employer contribution of 2% of the employee’s annual eligible earnings, plus an employer-matching contribution of up to 4% of the employee’s annual eligible earnings. Employees hired after December 31, 2003, do not receive the fixed employer contribution of 2% of the employee’s annual eligible earnings.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43" w:name="page44"/>
    <w:bookmarkEnd w:id="43"/>
    <w:p>
      <w:pPr>
        <w:ind w:right="340"/>
        <w:spacing w:after="0" w:line="311" w:lineRule="auto"/>
        <w:rPr>
          <w:sz w:val="20"/>
          <w:szCs w:val="20"/>
          <w:color w:val="auto"/>
        </w:rPr>
      </w:pPr>
      <w:r>
        <w:rPr>
          <w:rFonts w:ascii="Arial" w:cs="Arial" w:eastAsia="Arial" w:hAnsi="Arial"/>
          <w:sz w:val="16"/>
          <w:szCs w:val="16"/>
          <w:color w:val="auto"/>
        </w:rPr>
        <w:t>As of December 31, 2020 and 2019, as a result of employees’ elections, TI’s U.S. defined contribution plans held shares of TI common stock totaling 7 million shares and 8 million shares valued at $1.12 billion and $988 million, respectively. Dividends paid on these shares in 2020 and 2019 were $27 million and $26 million, respectively. Effective April 1, 2016, the TI common stock fund was frozen to new contributions or transfers into the fund.</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the U.S. defined contribution plans was $61 million in 2020, 2019 and 2018.</w:t>
      </w:r>
    </w:p>
    <w:p>
      <w:pPr>
        <w:spacing w:after="0" w:line="22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defined benefit pension plans include employees still accruing benefits, as well as employees and participants who no longer accrue service-related benefits, but instead, may participate in the enhanced defined contribution plan. Benefits under the qualified defined benefit pension plan are determined using a formula based on years of service and the highest five consecutive years of compensation. We intend to contribute amounts to this plan to meet the minimum funding requirements of applicable local laws and regulations, plus such additional amounts as we deem appropriate. The non-qualified defined benefit plans are unfunded and closed to new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U.S. retiree health care benefit plan</w:t>
      </w:r>
    </w:p>
    <w:p>
      <w:pPr>
        <w:spacing w:after="0" w:line="2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U.S. employees who meet eligibility requirements are offered medical coverage during retirement. We make a contribution toward the cost of those retiree medical benefits for certain retirees and their dependents. The contribution rates are based upon various factors, the most important of which are an employee’s date of hire, date of retirement, years of service and eligibility for Medicare benefits. The balance of the cost is borne by the plan’s participants. Employees hired after January 1, 2001, are responsible for the full cost of their medical benefits during retirement.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Non-U.S. retirement plans</w:t>
      </w:r>
    </w:p>
    <w:p>
      <w:pPr>
        <w:spacing w:after="0" w:line="23"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color w:val="auto"/>
        </w:rPr>
        <w:t>We provide retirement coverage for non-U.S. employees, as required by local laws or to the extent we deem appropriate, through a number of defined benefit and defined contribution plans. Retirement benefits are generally based on an employee’s years of service and compensation. Funding requirements are determined on an individual country and plan basis and are subject to local country practices and market circumstances.</w:t>
      </w:r>
    </w:p>
    <w:p>
      <w:pPr>
        <w:spacing w:after="0" w:line="17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As of December 31, 2020 and 2019, as a result of employees’ elections, TI’s non-U.S. defined contribution plans held TI common stock valued at $36 million and $28 million, respectively. Dividends paid on these shares of TI common stock in 2020 and 2019 were not material.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Effects on our Consolidated Statements of Income and Balance Sheets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Expenses related to defined benefit and retiree health care benefit plans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6"/>
          </w:tcPr>
          <w:p>
            <w:pPr>
              <w:jc w:val="right"/>
              <w:spacing w:after="0"/>
              <w:rPr>
                <w:sz w:val="20"/>
                <w:szCs w:val="20"/>
                <w:color w:val="auto"/>
              </w:rPr>
            </w:pPr>
            <w:r>
              <w:rPr>
                <w:rFonts w:ascii="Arial" w:cs="Arial" w:eastAsia="Arial" w:hAnsi="Arial"/>
                <w:sz w:val="16"/>
                <w:szCs w:val="16"/>
                <w:b w:val="1"/>
                <w:bCs w:val="1"/>
                <w:color w:val="auto"/>
              </w:rPr>
              <w:t>U.S. Defined Benefit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80" w:type="dxa"/>
            <w:vAlign w:val="bottom"/>
            <w:gridSpan w:val="8"/>
          </w:tcPr>
          <w:p>
            <w:pPr>
              <w:ind w:left="240"/>
              <w:spacing w:after="0"/>
              <w:rPr>
                <w:sz w:val="20"/>
                <w:szCs w:val="20"/>
                <w:color w:val="auto"/>
              </w:rPr>
            </w:pPr>
            <w:r>
              <w:rPr>
                <w:rFonts w:ascii="Arial" w:cs="Arial" w:eastAsia="Arial" w:hAnsi="Arial"/>
                <w:sz w:val="16"/>
                <w:szCs w:val="16"/>
                <w:b w:val="1"/>
                <w:bCs w:val="1"/>
                <w:color w:val="auto"/>
              </w:rPr>
              <w:t>U.S. Retiree Health Care</w:t>
            </w:r>
          </w:p>
        </w:tc>
        <w:tc>
          <w:tcPr>
            <w:tcW w:w="160" w:type="dxa"/>
            <w:vAlign w:val="bottom"/>
          </w:tcPr>
          <w:p>
            <w:pPr>
              <w:spacing w:after="0"/>
              <w:rPr>
                <w:sz w:val="18"/>
                <w:szCs w:val="18"/>
                <w:color w:val="auto"/>
              </w:rPr>
            </w:pPr>
          </w:p>
        </w:tc>
        <w:tc>
          <w:tcPr>
            <w:tcW w:w="2360" w:type="dxa"/>
            <w:vAlign w:val="bottom"/>
            <w:gridSpan w:val="7"/>
          </w:tcPr>
          <w:p>
            <w:pPr>
              <w:jc w:val="right"/>
              <w:ind w:right="299"/>
              <w:spacing w:after="0"/>
              <w:rPr>
                <w:sz w:val="20"/>
                <w:szCs w:val="20"/>
                <w:color w:val="auto"/>
              </w:rPr>
            </w:pPr>
            <w:r>
              <w:rPr>
                <w:rFonts w:ascii="Arial" w:cs="Arial" w:eastAsia="Arial" w:hAnsi="Arial"/>
                <w:sz w:val="16"/>
                <w:szCs w:val="16"/>
                <w:b w:val="1"/>
                <w:bCs w:val="1"/>
                <w:color w:val="auto"/>
              </w:rPr>
              <w:t>Non-U.S. Defined Benefit</w:t>
            </w:r>
          </w:p>
        </w:tc>
      </w:tr>
      <w:tr>
        <w:trPr>
          <w:trHeight w:val="210"/>
        </w:trPr>
        <w:tc>
          <w:tcPr>
            <w:tcW w:w="34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89"/>
              </w:rPr>
              <w:t>2018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2018</w:t>
            </w:r>
          </w:p>
        </w:tc>
      </w:tr>
      <w:tr>
        <w:trPr>
          <w:trHeight w:val="212"/>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center"/>
              <w:ind w:left="159"/>
              <w:spacing w:after="0"/>
              <w:rPr>
                <w:sz w:val="20"/>
                <w:szCs w:val="20"/>
                <w:color w:val="auto"/>
              </w:rPr>
            </w:pPr>
            <w:r>
              <w:rPr>
                <w:rFonts w:ascii="Arial" w:cs="Arial" w:eastAsia="Arial" w:hAnsi="Arial"/>
                <w:sz w:val="16"/>
                <w:szCs w:val="16"/>
                <w:color w:val="auto"/>
                <w:w w:val="89"/>
              </w:rPr>
              <w:t>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w:t>
            </w: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39"/>
              <w:spacing w:after="0"/>
              <w:rPr>
                <w:sz w:val="20"/>
                <w:szCs w:val="20"/>
                <w:color w:val="auto"/>
              </w:rPr>
            </w:pPr>
            <w:r>
              <w:rPr>
                <w:rFonts w:ascii="Arial" w:cs="Arial" w:eastAsia="Arial" w:hAnsi="Arial"/>
                <w:sz w:val="16"/>
                <w:szCs w:val="16"/>
                <w:color w:val="auto"/>
                <w:w w:val="91"/>
              </w:rPr>
              <w:t>(42)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r>
      <w:tr>
        <w:trPr>
          <w:trHeight w:val="213"/>
        </w:trPr>
        <w:tc>
          <w:tcPr>
            <w:tcW w:w="3460" w:type="dxa"/>
            <w:vAlign w:val="bottom"/>
          </w:tcPr>
          <w:p>
            <w:pPr>
              <w:ind w:left="20"/>
              <w:spacing w:after="0"/>
              <w:rPr>
                <w:sz w:val="20"/>
                <w:szCs w:val="20"/>
                <w:color w:val="auto"/>
              </w:rPr>
            </w:pPr>
            <w:r>
              <w:rPr>
                <w:rFonts w:ascii="Arial" w:cs="Arial" w:eastAsia="Arial" w:hAnsi="Arial"/>
                <w:sz w:val="16"/>
                <w:szCs w:val="16"/>
                <w:color w:val="auto"/>
              </w:rPr>
              <w:t>Amortization of prior service cost (credit)</w:t>
            </w: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660" w:type="dxa"/>
            <w:vAlign w:val="bottom"/>
            <w:gridSpan w:val="2"/>
          </w:tcPr>
          <w:p>
            <w:pPr>
              <w:jc w:val="center"/>
              <w:ind w:left="59"/>
              <w:spacing w:after="0"/>
              <w:rPr>
                <w:sz w:val="20"/>
                <w:szCs w:val="20"/>
                <w:color w:val="auto"/>
              </w:rPr>
            </w:pPr>
            <w:r>
              <w:rPr>
                <w:rFonts w:ascii="Arial" w:cs="Arial" w:eastAsia="Arial" w:hAnsi="Arial"/>
                <w:sz w:val="16"/>
                <w:szCs w:val="16"/>
                <w:color w:val="auto"/>
                <w:w w:val="99"/>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net actuarial loss</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3460" w:type="dxa"/>
            <w:vAlign w:val="bottom"/>
          </w:tcPr>
          <w:p>
            <w:pPr>
              <w:ind w:left="20"/>
              <w:spacing w:after="0"/>
              <w:rPr>
                <w:sz w:val="20"/>
                <w:szCs w:val="20"/>
                <w:color w:val="auto"/>
              </w:rPr>
            </w:pPr>
            <w:r>
              <w:rPr>
                <w:rFonts w:ascii="Arial" w:cs="Arial" w:eastAsia="Arial" w:hAnsi="Arial"/>
                <w:sz w:val="16"/>
                <w:szCs w:val="16"/>
                <w:color w:val="auto"/>
              </w:rPr>
              <w:t>Net periodic benefit costs</w:t>
            </w: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20</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center"/>
              <w:ind w:left="159"/>
              <w:spacing w:after="0"/>
              <w:rPr>
                <w:sz w:val="20"/>
                <w:szCs w:val="20"/>
                <w:color w:val="auto"/>
              </w:rPr>
            </w:pPr>
            <w:r>
              <w:rPr>
                <w:rFonts w:ascii="Arial" w:cs="Arial" w:eastAsia="Arial" w:hAnsi="Arial"/>
                <w:sz w:val="16"/>
                <w:szCs w:val="16"/>
                <w:color w:val="auto"/>
                <w:w w:val="89"/>
              </w:rPr>
              <w:t>29</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9</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w:t>
            </w:r>
          </w:p>
        </w:tc>
      </w:tr>
      <w:tr>
        <w:trPr>
          <w:trHeight w:val="216"/>
        </w:trPr>
        <w:tc>
          <w:tcPr>
            <w:tcW w:w="3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losses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center"/>
              <w:ind w:left="159"/>
              <w:spacing w:after="0"/>
              <w:rPr>
                <w:sz w:val="20"/>
                <w:szCs w:val="20"/>
                <w:color w:val="auto"/>
              </w:rPr>
            </w:pPr>
            <w:r>
              <w:rPr>
                <w:rFonts w:ascii="Arial" w:cs="Arial" w:eastAsia="Arial" w:hAnsi="Arial"/>
                <w:sz w:val="16"/>
                <w:szCs w:val="16"/>
                <w:color w:val="auto"/>
                <w:w w:val="89"/>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2"/>
        </w:trPr>
        <w:tc>
          <w:tcPr>
            <w:tcW w:w="3460" w:type="dxa"/>
            <w:vAlign w:val="bottom"/>
          </w:tcPr>
          <w:p>
            <w:pPr>
              <w:ind w:left="20"/>
              <w:spacing w:after="0"/>
              <w:rPr>
                <w:sz w:val="20"/>
                <w:szCs w:val="20"/>
                <w:color w:val="auto"/>
              </w:rPr>
            </w:pPr>
            <w:r>
              <w:rPr>
                <w:rFonts w:ascii="Arial" w:cs="Arial" w:eastAsia="Arial" w:hAnsi="Arial"/>
                <w:sz w:val="16"/>
                <w:szCs w:val="16"/>
                <w:color w:val="auto"/>
              </w:rPr>
              <w:t>Total, including other postretirement losses</w:t>
            </w: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bottom w:val="single" w:sz="8" w:color="auto"/>
            </w:tcBorders>
          </w:tcPr>
          <w:p>
            <w:pPr>
              <w:jc w:val="center"/>
              <w:ind w:left="159"/>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w:t>
            </w:r>
          </w:p>
        </w:tc>
      </w:tr>
      <w:tr>
        <w:trPr>
          <w:trHeight w:val="20"/>
        </w:trPr>
        <w:tc>
          <w:tcPr>
            <w:tcW w:w="3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All defined benefit and retiree health care benefit plan expense components other than service cost are recognized in OI&amp;E in our Consolidated Statements of Income. Service cost is recognized within operating profit.</w:t>
      </w:r>
    </w:p>
    <w:p>
      <w:pPr>
        <w:spacing w:after="0" w:line="170"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For the U.S. qualified pension and retiree health care plans, the expected return on plan assets component of net periodic benefit cost is based upon a market-related value of assets. In accordance with U.S. GAAP, the market-related value of assets is the fair value adjusted by a smoothing technique whereby certain gains and losses are phased in over a period of three years.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Changes in the benefit obligations and plan assets for defined benefit and retiree health care benefit plans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ind w:left="200"/>
              <w:spacing w:after="0"/>
              <w:rPr>
                <w:sz w:val="20"/>
                <w:szCs w:val="20"/>
                <w:color w:val="auto"/>
              </w:rPr>
            </w:pPr>
            <w:r>
              <w:rPr>
                <w:rFonts w:ascii="Arial" w:cs="Arial" w:eastAsia="Arial" w:hAnsi="Arial"/>
                <w:sz w:val="16"/>
                <w:szCs w:val="16"/>
                <w:b w:val="1"/>
                <w:bCs w:val="1"/>
                <w:color w:val="auto"/>
              </w:rPr>
              <w:t>U.S. Defined Benefit</w:t>
            </w:r>
          </w:p>
        </w:tc>
        <w:tc>
          <w:tcPr>
            <w:tcW w:w="20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6"/>
                <w:szCs w:val="16"/>
                <w:b w:val="1"/>
                <w:bCs w:val="1"/>
                <w:color w:val="auto"/>
              </w:rPr>
              <w:t>U.S. Retiree Health Care</w:t>
            </w:r>
          </w:p>
        </w:tc>
        <w:tc>
          <w:tcPr>
            <w:tcW w:w="200" w:type="dxa"/>
            <w:vAlign w:val="bottom"/>
          </w:tcPr>
          <w:p>
            <w:pPr>
              <w:spacing w:after="0"/>
              <w:rPr>
                <w:sz w:val="18"/>
                <w:szCs w:val="18"/>
                <w:color w:val="auto"/>
              </w:rPr>
            </w:pPr>
          </w:p>
        </w:tc>
        <w:tc>
          <w:tcPr>
            <w:tcW w:w="2100" w:type="dxa"/>
            <w:vAlign w:val="bottom"/>
            <w:gridSpan w:val="4"/>
          </w:tcPr>
          <w:p>
            <w:pPr>
              <w:jc w:val="right"/>
              <w:ind w:right="199"/>
              <w:spacing w:after="0"/>
              <w:rPr>
                <w:sz w:val="20"/>
                <w:szCs w:val="20"/>
                <w:color w:val="auto"/>
              </w:rPr>
            </w:pPr>
            <w:r>
              <w:rPr>
                <w:rFonts w:ascii="Arial" w:cs="Arial" w:eastAsia="Arial" w:hAnsi="Arial"/>
                <w:sz w:val="16"/>
                <w:szCs w:val="16"/>
                <w:b w:val="1"/>
                <w:bCs w:val="1"/>
                <w:color w:val="auto"/>
                <w:w w:val="95"/>
              </w:rPr>
              <w:t>Non-U.S. Defined Benefit</w:t>
            </w:r>
          </w:p>
        </w:tc>
      </w:tr>
      <w:tr>
        <w:trPr>
          <w:trHeight w:val="210"/>
        </w:trPr>
        <w:tc>
          <w:tcPr>
            <w:tcW w:w="41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2019</w:t>
            </w:r>
          </w:p>
        </w:tc>
      </w:tr>
      <w:tr>
        <w:trPr>
          <w:trHeight w:val="199"/>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Change in plan benefit obligation</w:t>
            </w: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Benefit obligation at beginning of year:</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960</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874</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359</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2,581</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2,411</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Service cost</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Interest cost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31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43</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Participant contributions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Benefits paid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Curtailments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Actuarial loss (gain)</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Plan amendments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Effects of exchange rate changes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07"/>
        </w:trPr>
        <w:tc>
          <w:tcPr>
            <w:tcW w:w="41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Benefit obligation at end of year</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1,097</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389</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2,868</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2,581</w:t>
            </w:r>
          </w:p>
        </w:tc>
      </w:tr>
      <w:tr>
        <w:trPr>
          <w:trHeight w:val="239"/>
        </w:trPr>
        <w:tc>
          <w:tcPr>
            <w:tcW w:w="4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Change in plan assets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Fair value of plan assets at beginning of year:</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2,661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2,410</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Actual return on plan assets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Employer contributions (qualified plans)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Employer contributions (non-qualified plans)</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Participant contributions</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Benefits paid</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(95)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19"/>
        </w:trPr>
        <w:tc>
          <w:tcPr>
            <w:tcW w:w="41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Settlements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3"/>
        </w:trPr>
        <w:tc>
          <w:tcPr>
            <w:tcW w:w="4140" w:type="dxa"/>
            <w:vAlign w:val="bottom"/>
          </w:tcPr>
          <w:p>
            <w:pPr>
              <w:ind w:left="220"/>
              <w:spacing w:after="0"/>
              <w:rPr>
                <w:sz w:val="20"/>
                <w:szCs w:val="20"/>
                <w:color w:val="auto"/>
              </w:rPr>
            </w:pPr>
            <w:r>
              <w:rPr>
                <w:rFonts w:ascii="Arial" w:cs="Arial" w:eastAsia="Arial" w:hAnsi="Arial"/>
                <w:sz w:val="16"/>
                <w:szCs w:val="16"/>
                <w:color w:val="auto"/>
              </w:rPr>
              <w:t>Effects of exchange rate changes</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24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172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09"/>
        </w:trPr>
        <w:tc>
          <w:tcPr>
            <w:tcW w:w="414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Fair value of plan assets at end of year</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1,061</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3,008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2,661</w:t>
            </w:r>
          </w:p>
        </w:tc>
      </w:tr>
      <w:tr>
        <w:trPr>
          <w:trHeight w:val="239"/>
        </w:trPr>
        <w:tc>
          <w:tcPr>
            <w:tcW w:w="41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r>
      <w:tr>
        <w:trPr>
          <w:trHeight w:val="23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Funded status at end of year</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The actuarial loss (gain) for all pension plans was primarily related to a change in the discount rate used to measure the benefit obligations of those plans in 2020 and 2019.</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Amounts recognized on our Consolidated Balance Sheets as of December 31,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U.S. Defined</w:t>
            </w:r>
          </w:p>
        </w:tc>
        <w:tc>
          <w:tcPr>
            <w:tcW w:w="140" w:type="dxa"/>
            <w:vAlign w:val="bottom"/>
          </w:tcPr>
          <w:p>
            <w:pPr>
              <w:spacing w:after="0"/>
              <w:rPr>
                <w:sz w:val="16"/>
                <w:szCs w:val="16"/>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U.S. Retiree</w:t>
            </w:r>
          </w:p>
        </w:tc>
        <w:tc>
          <w:tcPr>
            <w:tcW w:w="200" w:type="dxa"/>
            <w:vAlign w:val="bottom"/>
          </w:tcPr>
          <w:p>
            <w:pPr>
              <w:spacing w:after="0"/>
              <w:rPr>
                <w:sz w:val="16"/>
                <w:szCs w:val="16"/>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Non-U.S.</w:t>
            </w:r>
          </w:p>
        </w:tc>
        <w:tc>
          <w:tcPr>
            <w:tcW w:w="260" w:type="dxa"/>
            <w:vAlign w:val="bottom"/>
          </w:tcPr>
          <w:p>
            <w:pPr>
              <w:spacing w:after="0"/>
              <w:rPr>
                <w:sz w:val="16"/>
                <w:szCs w:val="16"/>
                <w:color w:val="auto"/>
              </w:rPr>
            </w:pPr>
          </w:p>
        </w:tc>
        <w:tc>
          <w:tcPr>
            <w:tcW w:w="940" w:type="dxa"/>
            <w:vAlign w:val="bottom"/>
            <w:vMerge w:val="restart"/>
          </w:tcPr>
          <w:p>
            <w:pPr>
              <w:jc w:val="right"/>
              <w:ind w:right="33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6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Benefit</w:t>
            </w:r>
          </w:p>
        </w:tc>
        <w:tc>
          <w:tcPr>
            <w:tcW w:w="14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6"/>
                <w:szCs w:val="16"/>
                <w:b w:val="1"/>
                <w:bCs w:val="1"/>
                <w:color w:val="auto"/>
              </w:rPr>
              <w:t>Health Care</w:t>
            </w:r>
          </w:p>
        </w:tc>
        <w:tc>
          <w:tcPr>
            <w:tcW w:w="13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Defined Benefit</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2020</w:t>
            </w:r>
          </w:p>
        </w:tc>
        <w:tc>
          <w:tcPr>
            <w:tcW w:w="14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b w:val="1"/>
                <w:bCs w:val="1"/>
                <w:color w:val="auto"/>
              </w:rPr>
              <w:t>Overfunded retirement plans</w:t>
            </w: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234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246</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Accrued expenses and other liabilities &amp; other long-term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Underfunded retirement plans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(131)</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Funded status at end of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104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6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Overfunded retirement plans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73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Accrued expenses and other liabilities &amp; other long-term liabilities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Underfunded retirement plans</w:t>
            </w: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Funded status at end of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Contributions to the plans meet or exceed all minimum funding requirements. We expect to contribute about $10 million to our retirement benefit plans in 2021.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5" w:name="page46"/>
    <w:bookmarkEnd w:id="45"/>
    <w:p>
      <w:pPr>
        <w:jc w:val="both"/>
        <w:ind w:right="80"/>
        <w:spacing w:after="0" w:line="263" w:lineRule="auto"/>
        <w:rPr>
          <w:sz w:val="20"/>
          <w:szCs w:val="20"/>
          <w:color w:val="auto"/>
        </w:rPr>
      </w:pPr>
      <w:r>
        <w:rPr>
          <w:rFonts w:ascii="Arial" w:cs="Arial" w:eastAsia="Arial" w:hAnsi="Arial"/>
          <w:sz w:val="18"/>
          <w:szCs w:val="18"/>
          <w:color w:val="auto"/>
        </w:rPr>
        <w:t>Accumulated benefit obligations, which are generally less than the projected benefit obligations as they exclude the impact of future salary increases, were $992 million and $878 million as of December 31, 2020 and 2019, respectively, for the U.S. defined benefit plans, and $2.72 billion and $2.46 billion as of December 31, 2020 and 2019, respectively, for the non-U.S. defined benefit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change in AOCI is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U.S. Defined</w:t>
            </w:r>
          </w:p>
        </w:tc>
        <w:tc>
          <w:tcPr>
            <w:tcW w:w="120" w:type="dxa"/>
            <w:vAlign w:val="bottom"/>
          </w:tcPr>
          <w:p>
            <w:pPr>
              <w:spacing w:after="0"/>
              <w:rPr>
                <w:sz w:val="16"/>
                <w:szCs w:val="16"/>
                <w:color w:val="auto"/>
              </w:rPr>
            </w:pPr>
          </w:p>
        </w:tc>
        <w:tc>
          <w:tcPr>
            <w:tcW w:w="2440" w:type="dxa"/>
            <w:vAlign w:val="bottom"/>
            <w:gridSpan w:val="5"/>
            <w:vMerge w:val="restart"/>
          </w:tcPr>
          <w:p>
            <w:pPr>
              <w:jc w:val="right"/>
              <w:ind w:right="480"/>
              <w:spacing w:after="0"/>
              <w:rPr>
                <w:sz w:val="20"/>
                <w:szCs w:val="20"/>
                <w:color w:val="auto"/>
              </w:rPr>
            </w:pPr>
            <w:r>
              <w:rPr>
                <w:rFonts w:ascii="Arial" w:cs="Arial" w:eastAsia="Arial" w:hAnsi="Arial"/>
                <w:sz w:val="16"/>
                <w:szCs w:val="16"/>
                <w:b w:val="1"/>
                <w:bCs w:val="1"/>
                <w:color w:val="auto"/>
              </w:rPr>
              <w:t>U.S. Retiree Health Care</w:t>
            </w:r>
          </w:p>
        </w:tc>
        <w:tc>
          <w:tcPr>
            <w:tcW w:w="100" w:type="dxa"/>
            <w:vAlign w:val="bottom"/>
          </w:tcPr>
          <w:p>
            <w:pPr>
              <w:spacing w:after="0"/>
              <w:rPr>
                <w:sz w:val="16"/>
                <w:szCs w:val="16"/>
                <w:color w:val="auto"/>
              </w:rPr>
            </w:pPr>
          </w:p>
        </w:tc>
        <w:tc>
          <w:tcPr>
            <w:tcW w:w="2460" w:type="dxa"/>
            <w:vAlign w:val="bottom"/>
            <w:gridSpan w:val="5"/>
            <w:vMerge w:val="restart"/>
          </w:tcPr>
          <w:p>
            <w:pPr>
              <w:ind w:left="260"/>
              <w:spacing w:after="0"/>
              <w:rPr>
                <w:sz w:val="20"/>
                <w:szCs w:val="20"/>
                <w:color w:val="auto"/>
              </w:rPr>
            </w:pPr>
            <w:r>
              <w:rPr>
                <w:rFonts w:ascii="Arial" w:cs="Arial" w:eastAsia="Arial" w:hAnsi="Arial"/>
                <w:sz w:val="16"/>
                <w:szCs w:val="16"/>
                <w:b w:val="1"/>
                <w:bCs w:val="1"/>
                <w:color w:val="auto"/>
              </w:rPr>
              <w:t>Non-U.S. Defined Benefit</w:t>
            </w:r>
          </w:p>
        </w:tc>
        <w:tc>
          <w:tcPr>
            <w:tcW w:w="120" w:type="dxa"/>
            <w:vAlign w:val="bottom"/>
          </w:tcPr>
          <w:p>
            <w:pPr>
              <w:spacing w:after="0"/>
              <w:rPr>
                <w:sz w:val="16"/>
                <w:szCs w:val="16"/>
                <w:color w:val="auto"/>
              </w:rPr>
            </w:pPr>
          </w:p>
        </w:tc>
        <w:tc>
          <w:tcPr>
            <w:tcW w:w="1300" w:type="dxa"/>
            <w:vAlign w:val="bottom"/>
            <w:gridSpan w:val="3"/>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Benefit</w:t>
            </w:r>
          </w:p>
        </w:tc>
        <w:tc>
          <w:tcPr>
            <w:tcW w:w="120" w:type="dxa"/>
            <w:vAlign w:val="bottom"/>
          </w:tcPr>
          <w:p>
            <w:pPr>
              <w:spacing w:after="0"/>
              <w:rPr>
                <w:sz w:val="18"/>
                <w:szCs w:val="18"/>
                <w:color w:val="auto"/>
              </w:rPr>
            </w:pPr>
          </w:p>
        </w:tc>
        <w:tc>
          <w:tcPr>
            <w:tcW w:w="2440" w:type="dxa"/>
            <w:vAlign w:val="bottom"/>
            <w:gridSpan w:val="5"/>
            <w:vMerge w:val="continue"/>
          </w:tcPr>
          <w:p>
            <w:pPr>
              <w:spacing w:after="0"/>
              <w:rPr>
                <w:sz w:val="18"/>
                <w:szCs w:val="18"/>
                <w:color w:val="auto"/>
              </w:rPr>
            </w:pPr>
          </w:p>
        </w:tc>
        <w:tc>
          <w:tcPr>
            <w:tcW w:w="100" w:type="dxa"/>
            <w:vAlign w:val="bottom"/>
          </w:tcPr>
          <w:p>
            <w:pPr>
              <w:spacing w:after="0"/>
              <w:rPr>
                <w:sz w:val="18"/>
                <w:szCs w:val="18"/>
                <w:color w:val="auto"/>
              </w:rPr>
            </w:pPr>
          </w:p>
        </w:tc>
        <w:tc>
          <w:tcPr>
            <w:tcW w:w="2460" w:type="dxa"/>
            <w:vAlign w:val="bottom"/>
            <w:gridSpan w:val="5"/>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3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5"/>
              </w:rPr>
              <w:t>Net Actuarial</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5"/>
              </w:rPr>
              <w:t>Net Actuarial</w:t>
            </w:r>
          </w:p>
        </w:tc>
        <w:tc>
          <w:tcPr>
            <w:tcW w:w="12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39"/>
              <w:spacing w:after="0" w:line="158" w:lineRule="exact"/>
              <w:rPr>
                <w:sz w:val="20"/>
                <w:szCs w:val="20"/>
                <w:color w:val="auto"/>
              </w:rPr>
            </w:pPr>
            <w:r>
              <w:rPr>
                <w:rFonts w:ascii="Arial" w:cs="Arial" w:eastAsia="Arial" w:hAnsi="Arial"/>
                <w:sz w:val="16"/>
                <w:szCs w:val="16"/>
                <w:b w:val="1"/>
                <w:bCs w:val="1"/>
                <w:color w:val="auto"/>
                <w:w w:val="91"/>
              </w:rPr>
              <w:t>Prior Service</w:t>
            </w: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gridSpan w:val="2"/>
          </w:tcPr>
          <w:p>
            <w:pPr>
              <w:jc w:val="center"/>
              <w:ind w:right="200"/>
              <w:spacing w:after="0" w:line="158" w:lineRule="exact"/>
              <w:rPr>
                <w:sz w:val="20"/>
                <w:szCs w:val="20"/>
                <w:color w:val="auto"/>
              </w:rPr>
            </w:pPr>
            <w:r>
              <w:rPr>
                <w:rFonts w:ascii="Arial" w:cs="Arial" w:eastAsia="Arial" w:hAnsi="Arial"/>
                <w:sz w:val="16"/>
                <w:szCs w:val="16"/>
                <w:b w:val="1"/>
                <w:bCs w:val="1"/>
                <w:color w:val="auto"/>
                <w:w w:val="95"/>
              </w:rPr>
              <w:t>Net Actuarial</w:t>
            </w:r>
          </w:p>
        </w:tc>
        <w:tc>
          <w:tcPr>
            <w:tcW w:w="1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39"/>
              <w:spacing w:after="0" w:line="158" w:lineRule="exact"/>
              <w:rPr>
                <w:sz w:val="20"/>
                <w:szCs w:val="20"/>
                <w:color w:val="auto"/>
              </w:rPr>
            </w:pPr>
            <w:r>
              <w:rPr>
                <w:rFonts w:ascii="Arial" w:cs="Arial" w:eastAsia="Arial" w:hAnsi="Arial"/>
                <w:sz w:val="16"/>
                <w:szCs w:val="16"/>
                <w:b w:val="1"/>
                <w:bCs w:val="1"/>
                <w:color w:val="auto"/>
                <w:w w:val="91"/>
              </w:rPr>
              <w:t>Prior Service</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gridSpan w:val="2"/>
          </w:tcPr>
          <w:p>
            <w:pPr>
              <w:jc w:val="center"/>
              <w:ind w:right="220"/>
              <w:spacing w:after="0" w:line="158" w:lineRule="exact"/>
              <w:rPr>
                <w:sz w:val="20"/>
                <w:szCs w:val="20"/>
                <w:color w:val="auto"/>
              </w:rPr>
            </w:pPr>
            <w:r>
              <w:rPr>
                <w:rFonts w:ascii="Arial" w:cs="Arial" w:eastAsia="Arial" w:hAnsi="Arial"/>
                <w:sz w:val="16"/>
                <w:szCs w:val="16"/>
                <w:b w:val="1"/>
                <w:bCs w:val="1"/>
                <w:color w:val="auto"/>
                <w:w w:val="95"/>
              </w:rPr>
              <w:t>Net Actuarial</w:t>
            </w:r>
          </w:p>
        </w:tc>
        <w:tc>
          <w:tcPr>
            <w:tcW w:w="14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right"/>
              <w:ind w:right="59"/>
              <w:spacing w:after="0" w:line="158" w:lineRule="exact"/>
              <w:rPr>
                <w:sz w:val="20"/>
                <w:szCs w:val="20"/>
                <w:color w:val="auto"/>
              </w:rPr>
            </w:pPr>
            <w:r>
              <w:rPr>
                <w:rFonts w:ascii="Arial" w:cs="Arial" w:eastAsia="Arial" w:hAnsi="Arial"/>
                <w:sz w:val="16"/>
                <w:szCs w:val="16"/>
                <w:b w:val="1"/>
                <w:bCs w:val="1"/>
                <w:color w:val="auto"/>
                <w:w w:val="89"/>
              </w:rPr>
              <w:t>Prior Service</w:t>
            </w:r>
          </w:p>
        </w:tc>
        <w:tc>
          <w:tcPr>
            <w:tcW w:w="0" w:type="dxa"/>
            <w:vAlign w:val="bottom"/>
          </w:tcPr>
          <w:p>
            <w:pPr>
              <w:spacing w:after="0"/>
              <w:rPr>
                <w:sz w:val="1"/>
                <w:szCs w:val="1"/>
                <w:color w:val="auto"/>
              </w:rPr>
            </w:pPr>
          </w:p>
        </w:tc>
      </w:tr>
      <w:tr>
        <w:trPr>
          <w:trHeight w:val="213"/>
        </w:trPr>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Loss</w:t>
            </w:r>
          </w:p>
        </w:tc>
        <w:tc>
          <w:tcPr>
            <w:tcW w:w="12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6"/>
                <w:szCs w:val="16"/>
                <w:b w:val="1"/>
                <w:bCs w:val="1"/>
                <w:color w:val="auto"/>
              </w:rPr>
              <w:t>Credit</w:t>
            </w: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5"/>
              </w:rPr>
              <w:t>Loss</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Credit</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0"/>
              </w:rPr>
              <w:t>Loss</w:t>
            </w:r>
          </w:p>
        </w:tc>
        <w:tc>
          <w:tcPr>
            <w:tcW w:w="140" w:type="dxa"/>
            <w:vAlign w:val="bottom"/>
          </w:tcPr>
          <w:p>
            <w:pPr>
              <w:spacing w:after="0"/>
              <w:rPr>
                <w:sz w:val="18"/>
                <w:szCs w:val="18"/>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Credit</w:t>
            </w:r>
          </w:p>
        </w:tc>
        <w:tc>
          <w:tcPr>
            <w:tcW w:w="0" w:type="dxa"/>
            <w:vAlign w:val="bottom"/>
          </w:tcPr>
          <w:p>
            <w:pPr>
              <w:spacing w:after="0"/>
              <w:rPr>
                <w:sz w:val="1"/>
                <w:szCs w:val="1"/>
                <w:color w:val="auto"/>
              </w:rPr>
            </w:pPr>
          </w:p>
        </w:tc>
      </w:tr>
      <w:tr>
        <w:trPr>
          <w:trHeight w:val="148"/>
        </w:trPr>
        <w:tc>
          <w:tcPr>
            <w:tcW w:w="238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6"/>
                <w:szCs w:val="16"/>
                <w:color w:val="auto"/>
              </w:rPr>
              <w:t>AOCI balance, net of taxes,</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2"/>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December 31, 2019</w:t>
            </w: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380" w:type="dxa"/>
            <w:vAlign w:val="bottom"/>
          </w:tcPr>
          <w:p>
            <w:pPr>
              <w:ind w:left="20"/>
              <w:spacing w:after="0"/>
              <w:rPr>
                <w:sz w:val="20"/>
                <w:szCs w:val="20"/>
                <w:color w:val="auto"/>
              </w:rPr>
            </w:pPr>
            <w:r>
              <w:rPr>
                <w:rFonts w:ascii="Arial" w:cs="Arial" w:eastAsia="Arial" w:hAnsi="Arial"/>
                <w:sz w:val="16"/>
                <w:szCs w:val="16"/>
                <w:b w:val="1"/>
                <w:bCs w:val="1"/>
                <w:color w:val="auto"/>
              </w:rPr>
              <w:t>Changes in AOCI by category:</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Adjustments</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3"/>
        </w:trPr>
        <w:tc>
          <w:tcPr>
            <w:tcW w:w="2380" w:type="dxa"/>
            <w:vAlign w:val="bottom"/>
          </w:tcPr>
          <w:p>
            <w:pPr>
              <w:ind w:left="140"/>
              <w:spacing w:after="0"/>
              <w:rPr>
                <w:sz w:val="20"/>
                <w:szCs w:val="20"/>
                <w:color w:val="auto"/>
              </w:rPr>
            </w:pPr>
            <w:r>
              <w:rPr>
                <w:rFonts w:ascii="Arial" w:cs="Arial" w:eastAsia="Arial" w:hAnsi="Arial"/>
                <w:sz w:val="16"/>
                <w:szCs w:val="16"/>
                <w:b w:val="1"/>
                <w:bCs w:val="1"/>
                <w:color w:val="auto"/>
                <w:w w:val="96"/>
              </w:rPr>
              <w:t>Recognized within net income</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b w:val="1"/>
                <w:bCs w:val="1"/>
                <w:color w:val="auto"/>
              </w:rPr>
              <w:t>(38)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19"/>
        </w:trPr>
        <w:tc>
          <w:tcPr>
            <w:tcW w:w="238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Tax effect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7"/>
        </w:trPr>
        <w:tc>
          <w:tcPr>
            <w:tcW w:w="2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b w:val="1"/>
                <w:bCs w:val="1"/>
                <w:color w:val="auto"/>
              </w:rPr>
              <w:t>Total change to AOCI</w:t>
            </w: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145"/>
        </w:trPr>
        <w:tc>
          <w:tcPr>
            <w:tcW w:w="2380" w:type="dxa"/>
            <w:vAlign w:val="bottom"/>
            <w:shd w:val="clear" w:color="auto" w:fill="CCEEFF"/>
          </w:tcPr>
          <w:p>
            <w:pPr>
              <w:ind w:left="20"/>
              <w:spacing w:after="0" w:line="145" w:lineRule="exact"/>
              <w:rPr>
                <w:sz w:val="20"/>
                <w:szCs w:val="20"/>
                <w:color w:val="auto"/>
              </w:rPr>
            </w:pPr>
            <w:r>
              <w:rPr>
                <w:rFonts w:ascii="Arial" w:cs="Arial" w:eastAsia="Arial" w:hAnsi="Arial"/>
                <w:sz w:val="16"/>
                <w:szCs w:val="16"/>
                <w:b w:val="1"/>
                <w:bCs w:val="1"/>
                <w:color w:val="auto"/>
              </w:rPr>
              <w:t>AOCI balance, net of taxes,</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shd w:val="clear" w:color="auto" w:fill="CCEEFF"/>
          </w:tcPr>
          <w:p>
            <w:pPr>
              <w:spacing w:after="0"/>
              <w:rPr>
                <w:sz w:val="12"/>
                <w:szCs w:val="12"/>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242</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2"/>
                <w:szCs w:val="12"/>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359</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0" w:type="dxa"/>
            <w:vAlign w:val="bottom"/>
          </w:tcPr>
          <w:p>
            <w:pPr>
              <w:spacing w:after="0"/>
              <w:rPr>
                <w:sz w:val="1"/>
                <w:szCs w:val="1"/>
                <w:color w:val="auto"/>
              </w:rPr>
            </w:pPr>
          </w:p>
        </w:tc>
      </w:tr>
      <w:tr>
        <w:trPr>
          <w:trHeight w:val="20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December 31, 2020</w:t>
            </w: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vMerge w:val="continue"/>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vMerge w:val="continue"/>
            <w:shd w:val="clear" w:color="auto" w:fill="CCEEFF"/>
          </w:tcPr>
          <w:p>
            <w:pPr>
              <w:spacing w:after="0"/>
              <w:rPr>
                <w:sz w:val="18"/>
                <w:szCs w:val="18"/>
                <w:color w:val="auto"/>
              </w:rPr>
            </w:pPr>
          </w:p>
        </w:tc>
        <w:tc>
          <w:tcPr>
            <w:tcW w:w="10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on plan assets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We report and measure the plan assets of our defined benefit pension and other postretirement plans at fair value. The tables below set forth the fair value of our plan assets using the same three-level hierarchy of fair-value inputs described in Note 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December 31, 2020</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(a)</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 of U.S. defined benefit plan:</w:t>
            </w: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b w:val="1"/>
                <w:bCs w:val="1"/>
                <w:color w:val="auto"/>
              </w:rPr>
              <w:t>Fixed income securities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743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743</w:t>
            </w: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Equity securities</w:t>
            </w:r>
          </w:p>
        </w:tc>
        <w:tc>
          <w:tcPr>
            <w:tcW w:w="8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88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318</w:t>
            </w:r>
          </w:p>
        </w:tc>
      </w:tr>
      <w:tr>
        <w:trPr>
          <w:trHeight w:val="209"/>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1,061</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1,061</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4"/>
        </w:trPr>
        <w:tc>
          <w:tcPr>
            <w:tcW w:w="6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Assets of U.S. retiree health care plan:</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Fixed income securities and cash equivalents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251</w:t>
            </w: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b w:val="1"/>
                <w:bCs w:val="1"/>
                <w:color w:val="auto"/>
              </w:rPr>
              <w:t>Equity securities</w:t>
            </w:r>
          </w:p>
        </w:tc>
        <w:tc>
          <w:tcPr>
            <w:tcW w:w="88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w:t>
            </w:r>
          </w:p>
        </w:tc>
        <w:tc>
          <w:tcPr>
            <w:tcW w:w="880" w:type="dxa"/>
            <w:vAlign w:val="bottom"/>
          </w:tcPr>
          <w:p>
            <w:pPr>
              <w:spacing w:after="0"/>
              <w:rPr>
                <w:sz w:val="18"/>
                <w:szCs w:val="18"/>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138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138</w:t>
            </w:r>
          </w:p>
        </w:tc>
      </w:tr>
      <w:tr>
        <w:trPr>
          <w:trHeight w:val="237"/>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389</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6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 of non-U.S. defined benefit plans: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b w:val="1"/>
                <w:bCs w:val="1"/>
                <w:color w:val="auto"/>
              </w:rPr>
              <w:t>Fixed income securities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69</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b w:val="1"/>
                <w:bCs w:val="1"/>
                <w:color w:val="auto"/>
                <w:w w:val="89"/>
              </w:rPr>
              <w:t>146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2,063</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b w:val="1"/>
                <w:bCs w:val="1"/>
                <w:color w:val="auto"/>
              </w:rPr>
              <w:t>2,278</w:t>
            </w:r>
          </w:p>
        </w:tc>
      </w:tr>
      <w:tr>
        <w:trPr>
          <w:trHeight w:val="216"/>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Equity securities</w:t>
            </w: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685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730</w:t>
            </w: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112</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b w:val="1"/>
                <w:bCs w:val="1"/>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148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2,748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3,008</w:t>
            </w:r>
          </w:p>
        </w:tc>
      </w:tr>
      <w:tr>
        <w:trPr>
          <w:trHeight w:val="20"/>
        </w:trPr>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bond index and equity index funds, measured at net asset value per share, as well as cash equivalents.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13"/>
        </w:trPr>
        <w:tc>
          <w:tcPr>
            <w:tcW w:w="61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6"/>
          </w:tcPr>
          <w:p>
            <w:pPr>
              <w:ind w:left="600"/>
              <w:spacing w:after="0"/>
              <w:rPr>
                <w:sz w:val="20"/>
                <w:szCs w:val="20"/>
                <w:color w:val="auto"/>
              </w:rPr>
            </w:pPr>
            <w:r>
              <w:rPr>
                <w:rFonts w:ascii="Arial" w:cs="Arial" w:eastAsia="Arial" w:hAnsi="Arial"/>
                <w:sz w:val="16"/>
                <w:szCs w:val="16"/>
                <w:b w:val="1"/>
                <w:bCs w:val="1"/>
                <w:color w:val="auto"/>
              </w:rPr>
              <w:t>December 31, 2019</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r>
      <w:tr>
        <w:trPr>
          <w:trHeight w:val="210"/>
        </w:trPr>
        <w:tc>
          <w:tcPr>
            <w:tcW w:w="6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ind w:left="80"/>
              <w:spacing w:after="0"/>
              <w:rPr>
                <w:sz w:val="20"/>
                <w:szCs w:val="20"/>
                <w:color w:val="auto"/>
              </w:rPr>
            </w:pPr>
            <w:r>
              <w:rPr>
                <w:rFonts w:ascii="Arial" w:cs="Arial" w:eastAsia="Arial" w:hAnsi="Arial"/>
                <w:sz w:val="16"/>
                <w:szCs w:val="16"/>
                <w:b w:val="1"/>
                <w:bCs w:val="1"/>
                <w:color w:val="auto"/>
              </w:rPr>
              <w:t>Other (a)</w:t>
            </w:r>
          </w:p>
        </w:tc>
        <w:tc>
          <w:tcPr>
            <w:tcW w:w="260" w:type="dxa"/>
            <w:vAlign w:val="bottom"/>
          </w:tcPr>
          <w:p>
            <w:pPr>
              <w:spacing w:after="0"/>
              <w:rPr>
                <w:sz w:val="18"/>
                <w:szCs w:val="18"/>
                <w:color w:val="auto"/>
              </w:rPr>
            </w:pPr>
          </w:p>
        </w:tc>
        <w:tc>
          <w:tcPr>
            <w:tcW w:w="94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199"/>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Assets of U.S. defined benefit plan:</w:t>
            </w: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Fixed income securities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640</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640</w:t>
            </w:r>
          </w:p>
        </w:tc>
      </w:tr>
      <w:tr>
        <w:trPr>
          <w:trHeight w:val="216"/>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987</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6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13"/>
        </w:trPr>
        <w:tc>
          <w:tcPr>
            <w:tcW w:w="6100" w:type="dxa"/>
            <w:vAlign w:val="bottom"/>
          </w:tcPr>
          <w:p>
            <w:pPr>
              <w:ind w:left="20"/>
              <w:spacing w:after="0"/>
              <w:rPr>
                <w:sz w:val="20"/>
                <w:szCs w:val="20"/>
                <w:color w:val="auto"/>
              </w:rPr>
            </w:pPr>
            <w:r>
              <w:rPr>
                <w:rFonts w:ascii="Arial" w:cs="Arial" w:eastAsia="Arial" w:hAnsi="Arial"/>
                <w:sz w:val="16"/>
                <w:szCs w:val="16"/>
                <w:color w:val="auto"/>
              </w:rPr>
              <w:t>Assets of U.S. retiree health care plan:</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9"/>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Fixed income securities and cash equivalents</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r>
      <w:tr>
        <w:trPr>
          <w:trHeight w:val="213"/>
        </w:trPr>
        <w:tc>
          <w:tcPr>
            <w:tcW w:w="61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w:t>
            </w:r>
          </w:p>
        </w:tc>
      </w:tr>
      <w:tr>
        <w:trPr>
          <w:trHeight w:val="233"/>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6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6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non-U.S. defined benefit plans:</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3"/>
        </w:trPr>
        <w:tc>
          <w:tcPr>
            <w:tcW w:w="6100" w:type="dxa"/>
            <w:vAlign w:val="bottom"/>
          </w:tcPr>
          <w:p>
            <w:pPr>
              <w:ind w:left="140"/>
              <w:spacing w:after="0"/>
              <w:rPr>
                <w:sz w:val="20"/>
                <w:szCs w:val="20"/>
                <w:color w:val="auto"/>
              </w:rPr>
            </w:pPr>
            <w:r>
              <w:rPr>
                <w:rFonts w:ascii="Arial" w:cs="Arial" w:eastAsia="Arial" w:hAnsi="Arial"/>
                <w:sz w:val="16"/>
                <w:szCs w:val="16"/>
                <w:color w:val="auto"/>
              </w:rPr>
              <w:t>Fixed income securities and cash equivalents</w:t>
            </w: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8"/>
                <w:szCs w:val="18"/>
                <w:color w:val="auto"/>
              </w:rPr>
            </w:pPr>
          </w:p>
        </w:tc>
        <w:tc>
          <w:tcPr>
            <w:tcW w:w="880" w:type="dxa"/>
            <w:vAlign w:val="bottom"/>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Pr>
          <w:p>
            <w:pPr>
              <w:jc w:val="right"/>
              <w:spacing w:after="0"/>
              <w:rPr>
                <w:sz w:val="20"/>
                <w:szCs w:val="20"/>
                <w:color w:val="auto"/>
              </w:rPr>
            </w:pPr>
            <w:r>
              <w:rPr>
                <w:rFonts w:ascii="Arial" w:cs="Arial" w:eastAsia="Arial" w:hAnsi="Arial"/>
                <w:sz w:val="16"/>
                <w:szCs w:val="16"/>
                <w:color w:val="auto"/>
                <w:w w:val="89"/>
              </w:rPr>
              <w:t>126</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1,762</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1,947</w:t>
            </w:r>
          </w:p>
        </w:tc>
      </w:tr>
      <w:tr>
        <w:trPr>
          <w:trHeight w:val="216"/>
        </w:trPr>
        <w:tc>
          <w:tcPr>
            <w:tcW w:w="61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Equity securities</w:t>
            </w:r>
          </w:p>
        </w:tc>
        <w:tc>
          <w:tcPr>
            <w:tcW w:w="88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w:t>
            </w:r>
          </w:p>
        </w:tc>
      </w:tr>
      <w:tr>
        <w:trPr>
          <w:trHeight w:val="212"/>
        </w:trPr>
        <w:tc>
          <w:tcPr>
            <w:tcW w:w="6100" w:type="dxa"/>
            <w:vAlign w:val="bottom"/>
          </w:tcPr>
          <w:p>
            <w:pPr>
              <w:ind w:left="20"/>
              <w:spacing w:after="0"/>
              <w:rPr>
                <w:sz w:val="20"/>
                <w:szCs w:val="20"/>
                <w:color w:val="auto"/>
              </w:rPr>
            </w:pPr>
            <w:r>
              <w:rPr>
                <w:rFonts w:ascii="Arial" w:cs="Arial" w:eastAsia="Arial" w:hAnsi="Arial"/>
                <w:sz w:val="16"/>
                <w:szCs w:val="16"/>
                <w:color w:val="auto"/>
              </w:rPr>
              <w:t>Total</w:t>
            </w: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100</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w w:val="8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128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2,661</w:t>
            </w:r>
          </w:p>
        </w:tc>
      </w:tr>
      <w:tr>
        <w:trPr>
          <w:trHeight w:val="21"/>
        </w:trPr>
        <w:tc>
          <w:tcPr>
            <w:tcW w:w="6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Consists of bond index and equity index funds, measured at net asset value per share, as well as cash equivalents.</w:t>
      </w:r>
    </w:p>
    <w:p>
      <w:pPr>
        <w:spacing w:after="0" w:line="225"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investments in our major benefit plans largely consist of low-cost, broad-market index funds to mitigate risks of concentration within market sectors. Our investment policy is designed to better match the interest rate sensitivity of the plan assets and liabilities. The appropriate mix of equity and bond investments is determined primarily through the use of detailed asset-liability modeling studies that look to balance the impact of changes in the discount rate against the need to provide asset growth to cover future service cost. Most of our plans around the world have a greater proportion of fixed income securities with return characteristics that are more closely aligned with changes in the liabilities caused by discount rate volatility.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 and investment policies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400" w:type="dxa"/>
            <w:vAlign w:val="bottom"/>
            <w:gridSpan w:val="4"/>
          </w:tcPr>
          <w:p>
            <w:pPr>
              <w:ind w:left="440"/>
              <w:spacing w:after="0"/>
              <w:rPr>
                <w:sz w:val="20"/>
                <w:szCs w:val="20"/>
                <w:color w:val="auto"/>
              </w:rPr>
            </w:pPr>
            <w:r>
              <w:rPr>
                <w:rFonts w:ascii="Arial" w:cs="Arial" w:eastAsia="Arial" w:hAnsi="Arial"/>
                <w:sz w:val="16"/>
                <w:szCs w:val="16"/>
                <w:b w:val="1"/>
                <w:bCs w:val="1"/>
                <w:color w:val="auto"/>
              </w:rPr>
              <w:t>U.S. Defined Benefit</w:t>
            </w:r>
          </w:p>
        </w:tc>
        <w:tc>
          <w:tcPr>
            <w:tcW w:w="2400" w:type="dxa"/>
            <w:vAlign w:val="bottom"/>
            <w:gridSpan w:val="4"/>
          </w:tcPr>
          <w:p>
            <w:pPr>
              <w:ind w:left="300"/>
              <w:spacing w:after="0"/>
              <w:rPr>
                <w:sz w:val="20"/>
                <w:szCs w:val="20"/>
                <w:color w:val="auto"/>
              </w:rPr>
            </w:pPr>
            <w:r>
              <w:rPr>
                <w:rFonts w:ascii="Arial" w:cs="Arial" w:eastAsia="Arial" w:hAnsi="Arial"/>
                <w:sz w:val="16"/>
                <w:szCs w:val="16"/>
                <w:b w:val="1"/>
                <w:bCs w:val="1"/>
                <w:color w:val="auto"/>
              </w:rPr>
              <w:t>U.S. Retiree Health Care</w:t>
            </w:r>
          </w:p>
        </w:tc>
        <w:tc>
          <w:tcPr>
            <w:tcW w:w="2300" w:type="dxa"/>
            <w:vAlign w:val="bottom"/>
            <w:gridSpan w:val="3"/>
          </w:tcPr>
          <w:p>
            <w:pPr>
              <w:ind w:left="280"/>
              <w:spacing w:after="0"/>
              <w:rPr>
                <w:sz w:val="20"/>
                <w:szCs w:val="20"/>
                <w:color w:val="auto"/>
              </w:rPr>
            </w:pPr>
            <w:r>
              <w:rPr>
                <w:rFonts w:ascii="Arial" w:cs="Arial" w:eastAsia="Arial" w:hAnsi="Arial"/>
                <w:sz w:val="16"/>
                <w:szCs w:val="16"/>
                <w:b w:val="1"/>
                <w:bCs w:val="1"/>
                <w:color w:val="auto"/>
              </w:rPr>
              <w:t>Non-U.S. Defined Benefit</w:t>
            </w:r>
          </w:p>
        </w:tc>
      </w:tr>
      <w:tr>
        <w:trPr>
          <w:trHeight w:val="207"/>
        </w:trPr>
        <w:tc>
          <w:tcPr>
            <w:tcW w:w="414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Borders>
              <w:top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148"/>
        </w:trPr>
        <w:tc>
          <w:tcPr>
            <w:tcW w:w="4140" w:type="dxa"/>
            <w:vAlign w:val="bottom"/>
          </w:tcPr>
          <w:p>
            <w:pPr>
              <w:ind w:left="20"/>
              <w:spacing w:after="0" w:line="148" w:lineRule="exact"/>
              <w:rPr>
                <w:sz w:val="20"/>
                <w:szCs w:val="20"/>
                <w:color w:val="auto"/>
              </w:rPr>
            </w:pPr>
            <w:r>
              <w:rPr>
                <w:rFonts w:ascii="Arial" w:cs="Arial" w:eastAsia="Arial" w:hAnsi="Arial"/>
                <w:sz w:val="16"/>
                <w:szCs w:val="16"/>
                <w:b w:val="1"/>
                <w:bCs w:val="1"/>
                <w:color w:val="auto"/>
                <w:w w:val="93"/>
              </w:rPr>
              <w:t>Weighted average assumptions used to determine benefit</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obligations: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Discount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2.81%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2.74%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1.31%</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1.46%</w:t>
            </w: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Long-term pay progression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3.70%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3.30%</w:t>
            </w:r>
          </w:p>
        </w:tc>
        <w:tc>
          <w:tcPr>
            <w:tcW w:w="100" w:type="dxa"/>
            <w:vAlign w:val="bottom"/>
          </w:tcPr>
          <w:p>
            <w:pPr>
              <w:spacing w:after="0"/>
              <w:rPr>
                <w:sz w:val="18"/>
                <w:szCs w:val="18"/>
                <w:color w:val="auto"/>
              </w:rPr>
            </w:pPr>
          </w:p>
        </w:tc>
        <w:tc>
          <w:tcPr>
            <w:tcW w:w="1200" w:type="dxa"/>
            <w:vAlign w:val="bottom"/>
            <w:gridSpan w:val="2"/>
          </w:tcPr>
          <w:p>
            <w:pPr>
              <w:ind w:left="440"/>
              <w:spacing w:after="0"/>
              <w:rPr>
                <w:sz w:val="20"/>
                <w:szCs w:val="20"/>
                <w:color w:val="auto"/>
              </w:rPr>
            </w:pPr>
            <w:r>
              <w:rPr>
                <w:rFonts w:ascii="Arial" w:cs="Arial" w:eastAsia="Arial" w:hAnsi="Arial"/>
                <w:sz w:val="16"/>
                <w:szCs w:val="16"/>
                <w:b w:val="1"/>
                <w:bCs w:val="1"/>
                <w:color w:val="auto"/>
              </w:rPr>
              <w:t>n/a</w:t>
            </w:r>
          </w:p>
        </w:tc>
        <w:tc>
          <w:tcPr>
            <w:tcW w:w="1200" w:type="dxa"/>
            <w:vAlign w:val="bottom"/>
            <w:gridSpan w:val="2"/>
          </w:tcPr>
          <w:p>
            <w:pPr>
              <w:ind w:left="460"/>
              <w:spacing w:after="0"/>
              <w:rPr>
                <w:sz w:val="20"/>
                <w:szCs w:val="20"/>
                <w:color w:val="auto"/>
              </w:rPr>
            </w:pPr>
            <w:r>
              <w:rPr>
                <w:rFonts w:ascii="Arial" w:cs="Arial" w:eastAsia="Arial" w:hAnsi="Arial"/>
                <w:sz w:val="16"/>
                <w:szCs w:val="16"/>
                <w:color w:val="auto"/>
              </w:rPr>
              <w:t>n/a</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3.15%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3.06%</w:t>
            </w:r>
          </w:p>
        </w:tc>
      </w:tr>
      <w:tr>
        <w:trPr>
          <w:trHeight w:val="259"/>
        </w:trPr>
        <w:tc>
          <w:tcPr>
            <w:tcW w:w="41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r>
      <w:tr>
        <w:trPr>
          <w:trHeight w:val="162"/>
        </w:trPr>
        <w:tc>
          <w:tcPr>
            <w:tcW w:w="4140" w:type="dxa"/>
            <w:vAlign w:val="bottom"/>
          </w:tcPr>
          <w:p>
            <w:pPr>
              <w:ind w:left="20"/>
              <w:spacing w:after="0" w:line="162" w:lineRule="exact"/>
              <w:rPr>
                <w:sz w:val="20"/>
                <w:szCs w:val="20"/>
                <w:color w:val="auto"/>
              </w:rPr>
            </w:pPr>
            <w:r>
              <w:rPr>
                <w:rFonts w:ascii="Arial" w:cs="Arial" w:eastAsia="Arial" w:hAnsi="Arial"/>
                <w:sz w:val="16"/>
                <w:szCs w:val="16"/>
                <w:b w:val="1"/>
                <w:bCs w:val="1"/>
                <w:color w:val="auto"/>
                <w:w w:val="99"/>
              </w:rPr>
              <w:t>Weighted average assumptions used to determine net</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3"/>
        </w:trPr>
        <w:tc>
          <w:tcPr>
            <w:tcW w:w="4140" w:type="dxa"/>
            <w:vAlign w:val="bottom"/>
          </w:tcPr>
          <w:p>
            <w:pPr>
              <w:ind w:left="20"/>
              <w:spacing w:after="0"/>
              <w:rPr>
                <w:sz w:val="20"/>
                <w:szCs w:val="20"/>
                <w:color w:val="auto"/>
              </w:rPr>
            </w:pPr>
            <w:r>
              <w:rPr>
                <w:rFonts w:ascii="Arial" w:cs="Arial" w:eastAsia="Arial" w:hAnsi="Arial"/>
                <w:sz w:val="16"/>
                <w:szCs w:val="16"/>
                <w:b w:val="1"/>
                <w:bCs w:val="1"/>
                <w:color w:val="auto"/>
              </w:rPr>
              <w:t>periodic benefit cost:</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Discount rate</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3.42%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3.63%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4.30%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1.46%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1.85%</w:t>
            </w:r>
          </w:p>
        </w:tc>
      </w:tr>
      <w:tr>
        <w:trPr>
          <w:trHeight w:val="213"/>
        </w:trPr>
        <w:tc>
          <w:tcPr>
            <w:tcW w:w="4140" w:type="dxa"/>
            <w:vAlign w:val="bottom"/>
          </w:tcPr>
          <w:p>
            <w:pPr>
              <w:ind w:left="140"/>
              <w:spacing w:after="0"/>
              <w:rPr>
                <w:sz w:val="20"/>
                <w:szCs w:val="20"/>
                <w:color w:val="auto"/>
              </w:rPr>
            </w:pPr>
            <w:r>
              <w:rPr>
                <w:rFonts w:ascii="Arial" w:cs="Arial" w:eastAsia="Arial" w:hAnsi="Arial"/>
                <w:sz w:val="16"/>
                <w:szCs w:val="16"/>
                <w:color w:val="auto"/>
              </w:rPr>
              <w:t>Long-term rate of return on plan assets</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6"/>
              </w:rPr>
              <w:t>4.00%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4.90%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3.50%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4.40%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rPr>
              <w:t>2.93%</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2"/>
              </w:rPr>
              <w:t>3.62%</w:t>
            </w:r>
          </w:p>
        </w:tc>
      </w:tr>
      <w:tr>
        <w:trPr>
          <w:trHeight w:val="219"/>
        </w:trPr>
        <w:tc>
          <w:tcPr>
            <w:tcW w:w="41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pay progression</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6"/>
              </w:rPr>
              <w:t>3.30%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3.30%</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440"/>
              <w:spacing w:after="0"/>
              <w:rPr>
                <w:sz w:val="20"/>
                <w:szCs w:val="20"/>
                <w:color w:val="auto"/>
              </w:rPr>
            </w:pPr>
            <w:r>
              <w:rPr>
                <w:rFonts w:ascii="Arial" w:cs="Arial" w:eastAsia="Arial" w:hAnsi="Arial"/>
                <w:sz w:val="16"/>
                <w:szCs w:val="16"/>
                <w:b w:val="1"/>
                <w:bCs w:val="1"/>
                <w:color w:val="auto"/>
              </w:rPr>
              <w:t>n/a</w:t>
            </w:r>
          </w:p>
        </w:tc>
        <w:tc>
          <w:tcPr>
            <w:tcW w:w="120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n/a</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3.06%</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3.03%</w:t>
            </w: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utilize a variety of methods to select an appropriate discount rate depending on the depth of the corporate bond market in the country in which the benefit plan operates. In the United States, we use a settlement approach whereby a portfolio of bonds is selected from the universe of actively traded high-quality U.S. corporate bonds. The selected portfolio is designed to provide cash flows sufficient to pay the plan’s expected benefit payments when due. The resulting discount rate reflects the rate of return of the selected portfolio of bonds. For our non-U.S. locations with a sufficient number of actively traded high-quality bonds, an analysis is performed in which the projected cash flows from the defined benefit plans are discounted against a yield curve constructed with an appropriate universe of high-quality corporate bonds available in each country. In this manner, a present value is developed. The discount rate selected is the single equivalent rate that produces the same present value. For countries that lack a sufficient corporate bond market, a government bond index is used to establish the discount rate.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47" w:name="page48"/>
    <w:bookmarkEnd w:id="47"/>
    <w:p>
      <w:pPr>
        <w:jc w:val="both"/>
        <w:ind w:right="480"/>
        <w:spacing w:after="0" w:line="279" w:lineRule="auto"/>
        <w:rPr>
          <w:sz w:val="20"/>
          <w:szCs w:val="20"/>
          <w:color w:val="auto"/>
        </w:rPr>
      </w:pPr>
      <w:r>
        <w:rPr>
          <w:rFonts w:ascii="Arial" w:cs="Arial" w:eastAsia="Arial" w:hAnsi="Arial"/>
          <w:sz w:val="17"/>
          <w:szCs w:val="17"/>
          <w:color w:val="auto"/>
        </w:rPr>
        <w:t>Assumptions for the expected long-term rate of return on plan assets are based on future expectations for returns for each asset class and the effect of periodic target asset allocation rebalancing. We adjust the results for the payment of reasonable expenses of the plan from plan assets. We believe our assumptions are appropriate based on the investment mix and long-term nature of the plans’ investments. Assumptions used for the non-U.S. defined benefit plans reflect the different economic environments within the various countries.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target allocation ranges for the plans that hold a substantial majority of the defined benefit assets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7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U.S. Defined</w:t>
            </w:r>
          </w:p>
        </w:tc>
        <w:tc>
          <w:tcPr>
            <w:tcW w:w="15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U.S. Retiree Health</w:t>
            </w:r>
          </w:p>
        </w:tc>
        <w:tc>
          <w:tcPr>
            <w:tcW w:w="14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Non-U.S. Defined</w:t>
            </w:r>
          </w:p>
        </w:tc>
      </w:tr>
      <w:tr>
        <w:trPr>
          <w:trHeight w:val="213"/>
        </w:trPr>
        <w:tc>
          <w:tcPr>
            <w:tcW w:w="674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Benefit</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Care</w:t>
            </w:r>
          </w:p>
        </w:tc>
        <w:tc>
          <w:tcPr>
            <w:tcW w:w="100" w:type="dxa"/>
            <w:vAlign w:val="bottom"/>
            <w:tcBorders>
              <w:bottom w:val="single" w:sz="8" w:color="CCEEFF"/>
            </w:tcBorders>
          </w:tcPr>
          <w:p>
            <w:pPr>
              <w:spacing w:after="0"/>
              <w:rPr>
                <w:sz w:val="18"/>
                <w:szCs w:val="18"/>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2"/>
              </w:rPr>
              <w:t>Benefit</w:t>
            </w:r>
          </w:p>
        </w:tc>
      </w:tr>
      <w:tr>
        <w:trPr>
          <w:trHeight w:val="212"/>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income securities and cash equivalents</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65% – 80%</w:t>
            </w:r>
          </w:p>
        </w:tc>
        <w:tc>
          <w:tcPr>
            <w:tcW w:w="154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65% – 80%</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 100%</w:t>
            </w:r>
          </w:p>
        </w:tc>
      </w:tr>
      <w:tr>
        <w:trPr>
          <w:trHeight w:val="210"/>
        </w:trPr>
        <w:tc>
          <w:tcPr>
            <w:tcW w:w="674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5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20% – 35%</w:t>
            </w:r>
          </w:p>
        </w:tc>
        <w:tc>
          <w:tcPr>
            <w:tcW w:w="154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20% – 35%</w:t>
            </w:r>
          </w:p>
        </w:tc>
        <w:tc>
          <w:tcPr>
            <w:tcW w:w="620" w:type="dxa"/>
            <w:vAlign w:val="bottom"/>
          </w:tcPr>
          <w:p>
            <w:pPr>
              <w:jc w:val="right"/>
              <w:spacing w:after="0"/>
              <w:rPr>
                <w:sz w:val="20"/>
                <w:szCs w:val="20"/>
                <w:color w:val="auto"/>
              </w:rPr>
            </w:pPr>
            <w:r>
              <w:rPr>
                <w:rFonts w:ascii="Arial" w:cs="Arial" w:eastAsia="Arial" w:hAnsi="Arial"/>
                <w:sz w:val="16"/>
                <w:szCs w:val="16"/>
                <w:color w:val="auto"/>
              </w:rPr>
              <w:t>0%</w:t>
            </w:r>
          </w:p>
        </w:tc>
        <w:tc>
          <w:tcPr>
            <w:tcW w:w="820" w:type="dxa"/>
            <w:vAlign w:val="bottom"/>
          </w:tcPr>
          <w:p>
            <w:pPr>
              <w:ind w:left="20"/>
              <w:spacing w:after="0"/>
              <w:rPr>
                <w:sz w:val="20"/>
                <w:szCs w:val="20"/>
                <w:color w:val="auto"/>
              </w:rPr>
            </w:pPr>
            <w:r>
              <w:rPr>
                <w:rFonts w:ascii="Arial" w:cs="Arial" w:eastAsia="Arial" w:hAnsi="Arial"/>
                <w:sz w:val="16"/>
                <w:szCs w:val="16"/>
                <w:color w:val="auto"/>
              </w:rPr>
              <w:t>– 40%</w:t>
            </w: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We rebalance the plans’ investments when they are outside the target allocation ranges.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asset allocations as of December 31 are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140" w:type="dxa"/>
            <w:vAlign w:val="bottom"/>
          </w:tcPr>
          <w:p>
            <w:pPr>
              <w:spacing w:after="0"/>
              <w:rPr>
                <w:sz w:val="18"/>
                <w:szCs w:val="18"/>
                <w:color w:val="auto"/>
              </w:rPr>
            </w:pPr>
          </w:p>
        </w:tc>
        <w:tc>
          <w:tcPr>
            <w:tcW w:w="2400" w:type="dxa"/>
            <w:vAlign w:val="bottom"/>
            <w:gridSpan w:val="4"/>
          </w:tcPr>
          <w:p>
            <w:pPr>
              <w:ind w:left="440"/>
              <w:spacing w:after="0"/>
              <w:rPr>
                <w:sz w:val="20"/>
                <w:szCs w:val="20"/>
                <w:color w:val="auto"/>
              </w:rPr>
            </w:pPr>
            <w:r>
              <w:rPr>
                <w:rFonts w:ascii="Arial" w:cs="Arial" w:eastAsia="Arial" w:hAnsi="Arial"/>
                <w:sz w:val="16"/>
                <w:szCs w:val="16"/>
                <w:b w:val="1"/>
                <w:bCs w:val="1"/>
                <w:color w:val="auto"/>
              </w:rPr>
              <w:t>U.S. Defined Benefit</w:t>
            </w:r>
          </w:p>
        </w:tc>
        <w:tc>
          <w:tcPr>
            <w:tcW w:w="2400" w:type="dxa"/>
            <w:vAlign w:val="bottom"/>
            <w:gridSpan w:val="4"/>
          </w:tcPr>
          <w:p>
            <w:pPr>
              <w:ind w:left="300"/>
              <w:spacing w:after="0"/>
              <w:rPr>
                <w:sz w:val="20"/>
                <w:szCs w:val="20"/>
                <w:color w:val="auto"/>
              </w:rPr>
            </w:pPr>
            <w:r>
              <w:rPr>
                <w:rFonts w:ascii="Arial" w:cs="Arial" w:eastAsia="Arial" w:hAnsi="Arial"/>
                <w:sz w:val="16"/>
                <w:szCs w:val="16"/>
                <w:b w:val="1"/>
                <w:bCs w:val="1"/>
                <w:color w:val="auto"/>
              </w:rPr>
              <w:t>U.S. Retiree Health Care</w:t>
            </w:r>
          </w:p>
        </w:tc>
        <w:tc>
          <w:tcPr>
            <w:tcW w:w="2300" w:type="dxa"/>
            <w:vAlign w:val="bottom"/>
            <w:gridSpan w:val="3"/>
          </w:tcPr>
          <w:p>
            <w:pPr>
              <w:ind w:left="280"/>
              <w:spacing w:after="0"/>
              <w:rPr>
                <w:sz w:val="20"/>
                <w:szCs w:val="20"/>
                <w:color w:val="auto"/>
              </w:rPr>
            </w:pPr>
            <w:r>
              <w:rPr>
                <w:rFonts w:ascii="Arial" w:cs="Arial" w:eastAsia="Arial" w:hAnsi="Arial"/>
                <w:sz w:val="16"/>
                <w:szCs w:val="16"/>
                <w:b w:val="1"/>
                <w:bCs w:val="1"/>
                <w:color w:val="auto"/>
              </w:rPr>
              <w:t>Non-U.S. Defined Benefit</w:t>
            </w:r>
          </w:p>
        </w:tc>
      </w:tr>
      <w:tr>
        <w:trPr>
          <w:trHeight w:val="210"/>
        </w:trPr>
        <w:tc>
          <w:tcPr>
            <w:tcW w:w="41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2019</w:t>
            </w:r>
          </w:p>
        </w:tc>
        <w:tc>
          <w:tcPr>
            <w:tcW w:w="10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2019</w:t>
            </w:r>
          </w:p>
        </w:tc>
      </w:tr>
      <w:tr>
        <w:trPr>
          <w:trHeight w:val="212"/>
        </w:trPr>
        <w:tc>
          <w:tcPr>
            <w:tcW w:w="4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income securities and cash equivalents</w:t>
            </w:r>
          </w:p>
        </w:tc>
        <w:tc>
          <w:tcPr>
            <w:tcW w:w="1100" w:type="dxa"/>
            <w:vAlign w:val="bottom"/>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70%</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65%</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76%</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3"/>
              </w:rPr>
              <w:t>73%</w:t>
            </w:r>
          </w:p>
        </w:tc>
      </w:tr>
      <w:tr>
        <w:trPr>
          <w:trHeight w:val="210"/>
        </w:trPr>
        <w:tc>
          <w:tcPr>
            <w:tcW w:w="4140" w:type="dxa"/>
            <w:vAlign w:val="bottom"/>
          </w:tcPr>
          <w:p>
            <w:pPr>
              <w:ind w:left="20"/>
              <w:spacing w:after="0"/>
              <w:rPr>
                <w:sz w:val="20"/>
                <w:szCs w:val="20"/>
                <w:color w:val="auto"/>
              </w:rPr>
            </w:pPr>
            <w:r>
              <w:rPr>
                <w:rFonts w:ascii="Arial" w:cs="Arial" w:eastAsia="Arial" w:hAnsi="Arial"/>
                <w:sz w:val="16"/>
                <w:szCs w:val="16"/>
                <w:color w:val="auto"/>
              </w:rPr>
              <w:t>Equity securities</w:t>
            </w:r>
          </w:p>
        </w:tc>
        <w:tc>
          <w:tcPr>
            <w:tcW w:w="1100" w:type="dxa"/>
            <w:vAlign w:val="bottom"/>
          </w:tcPr>
          <w:p>
            <w:pPr>
              <w:jc w:val="right"/>
              <w:ind w:right="319"/>
              <w:spacing w:after="0"/>
              <w:rPr>
                <w:sz w:val="20"/>
                <w:szCs w:val="20"/>
                <w:color w:val="auto"/>
              </w:rPr>
            </w:pPr>
            <w:r>
              <w:rPr>
                <w:rFonts w:ascii="Arial" w:cs="Arial" w:eastAsia="Arial" w:hAnsi="Arial"/>
                <w:sz w:val="16"/>
                <w:szCs w:val="16"/>
                <w:b w:val="1"/>
                <w:bCs w:val="1"/>
                <w:color w:val="auto"/>
              </w:rPr>
              <w:t>30%</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35%</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35%</w:t>
            </w:r>
          </w:p>
        </w:tc>
        <w:tc>
          <w:tcPr>
            <w:tcW w:w="100" w:type="dxa"/>
            <w:vAlign w:val="bottom"/>
          </w:tcPr>
          <w:p>
            <w:pPr>
              <w:spacing w:after="0"/>
              <w:rPr>
                <w:sz w:val="18"/>
                <w:szCs w:val="18"/>
                <w:color w:val="auto"/>
              </w:rPr>
            </w:pPr>
          </w:p>
        </w:tc>
        <w:tc>
          <w:tcPr>
            <w:tcW w:w="1100" w:type="dxa"/>
            <w:vAlign w:val="bottom"/>
          </w:tcPr>
          <w:p>
            <w:pPr>
              <w:jc w:val="right"/>
              <w:ind w:right="299"/>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color w:val="auto"/>
                <w:w w:val="93"/>
              </w:rPr>
              <w:t>27%</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None of the plan assets related to the defined benefit pension plans and retiree health care benefit plan are directly invested in TI common stock.</w:t>
      </w:r>
    </w:p>
    <w:p>
      <w:pPr>
        <w:spacing w:after="0" w:line="237"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following assumed future benefit payments to plan participants in the next 10 years are used to measure our benefit obligations. Almost all of the payments, which may vary significantly from these assumptions, will be made from plan assets and not from company assets.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42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2023</w:t>
            </w: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2024</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6"/>
              </w:rPr>
              <w:t>2026 – 2030</w:t>
            </w:r>
          </w:p>
        </w:tc>
      </w:tr>
      <w:tr>
        <w:trPr>
          <w:trHeight w:val="21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 Defined Benefit</w:t>
            </w:r>
          </w:p>
        </w:tc>
        <w:tc>
          <w:tcPr>
            <w:tcW w:w="880" w:type="dxa"/>
            <w:vAlign w:val="bottom"/>
            <w:shd w:val="clear" w:color="auto" w:fill="CCEEFF"/>
          </w:tcPr>
          <w:p>
            <w:pPr>
              <w:jc w:val="right"/>
              <w:ind w:right="69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659"/>
              <w:spacing w:after="0"/>
              <w:rPr>
                <w:sz w:val="20"/>
                <w:szCs w:val="20"/>
                <w:color w:val="auto"/>
              </w:rPr>
            </w:pPr>
            <w:r>
              <w:rPr>
                <w:rFonts w:ascii="Arial" w:cs="Arial" w:eastAsia="Arial" w:hAnsi="Arial"/>
                <w:sz w:val="16"/>
                <w:szCs w:val="16"/>
                <w:color w:val="auto"/>
                <w:w w:val="8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71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100</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w:t>
            </w: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U.S. Retiree Health Care</w:t>
            </w:r>
          </w:p>
        </w:tc>
        <w:tc>
          <w:tcPr>
            <w:tcW w:w="8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28</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26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Non-U.S. Defined Benefit</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105</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w:t>
            </w:r>
          </w:p>
        </w:tc>
      </w:tr>
      <w:tr>
        <w:trPr>
          <w:trHeight w:val="432"/>
        </w:trPr>
        <w:tc>
          <w:tcPr>
            <w:tcW w:w="8260" w:type="dxa"/>
            <w:vAlign w:val="bottom"/>
            <w:gridSpan w:val="11"/>
          </w:tcPr>
          <w:p>
            <w:pPr>
              <w:spacing w:after="0"/>
              <w:rPr>
                <w:sz w:val="20"/>
                <w:szCs w:val="20"/>
                <w:color w:val="auto"/>
              </w:rPr>
            </w:pPr>
            <w:r>
              <w:rPr>
                <w:rFonts w:ascii="Arial" w:cs="Arial" w:eastAsia="Arial" w:hAnsi="Arial"/>
                <w:sz w:val="18"/>
                <w:szCs w:val="18"/>
                <w:color w:val="auto"/>
                <w:w w:val="89"/>
              </w:rPr>
              <w:t>Assumed health care cost trend rates for the U.S. retiree health care benefit plan as of December 31 are as follows: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56"/>
        </w:trPr>
        <w:tc>
          <w:tcPr>
            <w:tcW w:w="3420" w:type="dxa"/>
            <w:vAlign w:val="bottom"/>
            <w:tcBorders>
              <w:bottom w:val="single" w:sz="8" w:color="CCEEFF"/>
            </w:tcBorders>
          </w:tcPr>
          <w:p>
            <w:pPr>
              <w:spacing w:after="0"/>
              <w:rPr>
                <w:sz w:val="24"/>
                <w:szCs w:val="24"/>
                <w:color w:val="auto"/>
              </w:rPr>
            </w:pPr>
          </w:p>
        </w:tc>
        <w:tc>
          <w:tcPr>
            <w:tcW w:w="88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20" w:type="dxa"/>
            <w:vAlign w:val="bottom"/>
            <w:tcBorders>
              <w:bottom w:val="single" w:sz="8" w:color="CCEEFF"/>
            </w:tcBorders>
          </w:tcPr>
          <w:p>
            <w:pPr>
              <w:spacing w:after="0"/>
              <w:rPr>
                <w:sz w:val="24"/>
                <w:szCs w:val="24"/>
                <w:color w:val="auto"/>
              </w:rPr>
            </w:pPr>
          </w:p>
        </w:tc>
        <w:tc>
          <w:tcPr>
            <w:tcW w:w="3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840" w:type="dxa"/>
            <w:vAlign w:val="bottom"/>
            <w:tcBorders>
              <w:bottom w:val="single" w:sz="8" w:color="CCEEFF"/>
            </w:tcBorders>
          </w:tcPr>
          <w:p>
            <w:pPr>
              <w:spacing w:after="0"/>
              <w:rPr>
                <w:sz w:val="24"/>
                <w:szCs w:val="24"/>
                <w:color w:val="auto"/>
              </w:rPr>
            </w:pPr>
          </w:p>
        </w:tc>
        <w:tc>
          <w:tcPr>
            <w:tcW w:w="40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900" w:type="dxa"/>
            <w:vAlign w:val="bottom"/>
            <w:tcBorders>
              <w:bottom w:val="single" w:sz="8" w:color="CCEEFF"/>
            </w:tcBorders>
          </w:tcPr>
          <w:p>
            <w:pPr>
              <w:spacing w:after="0"/>
              <w:rPr>
                <w:sz w:val="24"/>
                <w:szCs w:val="24"/>
                <w:color w:val="auto"/>
              </w:rPr>
            </w:pPr>
          </w:p>
        </w:tc>
        <w:tc>
          <w:tcPr>
            <w:tcW w:w="3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5"/>
              </w:rPr>
              <w:t>2020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89"/>
              </w:rPr>
              <w:t>2019</w:t>
            </w:r>
          </w:p>
        </w:tc>
      </w:tr>
      <w:tr>
        <w:trPr>
          <w:trHeight w:val="213"/>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6"/>
              </w:rPr>
              <w:t>Assumed health care cost trend rate for next year</w:t>
            </w: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6.75%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8"/>
              </w:rPr>
              <w:t>7.00%</w:t>
            </w:r>
          </w:p>
        </w:tc>
      </w:tr>
      <w:tr>
        <w:trPr>
          <w:trHeight w:val="213"/>
        </w:trPr>
        <w:tc>
          <w:tcPr>
            <w:tcW w:w="3420" w:type="dxa"/>
            <w:vAlign w:val="bottom"/>
          </w:tcPr>
          <w:p>
            <w:pPr>
              <w:ind w:left="20"/>
              <w:spacing w:after="0"/>
              <w:rPr>
                <w:sz w:val="20"/>
                <w:szCs w:val="20"/>
                <w:color w:val="auto"/>
              </w:rPr>
            </w:pPr>
            <w:r>
              <w:rPr>
                <w:rFonts w:ascii="Arial" w:cs="Arial" w:eastAsia="Arial" w:hAnsi="Arial"/>
                <w:sz w:val="16"/>
                <w:szCs w:val="16"/>
                <w:color w:val="auto"/>
              </w:rPr>
              <w:t>Ultimate trend rate</w:t>
            </w: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center"/>
              <w:ind w:right="119"/>
              <w:spacing w:after="0"/>
              <w:rPr>
                <w:sz w:val="20"/>
                <w:szCs w:val="20"/>
                <w:color w:val="auto"/>
              </w:rPr>
            </w:pPr>
            <w:r>
              <w:rPr>
                <w:rFonts w:ascii="Arial" w:cs="Arial" w:eastAsia="Arial" w:hAnsi="Arial"/>
                <w:sz w:val="16"/>
                <w:szCs w:val="16"/>
                <w:b w:val="1"/>
                <w:bCs w:val="1"/>
                <w:color w:val="auto"/>
              </w:rPr>
              <w:t>5.00%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center"/>
              <w:ind w:right="39"/>
              <w:spacing w:after="0"/>
              <w:rPr>
                <w:sz w:val="20"/>
                <w:szCs w:val="20"/>
                <w:color w:val="auto"/>
              </w:rPr>
            </w:pPr>
            <w:r>
              <w:rPr>
                <w:rFonts w:ascii="Arial" w:cs="Arial" w:eastAsia="Arial" w:hAnsi="Arial"/>
                <w:sz w:val="16"/>
                <w:szCs w:val="16"/>
                <w:color w:val="auto"/>
                <w:w w:val="88"/>
              </w:rPr>
              <w:t>5.00%</w:t>
            </w:r>
          </w:p>
        </w:tc>
      </w:tr>
      <w:tr>
        <w:trPr>
          <w:trHeight w:val="21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in which ultimate trend rate is reached</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w w:val="95"/>
              </w:rPr>
              <w:t>2028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right="39"/>
              <w:spacing w:after="0"/>
              <w:rPr>
                <w:sz w:val="20"/>
                <w:szCs w:val="20"/>
                <w:color w:val="auto"/>
              </w:rPr>
            </w:pPr>
            <w:r>
              <w:rPr>
                <w:rFonts w:ascii="Arial" w:cs="Arial" w:eastAsia="Arial" w:hAnsi="Arial"/>
                <w:sz w:val="16"/>
                <w:szCs w:val="16"/>
                <w:color w:val="auto"/>
                <w:w w:val="89"/>
              </w:rPr>
              <w:t>2028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plans</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deferred compensation plans that allow U.S. employees whose base salary and management responsibility exceed a certain level to defer receipt of a portion of their cash compensation. Payments under these plans are made based on the participant’s distribution election and plan balance. Participants can earn a return on their deferred compensation based on notional investments in the same investment funds that are offered in our defined contribution plans.</w:t>
      </w:r>
    </w:p>
    <w:p>
      <w:pPr>
        <w:spacing w:after="0" w:line="187"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As of December 31, 2020, our liability to participants of the deferred compensation plans was $350 million and is recorded in other long-term liabilities on our Consolidated Balance Sheets. This amount reflects the accumulated participant deferrals and earnings thereon as of that date. We utilize total return swaps and investments in mutual funds that serve as economic hedges of our exposure to changes in the fair value of these liabilities. We record changes in the fair value of the liability and the related total return swaps and mutual funds in SG&amp;A, as discussed in Note 6. As of December 31, 2020, we held $18 million in mutual funds related to these plans that are recorded in long-term investments on our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48" w:name="page49"/>
    <w:bookmarkEnd w:id="48"/>
    <w:p>
      <w:pPr>
        <w:ind w:left="180" w:hanging="172"/>
        <w:spacing w:after="0"/>
        <w:tabs>
          <w:tab w:leader="none" w:pos="1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Debt and lines of credit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Short-term borrowings</w:t>
      </w:r>
    </w:p>
    <w:p>
      <w:pPr>
        <w:spacing w:after="0" w:line="225"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We maintain a line of credit to support commercial paper borrowings, if any, and to provide additional liquidity through bank loans. As of December 31, 2020, we had a variable-rate revolving credit facility from a consortium of investment-grade banks that allows us to borrow up to $2 billion until March 2024. The interest rate on borrowings under this credit facility, if drawn, is indexed to the applicable London Interbank Offered Rate (LIBOR). As of December 31, 2020, our credit facility was undrawn, and we had no commercial paper outstanding.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In March 2020, we issued a principal amount of $750 million of fixed-rate, long-term debt due in 2025. We incurred $4 million of issuance costs. The proceeds of the offering were $749 million, net of the original issuance discount, and were used for general corporate purposes and the repayment of maturing debt.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 April 2020, we retired $500 million of maturing debt.</w:t>
      </w:r>
    </w:p>
    <w:p>
      <w:pPr>
        <w:spacing w:after="0" w:line="225"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In May 2020, we issued a principal amount of $750 million of fixed-rate, long-term debt due in 2030. We incurred $5 million of issuance costs. The proceeds of the offering were $749 million, net of the original issuance discount, and were used for general corporate purposes.</w:t>
      </w:r>
    </w:p>
    <w:p>
      <w:pPr>
        <w:spacing w:after="0" w:line="146"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In March 2019, we issued a principal amount of $750 million of fixed-rate, long-term debt due in 2039. We incurred $7 million of issuance costs. The proceeds of the offering were $743 million, net of the original issuance discount, and were used for general corporate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August 2019, we retired $750 million of maturing debt.</w:t>
      </w:r>
    </w:p>
    <w:p>
      <w:pPr>
        <w:spacing w:after="0" w:line="225"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In September 2019, we issued a principal amount of $750 million of fixed-rate, long-term debt due in 2029. We incurred $5 million of issuance costs. The proceeds of the offering were $748 million, net of the original issuance discount, and were used for general corporate purposes.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In May 2018, we retired $500 million of maturing debt.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the second quarter of 2018, we issued an aggregate principal amount of $1.5 billion of fixed-rate, long-term debt due in 2048, comprised of the issuance of $1.3 billion in May 2018 and an additional $200 million in June 2018. We incurred $16 million of issuance and other related costs. The proceeds of the offering were $1.5 billion, net of the original issuance discount and premium, and were used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89"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Long-term debt outstanding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18"/>
                <w:szCs w:val="18"/>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2020 at 1.75%</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Notes due 2021 at 2.75%</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2022 at 1.85%</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Notes due 2023 at 2.25%</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500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2024 at 2.625%</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Notes due 2025 at 1.375%</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2027 at 2.90%</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500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Notes due 2029 at 2.25%</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2030 at 1.75%</w:t>
            </w: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720" w:type="dxa"/>
            <w:vAlign w:val="bottom"/>
          </w:tcPr>
          <w:p>
            <w:pPr>
              <w:ind w:left="20"/>
              <w:spacing w:after="0"/>
              <w:rPr>
                <w:sz w:val="20"/>
                <w:szCs w:val="20"/>
                <w:color w:val="auto"/>
              </w:rPr>
            </w:pPr>
            <w:r>
              <w:rPr>
                <w:rFonts w:ascii="Arial" w:cs="Arial" w:eastAsia="Arial" w:hAnsi="Arial"/>
                <w:sz w:val="16"/>
                <w:szCs w:val="16"/>
                <w:color w:val="auto"/>
              </w:rPr>
              <w:t>Notes due 2039 at 3.875%</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750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due 2048 at 4.15%</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1,500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Total debt</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6,850</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5,850</w:t>
            </w:r>
          </w:p>
        </w:tc>
      </w:tr>
      <w:tr>
        <w:trPr>
          <w:trHeight w:val="219"/>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unamortized discounts, premiums and issuance costs</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07"/>
        </w:trPr>
        <w:tc>
          <w:tcPr>
            <w:tcW w:w="8720" w:type="dxa"/>
            <w:vAlign w:val="bottom"/>
          </w:tcPr>
          <w:p>
            <w:pPr>
              <w:ind w:left="20"/>
              <w:spacing w:after="0"/>
              <w:rPr>
                <w:sz w:val="20"/>
                <w:szCs w:val="20"/>
                <w:color w:val="auto"/>
              </w:rPr>
            </w:pPr>
            <w:r>
              <w:rPr>
                <w:rFonts w:ascii="Arial" w:cs="Arial" w:eastAsia="Arial" w:hAnsi="Arial"/>
                <w:sz w:val="16"/>
                <w:szCs w:val="16"/>
                <w:color w:val="auto"/>
              </w:rPr>
              <w:t>Total debt, including net unamortized discounts, premiums and issuance costs</w:t>
            </w:r>
          </w:p>
        </w:tc>
        <w:tc>
          <w:tcPr>
            <w:tcW w:w="78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6,798</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5,803</w:t>
            </w: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long-term debt</w:t>
            </w: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12"/>
        </w:trPr>
        <w:tc>
          <w:tcPr>
            <w:tcW w:w="872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6,248</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5,303</w:t>
            </w:r>
          </w:p>
        </w:tc>
      </w:tr>
      <w:tr>
        <w:trPr>
          <w:trHeight w:val="21"/>
        </w:trPr>
        <w:tc>
          <w:tcPr>
            <w:tcW w:w="8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Interest and debt expense was $190 million, $170 million and $125 million in 2020, 2019 and 2018, respectively. This was net of the amortized discounts, premiums and issuance costs. Cash payments for interest on long-term debt were $182 million, $156 million and $114 million in 2020, 2019 and 2018, respectively. Capitalized interest was not material.</w:t>
      </w:r>
    </w:p>
    <w:p>
      <w:pPr>
        <w:spacing w:after="0" w:line="184" w:lineRule="exact"/>
        <w:rPr>
          <w:sz w:val="20"/>
          <w:szCs w:val="20"/>
          <w:color w:val="auto"/>
        </w:rPr>
      </w:pPr>
    </w:p>
    <w:p>
      <w:pPr>
        <w:ind w:left="280" w:hanging="272"/>
        <w:spacing w:after="0"/>
        <w:tabs>
          <w:tab w:leader="none" w:pos="2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Leases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 certain operations in leased facilities and also lease a portion of our data processing and other equipment. In addition, certain long-term supply agreements to purchase industrial gases are accounted for as operating leases. Lease agreements frequently include renewal provisions and require us to pay real estate taxes, insurance and maintenance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Our leases are included as a component of the following balance sheet lines: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7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18"/>
                <w:szCs w:val="18"/>
                <w:color w:val="auto"/>
              </w:rPr>
            </w:pPr>
          </w:p>
        </w:tc>
      </w:tr>
      <w:tr>
        <w:trPr>
          <w:trHeight w:val="210"/>
        </w:trPr>
        <w:tc>
          <w:tcPr>
            <w:tcW w:w="872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r>
      <w:tr>
        <w:trPr>
          <w:trHeight w:val="212"/>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319</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w:t>
            </w:r>
          </w:p>
        </w:tc>
      </w:tr>
      <w:tr>
        <w:trPr>
          <w:trHeight w:val="243"/>
        </w:trPr>
        <w:tc>
          <w:tcPr>
            <w:tcW w:w="8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8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liabilities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72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r>
      <w:tr>
        <w:trPr>
          <w:trHeight w:val="210"/>
        </w:trPr>
        <w:tc>
          <w:tcPr>
            <w:tcW w:w="872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color w:val="auto"/>
        </w:rPr>
        <w:t>Details of our operating leases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60" w:type="dxa"/>
            <w:vAlign w:val="bottom"/>
            <w:gridSpan w:val="4"/>
          </w:tcPr>
          <w:p>
            <w:pPr>
              <w:jc w:val="right"/>
              <w:ind w:right="739"/>
              <w:spacing w:after="0"/>
              <w:rPr>
                <w:sz w:val="20"/>
                <w:szCs w:val="20"/>
                <w:color w:val="auto"/>
              </w:rPr>
            </w:pPr>
            <w:r>
              <w:rPr>
                <w:rFonts w:ascii="Arial" w:cs="Arial" w:eastAsia="Arial" w:hAnsi="Arial"/>
                <w:sz w:val="16"/>
                <w:szCs w:val="16"/>
                <w:b w:val="1"/>
                <w:bCs w:val="1"/>
                <w:color w:val="auto"/>
              </w:rPr>
              <w:t>For Years Ended</w:t>
            </w:r>
          </w:p>
        </w:tc>
      </w:tr>
      <w:tr>
        <w:trPr>
          <w:trHeight w:val="213"/>
        </w:trPr>
        <w:tc>
          <w:tcPr>
            <w:tcW w:w="84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December 31,</w:t>
            </w:r>
          </w:p>
        </w:tc>
        <w:tc>
          <w:tcPr>
            <w:tcW w:w="860" w:type="dxa"/>
            <w:vAlign w:val="bottom"/>
            <w:tcBorders>
              <w:bottom w:val="single" w:sz="8" w:color="auto"/>
            </w:tcBorders>
          </w:tcPr>
          <w:p>
            <w:pPr>
              <w:spacing w:after="0"/>
              <w:rPr>
                <w:sz w:val="18"/>
                <w:szCs w:val="18"/>
                <w:color w:val="auto"/>
              </w:rPr>
            </w:pPr>
          </w:p>
        </w:tc>
      </w:tr>
      <w:tr>
        <w:trPr>
          <w:trHeight w:val="210"/>
        </w:trPr>
        <w:tc>
          <w:tcPr>
            <w:tcW w:w="84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w w:val="95"/>
              </w:rPr>
              <w:t>2019</w:t>
            </w:r>
          </w:p>
        </w:tc>
      </w:tr>
      <w:tr>
        <w:trPr>
          <w:trHeight w:val="212"/>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cost related to lease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70</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66</w:t>
            </w: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Variable lease cost</w:t>
            </w:r>
          </w:p>
        </w:tc>
        <w:tc>
          <w:tcPr>
            <w:tcW w:w="300" w:type="dxa"/>
            <w:vAlign w:val="bottom"/>
          </w:tcPr>
          <w:p>
            <w:pPr>
              <w:spacing w:after="0"/>
              <w:rPr>
                <w:sz w:val="18"/>
                <w:szCs w:val="18"/>
                <w:color w:val="auto"/>
              </w:rPr>
            </w:pPr>
          </w:p>
        </w:tc>
        <w:tc>
          <w:tcPr>
            <w:tcW w:w="1040" w:type="dxa"/>
            <w:vAlign w:val="bottom"/>
          </w:tcPr>
          <w:p>
            <w:pPr>
              <w:jc w:val="right"/>
              <w:ind w:right="139"/>
              <w:spacing w:after="0"/>
              <w:rPr>
                <w:sz w:val="20"/>
                <w:szCs w:val="20"/>
                <w:color w:val="auto"/>
              </w:rPr>
            </w:pPr>
            <w:r>
              <w:rPr>
                <w:rFonts w:ascii="Arial" w:cs="Arial" w:eastAsia="Arial" w:hAnsi="Arial"/>
                <w:sz w:val="16"/>
                <w:szCs w:val="16"/>
                <w:b w:val="1"/>
                <w:bCs w:val="1"/>
                <w:color w:val="auto"/>
              </w:rPr>
              <w:t>36</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ind w:right="119"/>
              <w:spacing w:after="0"/>
              <w:rPr>
                <w:sz w:val="20"/>
                <w:szCs w:val="20"/>
                <w:color w:val="auto"/>
              </w:rPr>
            </w:pPr>
            <w:r>
              <w:rPr>
                <w:rFonts w:ascii="Arial" w:cs="Arial" w:eastAsia="Arial" w:hAnsi="Arial"/>
                <w:sz w:val="16"/>
                <w:szCs w:val="16"/>
                <w:color w:val="auto"/>
              </w:rPr>
              <w:t>41</w:t>
            </w:r>
          </w:p>
        </w:tc>
      </w:tr>
      <w:tr>
        <w:trPr>
          <w:trHeight w:val="246"/>
        </w:trPr>
        <w:tc>
          <w:tcPr>
            <w:tcW w:w="84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13"/>
        </w:trPr>
        <w:tc>
          <w:tcPr>
            <w:tcW w:w="8480" w:type="dxa"/>
            <w:vAlign w:val="bottom"/>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9"/>
        </w:trPr>
        <w:tc>
          <w:tcPr>
            <w:tcW w:w="8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cash flows for lease cost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60</w:t>
            </w:r>
          </w:p>
        </w:tc>
      </w:tr>
      <w:tr>
        <w:trPr>
          <w:trHeight w:val="243"/>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 obtained in exchange for new lease liabilities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b w:val="1"/>
                <w:bCs w:val="1"/>
                <w:color w:val="auto"/>
                <w:w w:val="89"/>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4"/>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167</w:t>
            </w:r>
          </w:p>
        </w:tc>
      </w:tr>
      <w:tr>
        <w:trPr>
          <w:trHeight w:val="243"/>
        </w:trPr>
        <w:tc>
          <w:tcPr>
            <w:tcW w:w="8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r>
      <w:tr>
        <w:trPr>
          <w:trHeight w:val="216"/>
        </w:trPr>
        <w:tc>
          <w:tcPr>
            <w:tcW w:w="8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remaining lease term</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420"/>
              <w:spacing w:after="0"/>
              <w:rPr>
                <w:sz w:val="20"/>
                <w:szCs w:val="20"/>
                <w:color w:val="auto"/>
              </w:rPr>
            </w:pPr>
            <w:r>
              <w:rPr>
                <w:rFonts w:ascii="Arial" w:cs="Arial" w:eastAsia="Arial" w:hAnsi="Arial"/>
                <w:sz w:val="16"/>
                <w:szCs w:val="16"/>
                <w:b w:val="1"/>
                <w:bCs w:val="1"/>
                <w:color w:val="auto"/>
              </w:rPr>
              <w:t>8.9 years</w:t>
            </w: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 years</w:t>
            </w:r>
          </w:p>
        </w:tc>
      </w:tr>
      <w:tr>
        <w:trPr>
          <w:trHeight w:val="210"/>
        </w:trPr>
        <w:tc>
          <w:tcPr>
            <w:tcW w:w="8480" w:type="dxa"/>
            <w:vAlign w:val="bottom"/>
          </w:tcPr>
          <w:p>
            <w:pPr>
              <w:ind w:left="20"/>
              <w:spacing w:after="0"/>
              <w:rPr>
                <w:sz w:val="20"/>
                <w:szCs w:val="20"/>
                <w:color w:val="auto"/>
              </w:rPr>
            </w:pPr>
            <w:r>
              <w:rPr>
                <w:rFonts w:ascii="Arial" w:cs="Arial" w:eastAsia="Arial" w:hAnsi="Arial"/>
                <w:sz w:val="16"/>
                <w:szCs w:val="16"/>
                <w:color w:val="auto"/>
              </w:rPr>
              <w:t>Weighted average discount rate</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b w:val="1"/>
                <w:bCs w:val="1"/>
                <w:color w:val="auto"/>
              </w:rPr>
              <w:t>3.02 %</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3.37 %</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committed to make the following minimum payments under our non-cancellable operating leases: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20" w:type="dxa"/>
            <w:vAlign w:val="bottom"/>
          </w:tcPr>
          <w:p>
            <w:pPr>
              <w:ind w:left="140"/>
              <w:spacing w:after="0"/>
              <w:rPr>
                <w:sz w:val="20"/>
                <w:szCs w:val="20"/>
                <w:color w:val="auto"/>
              </w:rPr>
            </w:pPr>
            <w:r>
              <w:rPr>
                <w:rFonts w:ascii="Arial" w:cs="Arial" w:eastAsia="Arial" w:hAnsi="Arial"/>
                <w:sz w:val="16"/>
                <w:szCs w:val="16"/>
                <w:b w:val="1"/>
                <w:bCs w:val="1"/>
                <w:color w:val="auto"/>
              </w:rPr>
              <w:t>Total</w:t>
            </w:r>
          </w:p>
        </w:tc>
      </w:tr>
      <w:tr>
        <w:trPr>
          <w:trHeight w:val="21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Lease payments</w:t>
            </w: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371</w:t>
            </w:r>
          </w:p>
        </w:tc>
      </w:tr>
      <w:tr>
        <w:trPr>
          <w:trHeight w:val="213"/>
        </w:trPr>
        <w:tc>
          <w:tcPr>
            <w:tcW w:w="22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Imputed lease interest</w:t>
            </w:r>
          </w:p>
        </w:tc>
        <w:tc>
          <w:tcPr>
            <w:tcW w:w="2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w w:val="98"/>
              </w:rPr>
              <w:t>(50)</w:t>
            </w:r>
          </w:p>
        </w:tc>
      </w:tr>
      <w:tr>
        <w:trPr>
          <w:trHeight w:val="234"/>
        </w:trPr>
        <w:tc>
          <w:tcPr>
            <w:tcW w:w="2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lease liabilities</w:t>
            </w:r>
          </w:p>
        </w:tc>
        <w:tc>
          <w:tcPr>
            <w:tcW w:w="28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6"/>
                <w:szCs w:val="16"/>
                <w:color w:val="auto"/>
              </w:rPr>
              <w:t>321</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80" w:hanging="272"/>
        <w:spacing w:after="0"/>
        <w:tabs>
          <w:tab w:leader="none" w:pos="28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Commitments and 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25"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Our purchase commitments include payments for software licenses and contractual arrangements with suppliers when there is a fixed, non-cancellable payment schedule or when minimum payments are due with a reduced delivery schedule.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we had committed to make the following minimum payments under our purchase commitments: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6"/>
                <w:szCs w:val="16"/>
                <w:b w:val="1"/>
                <w:bCs w:val="1"/>
                <w:color w:val="auto"/>
              </w:rPr>
              <w:t>Thereafter</w:t>
            </w:r>
          </w:p>
        </w:tc>
        <w:tc>
          <w:tcPr>
            <w:tcW w:w="260" w:type="dxa"/>
            <w:vAlign w:val="bottom"/>
          </w:tcPr>
          <w:p>
            <w:pPr>
              <w:spacing w:after="0"/>
              <w:rPr>
                <w:sz w:val="18"/>
                <w:szCs w:val="18"/>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Total</w:t>
            </w:r>
          </w:p>
        </w:tc>
      </w:tr>
      <w:tr>
        <w:trPr>
          <w:trHeight w:val="213"/>
        </w:trPr>
        <w:tc>
          <w:tcPr>
            <w:tcW w:w="2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 commitments</w:t>
            </w:r>
          </w:p>
        </w:tc>
        <w:tc>
          <w:tcPr>
            <w:tcW w:w="820" w:type="dxa"/>
            <w:vAlign w:val="bottom"/>
            <w:tcBorders>
              <w:top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guarantees</w:t>
      </w:r>
    </w:p>
    <w:p>
      <w:pPr>
        <w:spacing w:after="0" w:line="225"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We routinely sell products with an intellectual property indemnification included in the terms of sale. Historically, we have had only minimal, infrequent losses associated with these indemnities. Consequently, we cannot reasonably estimate any future liabilities that may result.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costs/product liabilities</w:t>
      </w:r>
    </w:p>
    <w:p>
      <w:pPr>
        <w:spacing w:after="0" w:line="225"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We accrue for known product-related claims if a loss is probable and can be reasonably estimated. During the periods presented, there have been no material accruals or payments regarding product warranty or product liability. Historically, we have experienced a low rate of payments on product claims. Although we cannot predict the likelihood or amount of any future claims, we do not believe they will have a material adverse effect on our financial condition, results of operations or liquidity. Our stated warranties for semiconductor products obligate us to repair, replace or credit the purchase price of a covered product back to the buyer. Product claim consideration may exceed the price of our products.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25"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We are subject to various legal and administrative proceedings. Although it is not possible to predict the outcome of these matters, we believe that the results of these proceedings will not have a material adverse effect on our financial condition, results of operations or liquidity.</w:t>
      </w:r>
    </w:p>
    <w:p>
      <w:pPr>
        <w:sectPr>
          <w:pgSz w:w="11900" w:h="16838" w:orient="portrait"/>
          <w:cols w:equalWidth="0" w:num="1">
            <w:col w:w="11240"/>
          </w:cols>
          <w:pgMar w:left="320" w:top="98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51" w:name="page52"/>
    <w:bookmarkEnd w:id="51"/>
    <w:p>
      <w:pPr>
        <w:ind w:left="280" w:hanging="272"/>
        <w:spacing w:after="0"/>
        <w:tabs>
          <w:tab w:leader="none" w:pos="2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Supplemental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charges/other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Restructuring charges/other are included in Other for segment reporting purposes and are comprised of the following components: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ind w:left="40"/>
              <w:spacing w:after="0"/>
              <w:rPr>
                <w:sz w:val="20"/>
                <w:szCs w:val="20"/>
                <w:color w:val="auto"/>
              </w:rPr>
            </w:pPr>
            <w:r>
              <w:rPr>
                <w:rFonts w:ascii="Arial" w:cs="Arial" w:eastAsia="Arial" w:hAnsi="Arial"/>
                <w:sz w:val="16"/>
                <w:szCs w:val="16"/>
                <w:b w:val="1"/>
                <w:bCs w:val="1"/>
                <w:color w:val="auto"/>
                <w:w w:val="91"/>
              </w:rPr>
              <w:t>For Years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Restructuring charges (a)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ind w:left="180"/>
              <w:spacing w:after="0"/>
              <w:rPr>
                <w:sz w:val="20"/>
                <w:szCs w:val="20"/>
                <w:color w:val="auto"/>
              </w:rPr>
            </w:pPr>
            <w:r>
              <w:rPr>
                <w:rFonts w:ascii="Arial" w:cs="Arial" w:eastAsia="Arial" w:hAnsi="Arial"/>
                <w:sz w:val="16"/>
                <w:szCs w:val="16"/>
                <w:b w:val="1"/>
                <w:bCs w:val="1"/>
                <w:color w:val="auto"/>
              </w:rPr>
              <w:t>25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center"/>
              <w:ind w:left="519"/>
              <w:spacing w:after="0"/>
              <w:rPr>
                <w:sz w:val="20"/>
                <w:szCs w:val="20"/>
                <w:color w:val="auto"/>
              </w:rPr>
            </w:pPr>
            <w:r>
              <w:rPr>
                <w:rFonts w:ascii="Arial" w:cs="Arial" w:eastAsia="Arial" w:hAnsi="Arial"/>
                <w:sz w:val="16"/>
                <w:szCs w:val="16"/>
                <w:color w:val="auto"/>
                <w:w w:val="89"/>
              </w:rPr>
              <w:t>6</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Gains on sales of assets</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80"/>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left="479"/>
              <w:spacing w:after="0"/>
              <w:rPr>
                <w:sz w:val="20"/>
                <w:szCs w:val="20"/>
                <w:color w:val="auto"/>
              </w:rPr>
            </w:pPr>
            <w:r>
              <w:rPr>
                <w:rFonts w:ascii="Arial" w:cs="Arial" w:eastAsia="Arial" w:hAnsi="Arial"/>
                <w:sz w:val="16"/>
                <w:szCs w:val="16"/>
                <w:color w:val="auto"/>
              </w:rPr>
              <w:t>(3)</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Restructuring charges/other</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center"/>
              <w:ind w:left="519"/>
              <w:spacing w:after="0"/>
              <w:rPr>
                <w:sz w:val="20"/>
                <w:szCs w:val="20"/>
                <w:color w:val="auto"/>
              </w:rPr>
            </w:pPr>
            <w:r>
              <w:rPr>
                <w:rFonts w:ascii="Arial" w:cs="Arial" w:eastAsia="Arial" w:hAnsi="Arial"/>
                <w:sz w:val="16"/>
                <w:szCs w:val="16"/>
                <w:color w:val="auto"/>
                <w:w w:val="89"/>
              </w:rPr>
              <w:t>3</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Includes severance and benefits, accelerated depreciation, changes in estimates and other exit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accrued restructuring balances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2018</w:t>
            </w: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January 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center"/>
              <w:ind w:left="539"/>
              <w:spacing w:after="0"/>
              <w:rPr>
                <w:sz w:val="20"/>
                <w:szCs w:val="20"/>
                <w:color w:val="auto"/>
              </w:rPr>
            </w:pPr>
            <w:r>
              <w:rPr>
                <w:rFonts w:ascii="Arial" w:cs="Arial" w:eastAsia="Arial" w:hAnsi="Arial"/>
                <w:sz w:val="16"/>
                <w:szCs w:val="16"/>
                <w:color w:val="auto"/>
                <w:w w:val="89"/>
              </w:rPr>
              <w:t>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Restructuring charges</w:t>
            </w:r>
          </w:p>
        </w:tc>
        <w:tc>
          <w:tcPr>
            <w:tcW w:w="86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center"/>
              <w:ind w:left="519"/>
              <w:spacing w:after="0"/>
              <w:rPr>
                <w:sz w:val="20"/>
                <w:szCs w:val="20"/>
                <w:color w:val="auto"/>
              </w:rPr>
            </w:pPr>
            <w:r>
              <w:rPr>
                <w:rFonts w:ascii="Arial" w:cs="Arial" w:eastAsia="Arial" w:hAnsi="Arial"/>
                <w:sz w:val="16"/>
                <w:szCs w:val="16"/>
                <w:color w:val="auto"/>
                <w:w w:val="91"/>
              </w:rPr>
              <w:t>(15)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items (a)</w:t>
            </w:r>
          </w:p>
        </w:tc>
        <w:tc>
          <w:tcPr>
            <w:tcW w:w="86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Payments</w:t>
            </w:r>
          </w:p>
        </w:tc>
        <w:tc>
          <w:tcPr>
            <w:tcW w:w="8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(8)</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left="519"/>
              <w:spacing w:after="0"/>
              <w:rPr>
                <w:sz w:val="20"/>
                <w:szCs w:val="20"/>
                <w:color w:val="auto"/>
              </w:rPr>
            </w:pPr>
            <w:r>
              <w:rPr>
                <w:rFonts w:ascii="Arial" w:cs="Arial" w:eastAsia="Arial" w:hAnsi="Arial"/>
                <w:sz w:val="16"/>
                <w:szCs w:val="16"/>
                <w:color w:val="auto"/>
                <w:w w:val="91"/>
              </w:rPr>
              <w:t>(13)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r>
      <w:tr>
        <w:trPr>
          <w:trHeight w:val="23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December 31</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6"/>
                <w:szCs w:val="16"/>
                <w:b w:val="1"/>
                <w:bCs w:val="1"/>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center"/>
              <w:ind w:left="439"/>
              <w:spacing w:after="0"/>
              <w:rPr>
                <w:sz w:val="20"/>
                <w:szCs w:val="20"/>
                <w:color w:val="auto"/>
              </w:rPr>
            </w:pPr>
            <w:r>
              <w:rPr>
                <w:rFonts w:ascii="Arial" w:cs="Arial" w:eastAsia="Arial" w:hAnsi="Arial"/>
                <w:sz w:val="16"/>
                <w:szCs w:val="16"/>
                <w:color w:val="auto"/>
                <w:w w:val="99"/>
              </w:rPr>
              <w:t>—</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Reflects charges for impacts of accelerated depreciation and changes in exchange rates.</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restructuring accrual balances are reported as a component of either accrued expenses and other liabilities or other long-term liabilities on our Consolidated Balance Sheets, depending on the expected timing of payment.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2020, we recognized $25 million of restructuring charges primarily for severance and benefit costs associated with our Embedded Processing business.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2020, $8 million of payments have been made.</w:t>
      </w:r>
    </w:p>
    <w:p>
      <w:pPr>
        <w:spacing w:after="0" w:line="21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January 2020, we announced a multiyear plan to close our two remaining factories with 150-millimeter production, which are more than 50 years old and located in Sherman and Dallas, Texas. Production will be transitioned from these sites to our more advanced and cost-effective 300-millimeter wafer fabrication facilities in North Texas. We expect this transition to be completed in the next two to four years. Charges for these closures cannot be reasonably estimated until a later phase of the transition.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 (OI&amp;E)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For Years Ended December 31,</w:t>
            </w:r>
          </w:p>
        </w:tc>
        <w:tc>
          <w:tcPr>
            <w:tcW w:w="800" w:type="dxa"/>
            <w:vAlign w:val="bottom"/>
            <w:tcBorders>
              <w:bottom w:val="single" w:sz="8" w:color="auto"/>
            </w:tcBorders>
          </w:tcPr>
          <w:p>
            <w:pPr>
              <w:spacing w:after="0"/>
              <w:rPr>
                <w:sz w:val="18"/>
                <w:szCs w:val="18"/>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95"/>
              </w:rPr>
              <w:t>2018</w:t>
            </w: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(a)</w:t>
            </w:r>
          </w:p>
        </w:tc>
        <w:tc>
          <w:tcPr>
            <w:tcW w:w="800" w:type="dxa"/>
            <w:vAlign w:val="bottom"/>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rPr>
              <w:t>327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ind w:left="620"/>
              <w:spacing w:after="0"/>
              <w:rPr>
                <w:sz w:val="20"/>
                <w:szCs w:val="20"/>
                <w:color w:val="auto"/>
              </w:rPr>
            </w:pPr>
            <w:r>
              <w:rPr>
                <w:rFonts w:ascii="Arial" w:cs="Arial" w:eastAsia="Arial" w:hAnsi="Arial"/>
                <w:sz w:val="16"/>
                <w:szCs w:val="16"/>
                <w:color w:val="auto"/>
              </w:rPr>
              <w:t>201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w:t>
            </w: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expense (b)</w:t>
            </w:r>
          </w:p>
        </w:tc>
        <w:tc>
          <w:tcPr>
            <w:tcW w:w="8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6"/>
                <w:szCs w:val="16"/>
                <w:b w:val="1"/>
                <w:bCs w:val="1"/>
                <w:color w:val="auto"/>
                <w:w w:val="98"/>
              </w:rPr>
              <w:t>(14)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w w:val="98"/>
              </w:rPr>
              <w:t>(26)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Arial" w:cs="Arial" w:eastAsia="Arial" w:hAnsi="Arial"/>
                <w:sz w:val="16"/>
                <w:szCs w:val="16"/>
                <w:b w:val="1"/>
                <w:bCs w:val="1"/>
                <w:color w:val="auto"/>
                <w:w w:val="89"/>
              </w:rPr>
              <w:t>$</w:t>
            </w:r>
          </w:p>
        </w:tc>
        <w:tc>
          <w:tcPr>
            <w:tcW w:w="4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rPr>
              <w:t>313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6"/>
                <w:szCs w:val="16"/>
                <w:color w:val="auto"/>
              </w:rPr>
              <w:t>175</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20" w:hanging="312"/>
        <w:spacing w:after="0"/>
        <w:tabs>
          <w:tab w:leader="none" w:pos="3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Other income includes royalty income, reversals of tax interest accruals, interest and lease income, as well as investment gains and losses.</w:t>
      </w:r>
    </w:p>
    <w:p>
      <w:pPr>
        <w:spacing w:after="0" w:line="128" w:lineRule="exact"/>
        <w:rPr>
          <w:rFonts w:ascii="Arial" w:cs="Arial" w:eastAsia="Arial" w:hAnsi="Arial"/>
          <w:sz w:val="17"/>
          <w:szCs w:val="17"/>
          <w:color w:val="auto"/>
        </w:rPr>
      </w:pPr>
    </w:p>
    <w:p>
      <w:pPr>
        <w:ind w:left="320" w:hanging="312"/>
        <w:spacing w:after="0"/>
        <w:tabs>
          <w:tab w:leader="none" w:pos="3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 expense includes a portion of pension and other retiree benefit costs, currency gains and losses and miscellaneous items.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Property, plant and equipment at cost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420" w:type="dxa"/>
            <w:vAlign w:val="bottom"/>
          </w:tcPr>
          <w:p>
            <w:pPr>
              <w:spacing w:after="0"/>
              <w:rPr>
                <w:sz w:val="18"/>
                <w:szCs w:val="18"/>
                <w:color w:val="auto"/>
              </w:rPr>
            </w:pPr>
          </w:p>
        </w:tc>
        <w:tc>
          <w:tcPr>
            <w:tcW w:w="13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Depreciable</w:t>
            </w:r>
          </w:p>
        </w:tc>
        <w:tc>
          <w:tcPr>
            <w:tcW w:w="7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
        </w:trPr>
        <w:tc>
          <w:tcPr>
            <w:tcW w:w="7420" w:type="dxa"/>
            <w:vAlign w:val="bottom"/>
          </w:tcPr>
          <w:p>
            <w:pPr>
              <w:spacing w:after="0"/>
              <w:rPr>
                <w:sz w:val="2"/>
                <w:szCs w:val="2"/>
                <w:color w:val="auto"/>
              </w:rPr>
            </w:pPr>
          </w:p>
        </w:tc>
        <w:tc>
          <w:tcPr>
            <w:tcW w:w="1300" w:type="dxa"/>
            <w:vAlign w:val="bottom"/>
            <w:gridSpan w:val="2"/>
            <w:vMerge w:val="continue"/>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80" w:type="dxa"/>
            <w:vAlign w:val="bottom"/>
            <w:vMerge w:val="restart"/>
          </w:tcPr>
          <w:p>
            <w:pPr>
              <w:jc w:val="right"/>
              <w:ind w:right="35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line="20" w:lineRule="exact"/>
              <w:rPr>
                <w:sz w:val="1"/>
                <w:szCs w:val="1"/>
                <w:color w:val="auto"/>
              </w:rPr>
            </w:pPr>
          </w:p>
        </w:tc>
      </w:tr>
      <w:tr>
        <w:trPr>
          <w:trHeight w:val="213"/>
        </w:trPr>
        <w:tc>
          <w:tcPr>
            <w:tcW w:w="7420" w:type="dxa"/>
            <w:vAlign w:val="bottom"/>
            <w:tcBorders>
              <w:bottom w:val="single" w:sz="8" w:color="CCEEFF"/>
            </w:tcBorders>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Lives (Years)</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Land</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n/a</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0" w:type="dxa"/>
            <w:vAlign w:val="bottom"/>
          </w:tcPr>
          <w:p>
            <w:pPr>
              <w:spacing w:after="0"/>
              <w:rPr>
                <w:sz w:val="1"/>
                <w:szCs w:val="1"/>
                <w:color w:val="auto"/>
              </w:rPr>
            </w:pPr>
          </w:p>
        </w:tc>
      </w:tr>
      <w:tr>
        <w:trPr>
          <w:trHeight w:val="229"/>
        </w:trPr>
        <w:tc>
          <w:tcPr>
            <w:tcW w:w="7420" w:type="dxa"/>
            <w:vAlign w:val="bottom"/>
          </w:tcPr>
          <w:p>
            <w:pPr>
              <w:ind w:left="20"/>
              <w:spacing w:after="0"/>
              <w:rPr>
                <w:sz w:val="20"/>
                <w:szCs w:val="20"/>
                <w:color w:val="auto"/>
              </w:rPr>
            </w:pPr>
            <w:r>
              <w:rPr>
                <w:rFonts w:ascii="Arial" w:cs="Arial" w:eastAsia="Arial" w:hAnsi="Arial"/>
                <w:sz w:val="16"/>
                <w:szCs w:val="16"/>
                <w:color w:val="auto"/>
              </w:rPr>
              <w:t>Buildings and improvements</w:t>
            </w:r>
          </w:p>
        </w:tc>
        <w:tc>
          <w:tcPr>
            <w:tcW w:w="1300" w:type="dxa"/>
            <w:vAlign w:val="bottom"/>
            <w:gridSpan w:val="2"/>
          </w:tcPr>
          <w:p>
            <w:pPr>
              <w:jc w:val="center"/>
              <w:ind w:right="100"/>
              <w:spacing w:after="0"/>
              <w:rPr>
                <w:sz w:val="20"/>
                <w:szCs w:val="20"/>
                <w:color w:val="auto"/>
              </w:rPr>
            </w:pPr>
            <w:r>
              <w:rPr>
                <w:rFonts w:ascii="Arial" w:cs="Arial" w:eastAsia="Arial" w:hAnsi="Arial"/>
                <w:sz w:val="16"/>
                <w:szCs w:val="16"/>
                <w:color w:val="auto"/>
              </w:rPr>
              <w:t>5</w:t>
            </w:r>
            <w:r>
              <w:rPr>
                <w:rFonts w:ascii="Arial" w:cs="Arial" w:eastAsia="Arial" w:hAnsi="Arial"/>
                <w:sz w:val="17"/>
                <w:szCs w:val="17"/>
                <w:color w:val="auto"/>
              </w:rPr>
              <w:t>–</w:t>
            </w:r>
            <w:r>
              <w:rPr>
                <w:rFonts w:ascii="Arial" w:cs="Arial" w:eastAsia="Arial" w:hAnsi="Arial"/>
                <w:sz w:val="16"/>
                <w:szCs w:val="16"/>
                <w:color w:val="auto"/>
              </w:rPr>
              <w:t>40</w:t>
            </w: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w w:val="84"/>
              </w:rPr>
              <w:t>2,571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2,504</w:t>
            </w:r>
          </w:p>
        </w:tc>
        <w:tc>
          <w:tcPr>
            <w:tcW w:w="0" w:type="dxa"/>
            <w:vAlign w:val="bottom"/>
          </w:tcPr>
          <w:p>
            <w:pPr>
              <w:spacing w:after="0"/>
              <w:rPr>
                <w:sz w:val="1"/>
                <w:szCs w:val="1"/>
                <w:color w:val="auto"/>
              </w:rPr>
            </w:pPr>
          </w:p>
        </w:tc>
      </w:tr>
      <w:tr>
        <w:trPr>
          <w:trHeight w:val="230"/>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Machinery and equipment</w:t>
            </w: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6"/>
                <w:szCs w:val="16"/>
                <w:color w:val="auto"/>
              </w:rPr>
              <w:t>2</w:t>
            </w:r>
            <w:r>
              <w:rPr>
                <w:rFonts w:ascii="Arial" w:cs="Arial" w:eastAsia="Arial" w:hAnsi="Arial"/>
                <w:sz w:val="17"/>
                <w:szCs w:val="17"/>
                <w:color w:val="auto"/>
              </w:rPr>
              <w:t>–</w:t>
            </w:r>
            <w:r>
              <w:rPr>
                <w:rFonts w:ascii="Arial" w:cs="Arial" w:eastAsia="Arial" w:hAnsi="Arial"/>
                <w:sz w:val="16"/>
                <w:szCs w:val="16"/>
                <w:color w:val="auto"/>
              </w:rPr>
              <w:t>10</w:t>
            </w:r>
          </w:p>
        </w:tc>
        <w:tc>
          <w:tcPr>
            <w:tcW w:w="7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4"/>
              </w:rPr>
              <w:t>3,085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3,110</w:t>
            </w:r>
          </w:p>
        </w:tc>
        <w:tc>
          <w:tcPr>
            <w:tcW w:w="0" w:type="dxa"/>
            <w:vAlign w:val="bottom"/>
          </w:tcPr>
          <w:p>
            <w:pPr>
              <w:spacing w:after="0"/>
              <w:rPr>
                <w:sz w:val="1"/>
                <w:szCs w:val="1"/>
                <w:color w:val="auto"/>
              </w:rPr>
            </w:pPr>
          </w:p>
        </w:tc>
      </w:tr>
      <w:tr>
        <w:trPr>
          <w:trHeight w:val="209"/>
        </w:trPr>
        <w:tc>
          <w:tcPr>
            <w:tcW w:w="7420" w:type="dxa"/>
            <w:vAlign w:val="bottom"/>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5,781</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5,740</w:t>
            </w:r>
          </w:p>
        </w:tc>
        <w:tc>
          <w:tcPr>
            <w:tcW w:w="0" w:type="dxa"/>
            <w:vAlign w:val="bottom"/>
          </w:tcPr>
          <w:p>
            <w:pPr>
              <w:spacing w:after="0"/>
              <w:rPr>
                <w:sz w:val="1"/>
                <w:szCs w:val="1"/>
                <w:color w:val="auto"/>
              </w:rPr>
            </w:pPr>
          </w:p>
        </w:tc>
      </w:tr>
      <w:tr>
        <w:trPr>
          <w:trHeight w:val="21"/>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Other long-term liabilities</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7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212"/>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portion of transition tax on indefinitely reinvested earnings</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457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Deferred compensation plans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350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liabilities</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6"/>
                <w:szCs w:val="16"/>
                <w:color w:val="auto"/>
              </w:rPr>
              <w:t>Uncertain tax positions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89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303</w:t>
            </w:r>
          </w:p>
        </w:tc>
        <w:tc>
          <w:tcPr>
            <w:tcW w:w="0" w:type="dxa"/>
            <w:vAlign w:val="bottom"/>
          </w:tcPr>
          <w:p>
            <w:pPr>
              <w:spacing w:after="0"/>
              <w:rPr>
                <w:sz w:val="1"/>
                <w:szCs w:val="1"/>
                <w:color w:val="auto"/>
              </w:rPr>
            </w:pPr>
          </w:p>
        </w:tc>
      </w:tr>
      <w:tr>
        <w:trPr>
          <w:trHeight w:val="216"/>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212"/>
        </w:trPr>
        <w:tc>
          <w:tcPr>
            <w:tcW w:w="7420" w:type="dxa"/>
            <w:vAlign w:val="bottom"/>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4"/>
              </w:rPr>
              <w:t>1,305</w:t>
            </w:r>
          </w:p>
        </w:tc>
        <w:tc>
          <w:tcPr>
            <w:tcW w:w="100" w:type="dxa"/>
            <w:vAlign w:val="bottom"/>
          </w:tcPr>
          <w:p>
            <w:pPr>
              <w:spacing w:after="0"/>
              <w:rPr>
                <w:sz w:val="18"/>
                <w:szCs w:val="18"/>
                <w:color w:val="auto"/>
              </w:rPr>
            </w:pPr>
          </w:p>
        </w:tc>
        <w:tc>
          <w:tcPr>
            <w:tcW w:w="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i w:val="1"/>
                <w:iCs w:val="1"/>
                <w:color w:val="auto"/>
              </w:rPr>
              <w:t>Accumulated other comprehensive income (loss), net of taxes (AOCI)</w:t>
            </w: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74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74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w w:val="90"/>
              </w:rPr>
              <w:t>December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742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w w:val="89"/>
              </w:rPr>
              <w:t>2019</w:t>
            </w:r>
          </w:p>
        </w:tc>
        <w:tc>
          <w:tcPr>
            <w:tcW w:w="0" w:type="dxa"/>
            <w:vAlign w:val="bottom"/>
          </w:tcPr>
          <w:p>
            <w:pPr>
              <w:spacing w:after="0"/>
              <w:rPr>
                <w:sz w:val="1"/>
                <w:szCs w:val="1"/>
                <w:color w:val="auto"/>
              </w:rPr>
            </w:pPr>
          </w:p>
        </w:tc>
      </w:tr>
      <w:tr>
        <w:trPr>
          <w:trHeight w:val="199"/>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Postretirement benefit plans:</w:t>
            </w: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7420" w:type="dxa"/>
            <w:vAlign w:val="bottom"/>
          </w:tcPr>
          <w:p>
            <w:pPr>
              <w:ind w:left="140"/>
              <w:spacing w:after="0"/>
              <w:rPr>
                <w:sz w:val="20"/>
                <w:szCs w:val="20"/>
                <w:color w:val="auto"/>
              </w:rPr>
            </w:pPr>
            <w:r>
              <w:rPr>
                <w:rFonts w:ascii="Arial" w:cs="Arial" w:eastAsia="Arial" w:hAnsi="Arial"/>
                <w:sz w:val="16"/>
                <w:szCs w:val="16"/>
                <w:color w:val="auto"/>
              </w:rPr>
              <w:t>Net actuarial loss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Pr>
          <w:p>
            <w:pPr>
              <w:jc w:val="right"/>
              <w:spacing w:after="0"/>
              <w:rPr>
                <w:sz w:val="20"/>
                <w:szCs w:val="20"/>
                <w:color w:val="auto"/>
              </w:rPr>
            </w:pPr>
            <w:r>
              <w:rPr>
                <w:rFonts w:ascii="Arial" w:cs="Arial" w:eastAsia="Arial" w:hAnsi="Arial"/>
                <w:sz w:val="16"/>
                <w:szCs w:val="16"/>
                <w:b w:val="1"/>
                <w:bCs w:val="1"/>
                <w:color w:val="auto"/>
              </w:rPr>
              <w:t>(359)</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19"/>
        </w:trPr>
        <w:tc>
          <w:tcPr>
            <w:tcW w:w="74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Prior service credit</w:t>
            </w: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flow hedge derivative instruments</w:t>
            </w:r>
          </w:p>
        </w:tc>
        <w:tc>
          <w:tcPr>
            <w:tcW w:w="12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(360)</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Details on amounts reclassified out of accumulated other comprehensive income (loss), net of taxes, to net income</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Consolidated Statements of Comprehensive Income include items that have been recognized within net income in 2020, 2019 and 2018. The table below details where these transactions are recorded in our Consolidated Statements of Income.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80" w:type="dxa"/>
            <w:vAlign w:val="bottom"/>
          </w:tcPr>
          <w:p>
            <w:pPr>
              <w:spacing w:after="0"/>
              <w:rPr>
                <w:sz w:val="18"/>
                <w:szCs w:val="18"/>
                <w:color w:val="auto"/>
              </w:rPr>
            </w:pPr>
          </w:p>
        </w:tc>
        <w:tc>
          <w:tcPr>
            <w:tcW w:w="3160" w:type="dxa"/>
            <w:vAlign w:val="bottom"/>
            <w:tcBorders>
              <w:bottom w:val="single" w:sz="8" w:color="auto"/>
            </w:tcBorders>
            <w:gridSpan w:val="7"/>
          </w:tcPr>
          <w:p>
            <w:pPr>
              <w:jc w:val="right"/>
              <w:ind w:right="259"/>
              <w:spacing w:after="0"/>
              <w:rPr>
                <w:sz w:val="20"/>
                <w:szCs w:val="20"/>
                <w:color w:val="auto"/>
              </w:rPr>
            </w:pPr>
            <w:r>
              <w:rPr>
                <w:rFonts w:ascii="Arial" w:cs="Arial" w:eastAsia="Arial" w:hAnsi="Arial"/>
                <w:sz w:val="16"/>
                <w:szCs w:val="16"/>
                <w:b w:val="1"/>
                <w:bCs w:val="1"/>
                <w:color w:val="auto"/>
              </w:rPr>
              <w:t>For Years Ended December 31,</w:t>
            </w:r>
          </w:p>
        </w:tc>
        <w:tc>
          <w:tcPr>
            <w:tcW w:w="3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vMerge w:val="restart"/>
          </w:tcPr>
          <w:p>
            <w:pPr>
              <w:ind w:left="60"/>
              <w:spacing w:after="0"/>
              <w:rPr>
                <w:sz w:val="20"/>
                <w:szCs w:val="20"/>
                <w:color w:val="auto"/>
              </w:rPr>
            </w:pPr>
            <w:r>
              <w:rPr>
                <w:rFonts w:ascii="Arial" w:cs="Arial" w:eastAsia="Arial" w:hAnsi="Arial"/>
                <w:sz w:val="16"/>
                <w:szCs w:val="16"/>
                <w:b w:val="1"/>
                <w:bCs w:val="1"/>
                <w:color w:val="auto"/>
                <w:w w:val="93"/>
              </w:rPr>
              <w:t>Impact to Related Statement of Income</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7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2019</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2018</w:t>
            </w: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47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840" w:type="dxa"/>
            <w:vAlign w:val="bottom"/>
            <w:tcBorders>
              <w:bottom w:val="single" w:sz="8" w:color="auto"/>
            </w:tcBorders>
          </w:tcPr>
          <w:p>
            <w:pPr>
              <w:ind w:left="1220"/>
              <w:spacing w:after="0"/>
              <w:rPr>
                <w:sz w:val="20"/>
                <w:szCs w:val="20"/>
                <w:color w:val="auto"/>
              </w:rPr>
            </w:pPr>
            <w:r>
              <w:rPr>
                <w:rFonts w:ascii="Arial" w:cs="Arial" w:eastAsia="Arial" w:hAnsi="Arial"/>
                <w:sz w:val="16"/>
                <w:szCs w:val="16"/>
                <w:b w:val="1"/>
                <w:bCs w:val="1"/>
                <w:color w:val="auto"/>
              </w:rPr>
              <w:t>Lines</w:t>
            </w:r>
          </w:p>
        </w:tc>
        <w:tc>
          <w:tcPr>
            <w:tcW w:w="0" w:type="dxa"/>
            <w:vAlign w:val="bottom"/>
          </w:tcPr>
          <w:p>
            <w:pPr>
              <w:spacing w:after="0"/>
              <w:rPr>
                <w:sz w:val="1"/>
                <w:szCs w:val="1"/>
                <w:color w:val="auto"/>
              </w:rPr>
            </w:pPr>
          </w:p>
        </w:tc>
      </w:tr>
      <w:tr>
        <w:trPr>
          <w:trHeight w:val="199"/>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actuarial losses of defined benefit plans:</w:t>
            </w:r>
          </w:p>
        </w:tc>
        <w:tc>
          <w:tcPr>
            <w:tcW w:w="7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140"/>
              <w:spacing w:after="0"/>
              <w:rPr>
                <w:sz w:val="20"/>
                <w:szCs w:val="20"/>
                <w:color w:val="auto"/>
              </w:rPr>
            </w:pPr>
            <w:r>
              <w:rPr>
                <w:rFonts w:ascii="Arial" w:cs="Arial" w:eastAsia="Arial" w:hAnsi="Arial"/>
                <w:sz w:val="16"/>
                <w:szCs w:val="16"/>
                <w:color w:val="auto"/>
              </w:rPr>
              <w:t>Recognized net actuarial loss and settlement losses (a)</w:t>
            </w:r>
          </w:p>
        </w:tc>
        <w:tc>
          <w:tcPr>
            <w:tcW w:w="780" w:type="dxa"/>
            <w:vAlign w:val="bottom"/>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Pr>
          <w:p>
            <w:pPr>
              <w:ind w:left="80"/>
              <w:spacing w:after="0"/>
              <w:rPr>
                <w:sz w:val="20"/>
                <w:szCs w:val="20"/>
                <w:color w:val="auto"/>
              </w:rPr>
            </w:pPr>
            <w:r>
              <w:rPr>
                <w:rFonts w:ascii="Arial" w:cs="Arial" w:eastAsia="Arial" w:hAnsi="Arial"/>
                <w:sz w:val="16"/>
                <w:szCs w:val="16"/>
                <w:b w:val="1"/>
                <w:bCs w:val="1"/>
                <w:color w:val="auto"/>
              </w:rPr>
              <w:t>38</w:t>
            </w:r>
          </w:p>
        </w:tc>
        <w:tc>
          <w:tcPr>
            <w:tcW w:w="120" w:type="dxa"/>
            <w:vAlign w:val="bottom"/>
          </w:tcPr>
          <w:p>
            <w:pPr>
              <w:spacing w:after="0"/>
              <w:rPr>
                <w:sz w:val="18"/>
                <w:szCs w:val="18"/>
                <w:color w:val="auto"/>
              </w:rPr>
            </w:pPr>
          </w:p>
        </w:tc>
        <w:tc>
          <w:tcPr>
            <w:tcW w:w="740" w:type="dxa"/>
            <w:vAlign w:val="bottom"/>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tcPr>
          <w:p>
            <w:pPr>
              <w:jc w:val="center"/>
              <w:spacing w:after="0"/>
              <w:rPr>
                <w:sz w:val="20"/>
                <w:szCs w:val="20"/>
                <w:color w:val="auto"/>
              </w:rPr>
            </w:pPr>
            <w:r>
              <w:rPr>
                <w:rFonts w:ascii="Arial" w:cs="Arial" w:eastAsia="Arial" w:hAnsi="Arial"/>
                <w:sz w:val="16"/>
                <w:szCs w:val="16"/>
                <w:color w:val="auto"/>
                <w:w w:val="89"/>
              </w:rPr>
              <w:t>51</w:t>
            </w:r>
          </w:p>
        </w:tc>
        <w:tc>
          <w:tcPr>
            <w:tcW w:w="120" w:type="dxa"/>
            <w:vAlign w:val="bottom"/>
          </w:tcPr>
          <w:p>
            <w:pPr>
              <w:spacing w:after="0"/>
              <w:rPr>
                <w:sz w:val="18"/>
                <w:szCs w:val="18"/>
                <w:color w:val="auto"/>
              </w:rPr>
            </w:pPr>
          </w:p>
        </w:tc>
        <w:tc>
          <w:tcPr>
            <w:tcW w:w="760" w:type="dxa"/>
            <w:vAlign w:val="bottom"/>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OI&amp;E</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 effect</w:t>
            </w:r>
          </w:p>
        </w:tc>
        <w:tc>
          <w:tcPr>
            <w:tcW w:w="78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b w:val="1"/>
                <w:bCs w:val="1"/>
                <w:color w:val="auto"/>
                <w:w w:val="91"/>
              </w:rPr>
              <w:t>(9)</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1"/>
              </w:rPr>
              <w:t>(13)</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Decrease to provision for income taxes</w:t>
            </w:r>
          </w:p>
        </w:tc>
        <w:tc>
          <w:tcPr>
            <w:tcW w:w="0" w:type="dxa"/>
            <w:vAlign w:val="bottom"/>
          </w:tcPr>
          <w:p>
            <w:pPr>
              <w:spacing w:after="0"/>
              <w:rPr>
                <w:sz w:val="1"/>
                <w:szCs w:val="1"/>
                <w:color w:val="auto"/>
              </w:rPr>
            </w:pPr>
          </w:p>
        </w:tc>
      </w:tr>
      <w:tr>
        <w:trPr>
          <w:trHeight w:val="212"/>
        </w:trPr>
        <w:tc>
          <w:tcPr>
            <w:tcW w:w="4780" w:type="dxa"/>
            <w:vAlign w:val="bottom"/>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29</w:t>
            </w:r>
          </w:p>
        </w:tc>
        <w:tc>
          <w:tcPr>
            <w:tcW w:w="120" w:type="dxa"/>
            <w:vAlign w:val="bottom"/>
          </w:tcPr>
          <w:p>
            <w:pPr>
              <w:spacing w:after="0"/>
              <w:rPr>
                <w:sz w:val="18"/>
                <w:szCs w:val="18"/>
                <w:color w:val="auto"/>
              </w:rPr>
            </w:pPr>
          </w:p>
        </w:tc>
        <w:tc>
          <w:tcPr>
            <w:tcW w:w="74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38</w:t>
            </w:r>
          </w:p>
        </w:tc>
        <w:tc>
          <w:tcPr>
            <w:tcW w:w="120" w:type="dxa"/>
            <w:vAlign w:val="bottom"/>
          </w:tcPr>
          <w:p>
            <w:pPr>
              <w:spacing w:after="0"/>
              <w:rPr>
                <w:sz w:val="18"/>
                <w:szCs w:val="18"/>
                <w:color w:val="auto"/>
              </w:rPr>
            </w:pPr>
          </w:p>
        </w:tc>
        <w:tc>
          <w:tcPr>
            <w:tcW w:w="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6"/>
                <w:szCs w:val="16"/>
                <w:color w:val="auto"/>
              </w:rPr>
              <w:t>Decrease to net income</w:t>
            </w: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780" w:type="dxa"/>
            <w:vAlign w:val="bottom"/>
          </w:tcPr>
          <w:p>
            <w:pPr>
              <w:ind w:left="20"/>
              <w:spacing w:after="0"/>
              <w:rPr>
                <w:sz w:val="20"/>
                <w:szCs w:val="20"/>
                <w:color w:val="auto"/>
              </w:rPr>
            </w:pPr>
            <w:r>
              <w:rPr>
                <w:rFonts w:ascii="Arial" w:cs="Arial" w:eastAsia="Arial" w:hAnsi="Arial"/>
                <w:sz w:val="16"/>
                <w:szCs w:val="16"/>
                <w:color w:val="auto"/>
              </w:rPr>
              <w:t>Prior service credit of defined benefit plans:</w:t>
            </w: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Amortization of prior service credit (a)</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w w:val="91"/>
              </w:rPr>
              <w:t>(1)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20" w:type="dxa"/>
            <w:vAlign w:val="bottom"/>
            <w:shd w:val="clear" w:color="auto" w:fill="CCEEFF"/>
          </w:tcPr>
          <w:p>
            <w:pPr>
              <w:spacing w:after="0"/>
              <w:rPr>
                <w:sz w:val="19"/>
                <w:szCs w:val="19"/>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Increase to OI&amp;E</w:t>
            </w:r>
          </w:p>
        </w:tc>
        <w:tc>
          <w:tcPr>
            <w:tcW w:w="0" w:type="dxa"/>
            <w:vAlign w:val="bottom"/>
          </w:tcPr>
          <w:p>
            <w:pPr>
              <w:spacing w:after="0"/>
              <w:rPr>
                <w:sz w:val="1"/>
                <w:szCs w:val="1"/>
                <w:color w:val="auto"/>
              </w:rPr>
            </w:pPr>
          </w:p>
        </w:tc>
      </w:tr>
      <w:tr>
        <w:trPr>
          <w:trHeight w:val="213"/>
        </w:trPr>
        <w:tc>
          <w:tcPr>
            <w:tcW w:w="47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Tax effect</w:t>
            </w:r>
          </w:p>
        </w:tc>
        <w:tc>
          <w:tcPr>
            <w:tcW w:w="7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tcPr>
          <w:p>
            <w:pPr>
              <w:spacing w:after="0"/>
              <w:rPr>
                <w:sz w:val="18"/>
                <w:szCs w:val="18"/>
                <w:color w:val="auto"/>
              </w:rPr>
            </w:pPr>
          </w:p>
        </w:tc>
        <w:tc>
          <w:tcPr>
            <w:tcW w:w="28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Increase to provision for income taxes</w:t>
            </w:r>
          </w:p>
        </w:tc>
        <w:tc>
          <w:tcPr>
            <w:tcW w:w="0" w:type="dxa"/>
            <w:vAlign w:val="bottom"/>
          </w:tcPr>
          <w:p>
            <w:pPr>
              <w:spacing w:after="0"/>
              <w:rPr>
                <w:sz w:val="1"/>
                <w:szCs w:val="1"/>
                <w:color w:val="auto"/>
              </w:rPr>
            </w:pPr>
          </w:p>
        </w:tc>
      </w:tr>
      <w:tr>
        <w:trPr>
          <w:trHeight w:val="232"/>
        </w:trPr>
        <w:tc>
          <w:tcPr>
            <w:tcW w:w="47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Recognized within net income, net of taxes</w:t>
            </w:r>
          </w:p>
        </w:tc>
        <w:tc>
          <w:tcPr>
            <w:tcW w:w="780" w:type="dxa"/>
            <w:vAlign w:val="bottom"/>
            <w:shd w:val="clear" w:color="auto" w:fill="CCEEFF"/>
          </w:tcPr>
          <w:p>
            <w:pPr>
              <w:jc w:val="right"/>
              <w:ind w:right="599"/>
              <w:spacing w:after="0"/>
              <w:rPr>
                <w:sz w:val="20"/>
                <w:szCs w:val="20"/>
                <w:color w:val="auto"/>
              </w:rPr>
            </w:pPr>
            <w:r>
              <w:rPr>
                <w:rFonts w:ascii="Arial" w:cs="Arial" w:eastAsia="Arial" w:hAnsi="Arial"/>
                <w:sz w:val="16"/>
                <w:szCs w:val="16"/>
                <w:b w:val="1"/>
                <w:bCs w:val="1"/>
                <w:color w:val="auto"/>
                <w:w w:val="89"/>
              </w:rPr>
              <w:t>$</w:t>
            </w:r>
          </w:p>
        </w:tc>
        <w:tc>
          <w:tcPr>
            <w:tcW w:w="300" w:type="dxa"/>
            <w:vAlign w:val="bottom"/>
            <w:shd w:val="clear" w:color="auto" w:fill="CCEEFF"/>
          </w:tcPr>
          <w:p>
            <w:pPr>
              <w:ind w:left="100"/>
              <w:spacing w:after="0"/>
              <w:rPr>
                <w:sz w:val="20"/>
                <w:szCs w:val="20"/>
                <w:color w:val="auto"/>
              </w:rPr>
            </w:pPr>
            <w:r>
              <w:rPr>
                <w:rFonts w:ascii="Arial" w:cs="Arial" w:eastAsia="Arial" w:hAnsi="Arial"/>
                <w:sz w:val="16"/>
                <w:szCs w:val="16"/>
                <w:b w:val="1"/>
                <w:bCs w:val="1"/>
                <w:color w:val="auto"/>
                <w:w w:val="91"/>
              </w:rPr>
              <w:t>(1)</w:t>
            </w:r>
          </w:p>
        </w:tc>
        <w:tc>
          <w:tcPr>
            <w:tcW w:w="12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6"/>
                <w:szCs w:val="16"/>
                <w:color w:val="auto"/>
                <w:w w:val="89"/>
              </w:rPr>
              <w:t>$</w:t>
            </w:r>
          </w:p>
        </w:tc>
        <w:tc>
          <w:tcPr>
            <w:tcW w:w="460" w:type="dxa"/>
            <w:vAlign w:val="bottom"/>
            <w:gridSpan w:val="2"/>
            <w:shd w:val="clear" w:color="auto" w:fill="CCEEFF"/>
          </w:tcPr>
          <w:p>
            <w:pPr>
              <w:jc w:val="center"/>
              <w:ind w:right="60"/>
              <w:spacing w:after="0"/>
              <w:rPr>
                <w:sz w:val="20"/>
                <w:szCs w:val="20"/>
                <w:color w:val="auto"/>
              </w:rPr>
            </w:pPr>
            <w:r>
              <w:rPr>
                <w:rFonts w:ascii="Arial" w:cs="Arial" w:eastAsia="Arial" w:hAnsi="Arial"/>
                <w:sz w:val="16"/>
                <w:szCs w:val="16"/>
                <w:color w:val="auto"/>
                <w:w w:val="99"/>
              </w:rPr>
              <w:t>—</w:t>
            </w:r>
          </w:p>
        </w:tc>
        <w:tc>
          <w:tcPr>
            <w:tcW w:w="760" w:type="dxa"/>
            <w:vAlign w:val="bottom"/>
            <w:shd w:val="clear" w:color="auto" w:fill="CCEEFF"/>
          </w:tcPr>
          <w:p>
            <w:pPr>
              <w:jc w:val="right"/>
              <w:ind w:right="579"/>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20"/>
                <w:szCs w:val="20"/>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6"/>
                <w:szCs w:val="16"/>
                <w:color w:val="auto"/>
              </w:rPr>
              <w:t>Increase to net income</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Detailed in Note 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3" w:name="page54"/>
    <w:bookmarkEnd w:id="53"/>
    <w:p>
      <w:pPr>
        <w:ind w:left="280" w:hanging="272"/>
        <w:spacing w:after="0"/>
        <w:tabs>
          <w:tab w:leader="none" w:pos="280" w:val="left"/>
        </w:tabs>
        <w:numPr>
          <w:ilvl w:val="0"/>
          <w:numId w:val="31"/>
        </w:numPr>
        <w:rPr>
          <w:rFonts w:ascii="Arial" w:cs="Arial" w:eastAsia="Arial" w:hAnsi="Arial"/>
          <w:sz w:val="18"/>
          <w:szCs w:val="18"/>
          <w:color w:val="auto"/>
        </w:rPr>
      </w:pPr>
      <w:r>
        <w:rPr>
          <w:rFonts w:ascii="Arial" w:cs="Arial" w:eastAsia="Arial" w:hAnsi="Arial"/>
          <w:sz w:val="18"/>
          <w:szCs w:val="18"/>
          <w:u w:val="single" w:color="auto"/>
          <w:color w:val="auto"/>
        </w:rPr>
        <w:t>Quarterly financial data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0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2020 Quarters</w:t>
            </w: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5"/>
          </w:tcPr>
          <w:p>
            <w:pPr>
              <w:ind w:left="260"/>
              <w:spacing w:after="0"/>
              <w:rPr>
                <w:sz w:val="20"/>
                <w:szCs w:val="20"/>
                <w:color w:val="auto"/>
              </w:rPr>
            </w:pPr>
            <w:r>
              <w:rPr>
                <w:rFonts w:ascii="Arial" w:cs="Arial" w:eastAsia="Arial" w:hAnsi="Arial"/>
                <w:sz w:val="16"/>
                <w:szCs w:val="16"/>
                <w:b w:val="1"/>
                <w:bCs w:val="1"/>
                <w:color w:val="auto"/>
              </w:rPr>
              <w:t>2019 Quarters</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4th</w:t>
            </w:r>
          </w:p>
        </w:tc>
        <w:tc>
          <w:tcPr>
            <w:tcW w:w="22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w:t>
            </w:r>
          </w:p>
        </w:tc>
        <w:tc>
          <w:tcPr>
            <w:tcW w:w="200" w:type="dxa"/>
            <w:vAlign w:val="bottom"/>
          </w:tcPr>
          <w:p>
            <w:pPr>
              <w:spacing w:after="0"/>
              <w:rPr>
                <w:sz w:val="18"/>
                <w:szCs w:val="18"/>
                <w:color w:val="auto"/>
              </w:rPr>
            </w:pPr>
          </w:p>
        </w:tc>
        <w:tc>
          <w:tcPr>
            <w:tcW w:w="840" w:type="dxa"/>
            <w:vAlign w:val="bottom"/>
            <w:gridSpan w:val="2"/>
          </w:tcPr>
          <w:p>
            <w:pPr>
              <w:ind w:left="120"/>
              <w:spacing w:after="0"/>
              <w:rPr>
                <w:sz w:val="20"/>
                <w:szCs w:val="20"/>
                <w:color w:val="auto"/>
              </w:rPr>
            </w:pPr>
            <w:r>
              <w:rPr>
                <w:rFonts w:ascii="Arial" w:cs="Arial" w:eastAsia="Arial" w:hAnsi="Arial"/>
                <w:sz w:val="16"/>
                <w:szCs w:val="16"/>
                <w:b w:val="1"/>
                <w:bCs w:val="1"/>
                <w:color w:val="auto"/>
              </w:rPr>
              <w:t>2nd</w:t>
            </w:r>
          </w:p>
        </w:tc>
        <w:tc>
          <w:tcPr>
            <w:tcW w:w="220" w:type="dxa"/>
            <w:vAlign w:val="bottom"/>
          </w:tcPr>
          <w:p>
            <w:pPr>
              <w:spacing w:after="0"/>
              <w:rPr>
                <w:sz w:val="18"/>
                <w:szCs w:val="18"/>
                <w:color w:val="auto"/>
              </w:rPr>
            </w:pPr>
          </w:p>
        </w:tc>
        <w:tc>
          <w:tcPr>
            <w:tcW w:w="700" w:type="dxa"/>
            <w:vAlign w:val="bottom"/>
          </w:tcPr>
          <w:p>
            <w:pPr>
              <w:jc w:val="right"/>
              <w:ind w:right="279"/>
              <w:spacing w:after="0"/>
              <w:rPr>
                <w:sz w:val="20"/>
                <w:szCs w:val="20"/>
                <w:color w:val="auto"/>
              </w:rPr>
            </w:pPr>
            <w:r>
              <w:rPr>
                <w:rFonts w:ascii="Arial" w:cs="Arial" w:eastAsia="Arial" w:hAnsi="Arial"/>
                <w:sz w:val="16"/>
                <w:szCs w:val="16"/>
                <w:b w:val="1"/>
                <w:bCs w:val="1"/>
                <w:color w:val="auto"/>
              </w:rPr>
              <w:t>1st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6"/>
                <w:szCs w:val="16"/>
                <w:b w:val="1"/>
                <w:bCs w:val="1"/>
                <w:color w:val="auto"/>
              </w:rPr>
              <w:t>4th</w:t>
            </w:r>
          </w:p>
        </w:tc>
        <w:tc>
          <w:tcPr>
            <w:tcW w:w="240" w:type="dxa"/>
            <w:vAlign w:val="bottom"/>
          </w:tcPr>
          <w:p>
            <w:pPr>
              <w:spacing w:after="0"/>
              <w:rPr>
                <w:sz w:val="18"/>
                <w:szCs w:val="18"/>
                <w:color w:val="auto"/>
              </w:rPr>
            </w:pPr>
          </w:p>
        </w:tc>
        <w:tc>
          <w:tcPr>
            <w:tcW w:w="800" w:type="dxa"/>
            <w:vAlign w:val="bottom"/>
            <w:gridSpan w:val="2"/>
          </w:tcPr>
          <w:p>
            <w:pPr>
              <w:ind w:left="120"/>
              <w:spacing w:after="0"/>
              <w:rPr>
                <w:sz w:val="20"/>
                <w:szCs w:val="20"/>
                <w:color w:val="auto"/>
              </w:rPr>
            </w:pPr>
            <w:r>
              <w:rPr>
                <w:rFonts w:ascii="Arial" w:cs="Arial" w:eastAsia="Arial" w:hAnsi="Arial"/>
                <w:sz w:val="16"/>
                <w:szCs w:val="16"/>
                <w:b w:val="1"/>
                <w:bCs w:val="1"/>
                <w:color w:val="auto"/>
              </w:rPr>
              <w:t>3rd</w:t>
            </w:r>
          </w:p>
        </w:tc>
        <w:tc>
          <w:tcPr>
            <w:tcW w:w="220" w:type="dxa"/>
            <w:vAlign w:val="bottom"/>
          </w:tcPr>
          <w:p>
            <w:pPr>
              <w:spacing w:after="0"/>
              <w:rPr>
                <w:sz w:val="18"/>
                <w:szCs w:val="18"/>
                <w:color w:val="auto"/>
              </w:rPr>
            </w:pPr>
          </w:p>
        </w:tc>
        <w:tc>
          <w:tcPr>
            <w:tcW w:w="820" w:type="dxa"/>
            <w:vAlign w:val="bottom"/>
            <w:gridSpan w:val="2"/>
          </w:tcPr>
          <w:p>
            <w:pPr>
              <w:ind w:left="120"/>
              <w:spacing w:after="0"/>
              <w:rPr>
                <w:sz w:val="20"/>
                <w:szCs w:val="20"/>
                <w:color w:val="auto"/>
              </w:rPr>
            </w:pPr>
            <w:r>
              <w:rPr>
                <w:rFonts w:ascii="Arial" w:cs="Arial" w:eastAsia="Arial" w:hAnsi="Arial"/>
                <w:sz w:val="16"/>
                <w:szCs w:val="16"/>
                <w:b w:val="1"/>
                <w:bCs w:val="1"/>
                <w:color w:val="auto"/>
              </w:rPr>
              <w:t>2nd</w:t>
            </w:r>
          </w:p>
        </w:tc>
        <w:tc>
          <w:tcPr>
            <w:tcW w:w="240" w:type="dxa"/>
            <w:vAlign w:val="bottom"/>
          </w:tcPr>
          <w:p>
            <w:pPr>
              <w:spacing w:after="0"/>
              <w:rPr>
                <w:sz w:val="18"/>
                <w:szCs w:val="18"/>
                <w:color w:val="auto"/>
              </w:rPr>
            </w:pPr>
          </w:p>
        </w:tc>
        <w:tc>
          <w:tcPr>
            <w:tcW w:w="700" w:type="dxa"/>
            <w:vAlign w:val="bottom"/>
          </w:tcPr>
          <w:p>
            <w:pPr>
              <w:jc w:val="right"/>
              <w:ind w:right="279"/>
              <w:spacing w:after="0"/>
              <w:rPr>
                <w:sz w:val="20"/>
                <w:szCs w:val="20"/>
                <w:color w:val="auto"/>
              </w:rPr>
            </w:pPr>
            <w:r>
              <w:rPr>
                <w:rFonts w:ascii="Arial" w:cs="Arial" w:eastAsia="Arial" w:hAnsi="Arial"/>
                <w:sz w:val="16"/>
                <w:szCs w:val="16"/>
                <w:b w:val="1"/>
                <w:bCs w:val="1"/>
                <w:color w:val="auto"/>
              </w:rPr>
              <w:t>1st</w:t>
            </w:r>
          </w:p>
        </w:tc>
      </w:tr>
      <w:tr>
        <w:trPr>
          <w:trHeight w:val="212"/>
        </w:trPr>
        <w:tc>
          <w:tcPr>
            <w:tcW w:w="3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4,076</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3,817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3,239</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3,329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3,350</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3,771</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3,594</w:t>
            </w: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Gross profit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2,646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2,453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2,082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2,088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2,097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2,360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2,261</w:t>
            </w: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Included in operating profit:</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13"/>
        </w:trPr>
        <w:tc>
          <w:tcPr>
            <w:tcW w:w="3040" w:type="dxa"/>
            <w:vAlign w:val="bottom"/>
          </w:tcPr>
          <w:p>
            <w:pPr>
              <w:ind w:left="140"/>
              <w:spacing w:after="0"/>
              <w:rPr>
                <w:sz w:val="20"/>
                <w:szCs w:val="20"/>
                <w:color w:val="auto"/>
              </w:rPr>
            </w:pPr>
            <w:r>
              <w:rPr>
                <w:rFonts w:ascii="Arial" w:cs="Arial" w:eastAsia="Arial" w:hAnsi="Arial"/>
                <w:sz w:val="16"/>
                <w:szCs w:val="16"/>
                <w:color w:val="auto"/>
              </w:rPr>
              <w:t>Acquisition charges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47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79</w:t>
            </w:r>
          </w:p>
        </w:tc>
      </w:tr>
      <w:tr>
        <w:trPr>
          <w:trHeight w:val="219"/>
        </w:trPr>
        <w:tc>
          <w:tcPr>
            <w:tcW w:w="30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Restructuring charges/other</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2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b w:val="1"/>
                <w:bCs w:val="1"/>
                <w:color w:val="auto"/>
              </w:rPr>
              <w:t>—</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30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1,609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1,228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1,589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1,506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1,379</w:t>
            </w:r>
          </w:p>
        </w:tc>
      </w:tr>
      <w:tr>
        <w:trPr>
          <w:trHeight w:val="219"/>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1,688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1,174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1,217</w:t>
            </w:r>
          </w:p>
        </w:tc>
      </w:tr>
      <w:tr>
        <w:trPr>
          <w:trHeight w:val="216"/>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Basic EPS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1.47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1.50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1.25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r>
      <w:tr>
        <w:trPr>
          <w:trHeight w:val="210"/>
        </w:trPr>
        <w:tc>
          <w:tcPr>
            <w:tcW w:w="3040" w:type="dxa"/>
            <w:vAlign w:val="bottom"/>
          </w:tcPr>
          <w:p>
            <w:pPr>
              <w:ind w:left="20"/>
              <w:spacing w:after="0"/>
              <w:rPr>
                <w:sz w:val="20"/>
                <w:szCs w:val="20"/>
                <w:color w:val="auto"/>
              </w:rPr>
            </w:pPr>
            <w:r>
              <w:rPr>
                <w:rFonts w:ascii="Arial" w:cs="Arial" w:eastAsia="Arial" w:hAnsi="Arial"/>
                <w:sz w:val="16"/>
                <w:szCs w:val="16"/>
                <w:color w:val="auto"/>
              </w:rPr>
              <w:t>Diluted EPS</w:t>
            </w: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1.80</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1.48</w:t>
            </w:r>
          </w:p>
        </w:tc>
        <w:tc>
          <w:tcPr>
            <w:tcW w:w="120" w:type="dxa"/>
            <w:vAlign w:val="bottom"/>
          </w:tcPr>
          <w:p>
            <w:pPr>
              <w:spacing w:after="0"/>
              <w:rPr>
                <w:sz w:val="18"/>
                <w:szCs w:val="18"/>
                <w:color w:val="auto"/>
              </w:rPr>
            </w:pPr>
          </w:p>
        </w:tc>
        <w:tc>
          <w:tcPr>
            <w:tcW w:w="220" w:type="dxa"/>
            <w:vAlign w:val="bottom"/>
          </w:tcPr>
          <w:p>
            <w:pPr>
              <w:jc w:val="right"/>
              <w:ind w:right="64"/>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1.24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1.49</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54" w:name="page55"/>
    <w:bookmarkEnd w:id="54"/>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We have audited the accompanying consolidated balance sheets of Texas Instruments Incorporated (the Company) as of December 31, 2020 and 2019, the related consolidated statements of income, comprehensive income, shareholders’ equity and cash flows for each of the three years in the period ended December 31, 2020, and the related notes (collectively referred to as the “consolidated financial statements”). In our opinion, the consolidated financial statements present fairly, in all material respects, the financial position of the Company at December 31, 2020 and 2019, and the results of its operations and its cash flows for each of the three years in the period ended December 31, 2020, in conformity with U.S. generally accepted accounting principles.</w:t>
      </w:r>
    </w:p>
    <w:p>
      <w:pPr>
        <w:spacing w:after="0" w:line="16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2020, based on criteria established in Internal Control-Integrated Framework issued by the Committee of Sponsoring Organizations of the Treadway Commission (2013 framework) and our report dated February 5,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333333"/>
        </w:rPr>
        <w:t>Critical a</w:t>
      </w:r>
      <w:r>
        <w:rPr>
          <w:rFonts w:ascii="Arial" w:cs="Arial" w:eastAsia="Arial" w:hAnsi="Arial"/>
          <w:sz w:val="18"/>
          <w:szCs w:val="18"/>
          <w:b w:val="1"/>
          <w:bCs w:val="1"/>
          <w:color w:val="000000"/>
        </w:rPr>
        <w:t>udit</w:t>
      </w:r>
      <w:r>
        <w:rPr>
          <w:rFonts w:ascii="Arial" w:cs="Arial" w:eastAsia="Arial" w:hAnsi="Arial"/>
          <w:sz w:val="18"/>
          <w:szCs w:val="18"/>
          <w:b w:val="1"/>
          <w:bCs w:val="1"/>
          <w:color w:val="333333"/>
        </w:rPr>
        <w:t xml:space="preserve"> matter</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333333"/>
        </w:rPr>
        <w:t>Uncertain tax positions</w:t>
      </w:r>
    </w:p>
    <w:p>
      <w:pPr>
        <w:spacing w:after="0" w:line="270" w:lineRule="exact"/>
        <w:rPr>
          <w:sz w:val="20"/>
          <w:szCs w:val="20"/>
          <w:color w:val="auto"/>
        </w:rPr>
      </w:pPr>
    </w:p>
    <w:p>
      <w:pPr>
        <w:ind w:left="2260" w:right="40" w:hanging="2226"/>
        <w:spacing w:after="0" w:line="225" w:lineRule="auto"/>
        <w:tabs>
          <w:tab w:leader="none" w:pos="224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4 to the consolidated financial statements, the Company operates in the United States and multiple international tax jurisdictions, and its income tax returns are subject to examination by tax authorities in those jurisdictions who may challenge any tax position on these returns. Uncertainty in a tax position may arise because tax laws are subject to interpretation. The Company uses significant judgment to (1) determine whether, based on the technical merits, a tax position is more likely than not to be sustained and (2) measure the amount of tax benefit that qualifies for recognition. Auditing management’s estimate of the amount of tax benefit that qualifies for recognition involved auditor judgment because management’s estimate is complex, requires a high degree of judgment and is based on interpretations of tax laws and legal rulings.</w:t>
      </w:r>
    </w:p>
    <w:p>
      <w:pPr>
        <w:sectPr>
          <w:pgSz w:w="11900" w:h="16838" w:orient="portrait"/>
          <w:cols w:equalWidth="0" w:num="1">
            <w:col w:w="11200"/>
          </w:cols>
          <w:pgMar w:left="320" w:top="985" w:right="379" w:bottom="1440" w:gutter="0" w:footer="0" w:header="0"/>
        </w:sectPr>
      </w:pPr>
    </w:p>
    <w:p>
      <w:pPr>
        <w:spacing w:after="0" w:line="189" w:lineRule="exact"/>
        <w:rPr>
          <w:sz w:val="20"/>
          <w:szCs w:val="20"/>
          <w:color w:val="auto"/>
        </w:rPr>
      </w:pPr>
    </w:p>
    <w:p>
      <w:pPr>
        <w:ind w:left="20"/>
        <w:spacing w:after="0" w:line="261" w:lineRule="auto"/>
        <w:rPr>
          <w:sz w:val="20"/>
          <w:szCs w:val="20"/>
          <w:color w:val="auto"/>
        </w:rPr>
      </w:pPr>
      <w:r>
        <w:rPr>
          <w:rFonts w:ascii="Arial" w:cs="Arial" w:eastAsia="Arial" w:hAnsi="Arial"/>
          <w:sz w:val="18"/>
          <w:szCs w:val="18"/>
          <w:i w:val="1"/>
          <w:iCs w:val="1"/>
          <w:color w:val="333333"/>
        </w:rPr>
        <w:t>How we addressed the matter in our audit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accounting process for uncertain tax positions. For example, this included controls over the Company’s assessment of the technical merits of tax positions and management’s process to measure the benefit of those tax positions. Among other procedures performed, we involved our tax professionals to assess the technical merits of the Company’s tax positions. This included assessing the Company’s correspondence with the relevant tax authorities and evaluating income tax opinions or other third-party advice obtained by the Company. We also evaluated the appropriateness of the Company’s accounting for its tax positions taking into consideration relevant international and local income tax laws and legal rulings. We analyzed the Company’s assumptions and data used to determine the amount of tax benefit to recognize and tested the accuracy of the calculations. We also evaluated the adequacy of the Company’s financial statement disclosures in Note 4 to the consolidated financial statements related to these tax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4073525</wp:posOffset>
            </wp:positionH>
            <wp:positionV relativeFrom="paragraph">
              <wp:posOffset>106045</wp:posOffset>
            </wp:positionV>
            <wp:extent cx="1628775" cy="4286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628775"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60" w:space="100"/>
            <w:col w:w="8940"/>
          </w:cols>
          <w:pgMar w:left="320" w:top="985"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1952.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85" w:right="37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An evaluation as of the end of the period covered by this report was carried out under the supervision and with the participation of management, including our Chief Executive Officer and Chief Financial Officer, of the effectiveness of the design and operation of our disclosure controls and procedures (as defined in Rules 13a-15(e) and 15d-15(e) under the Securities Exchange Act of 1934). Based upon that evaluation, the Chief Executive Officer and Chief Financial Officer concluded that those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w:t>
      </w:r>
      <w:r>
        <w:rPr>
          <w:rFonts w:ascii="Arial" w:cs="Arial" w:eastAsia="Arial" w:hAnsi="Arial"/>
          <w:sz w:val="18"/>
          <w:szCs w:val="18"/>
          <w:u w:val="single" w:color="auto"/>
          <w:color w:val="auto"/>
        </w:rPr>
        <w:t>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 by management on internal control over financial reporting</w:t>
      </w:r>
    </w:p>
    <w:p>
      <w:pPr>
        <w:spacing w:after="0" w:line="225" w:lineRule="exact"/>
        <w:rPr>
          <w:sz w:val="20"/>
          <w:szCs w:val="20"/>
          <w:color w:val="auto"/>
        </w:rPr>
      </w:pPr>
    </w:p>
    <w:p>
      <w:pPr>
        <w:jc w:val="both"/>
        <w:ind w:right="200"/>
        <w:spacing w:after="0" w:line="275" w:lineRule="auto"/>
        <w:rPr>
          <w:sz w:val="20"/>
          <w:szCs w:val="20"/>
          <w:color w:val="auto"/>
        </w:rPr>
      </w:pPr>
      <w:r>
        <w:rPr>
          <w:rFonts w:ascii="Arial" w:cs="Arial" w:eastAsia="Arial" w:hAnsi="Arial"/>
          <w:sz w:val="17"/>
          <w:szCs w:val="17"/>
          <w:color w:val="auto"/>
        </w:rPr>
        <w:t>The management of TI is responsible for establishing and maintaining effective internal control over financial reporting. TI’s internal control system was designed to provide reasonable assurance regarding the reliability of financial reporting and the preparation and fair presentation of financial statements issued for external purposes in accordance with generally accepted accounting principles. There has been no change in our internal control over financial reporting (as defined in Rule 13a-15(f) and 15d-15(f) under the Securities Exchange Act of 1934) that occurred during the fourth quarter of 2020 that has materially affected, or is reasonably likely to materially affect, our internal control over financial reporting.</w:t>
      </w:r>
    </w:p>
    <w:p>
      <w:pPr>
        <w:spacing w:after="0" w:line="17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All internal control systems, no matter how well designed, have inherent limitations and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TI management assessed the effectiveness of internal control over financial reporting as of December 31, 2020. In making this assessment, we used the criteria set forth by the Committee of Sponsoring Organizations of the Treadway Commission (2013 framework) (the COSO criteria) in Internal Control − Integrated Framework. Based on our assessment, we believe that, as of December 31, 2020, our internal control over financial reporting is effective based on the COSO criteria.</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TI’s independent registered public accounting firm, Ernst &amp; Young LLP, has issued an audit report on the effectiveness of our internal control over financial reporting, which immediately follows this report.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7" w:name="page58"/>
    <w:bookmarkEnd w:id="57"/>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Texas Instruments Incorporated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have audited Texas Instruments Incorporated’s internal control over financial reporting as of December 31, 2020, based on criteria established in Internal Control—Integrated Framework issued by the Committee of Sponsoring Organizations of the Treadway Commission (2013 framework) (the COSO criteria). In our opinion, Texas Instruments Incorporated (the Company) maintained, in all material respects, effective internal control over financial reporting as of December 31, 2020, based on the COSO criteria.</w:t>
      </w:r>
    </w:p>
    <w:p>
      <w:pPr>
        <w:spacing w:after="0" w:line="18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2020 and 2019, the related consolidated statements of income, comprehensive income, shareholders’ equity and cash flows for each of the three years in the period ended December 31, 2020, and the related notes, and our report dated February 5, 2021,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report by management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0"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22860</wp:posOffset>
            </wp:positionV>
            <wp:extent cx="1628775" cy="4286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877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information with respect to directors’ names, ages, positions, term of office, periods of service and business experience, which is contained under the caption “Election of directors” in our proxy statement for the 2021 annual meeting of stockholders, is incorporated herein by reference to such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 list of our executive officers and their biographical information appears in Part I, Item 1 of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We have adopted the Code of Ethics for TI Chief Executive Officer and Senior Finance Officers. A copy of the Code can be found on our website at www.ti.com/corporategovernance. We intend to satisfy the disclosure requirements of the SEC regarding amendments to, or waivers from, the Code by posting such information on the same website.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contained under the caption “Committees of the board” with respect to the audit committee and the audit committee financial expert in our proxy statement for the 2021 annual meeting of stockholders is incorporated herein by reference to such proxy statement.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information contained under the captions “Director compensation” and “Executive compensation” in our proxy statement for the 2021 annual meeting of stockholders is incorporated herein by reference to such proxy statement, provided that the Compensation Committee report shall not be deemed filed with this Form 10-K.</w:t>
      </w:r>
    </w:p>
    <w:p>
      <w:pPr>
        <w:spacing w:after="0" w:line="18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information contained under the caption “Compensation committee interlocks and insider participation” in our proxy statement for the 2021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about the company’s equity compensation plans as of December 31, 2020.</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w w:val="91"/>
              </w:rPr>
              <w:t>Number of Securities to be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Weighted-Average</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Remaining Available for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vMerge w:val="continue"/>
          </w:tcPr>
          <w:p>
            <w:pPr>
              <w:spacing w:after="0"/>
              <w:rPr>
                <w:sz w:val="14"/>
                <w:szCs w:val="14"/>
                <w:color w:val="auto"/>
              </w:rPr>
            </w:pP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Future Issuance under</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89"/>
              </w:rPr>
              <w:t>Issued Upon Exercise of</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9"/>
              </w:rPr>
              <w:t>Exercise Price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Equity Compensation</w:t>
            </w:r>
          </w:p>
        </w:tc>
        <w:tc>
          <w:tcPr>
            <w:tcW w:w="0" w:type="dxa"/>
            <w:vAlign w:val="bottom"/>
          </w:tcPr>
          <w:p>
            <w:pPr>
              <w:spacing w:after="0"/>
              <w:rPr>
                <w:sz w:val="1"/>
                <w:szCs w:val="1"/>
                <w:color w:val="auto"/>
              </w:rPr>
            </w:pPr>
          </w:p>
        </w:tc>
      </w:tr>
      <w:tr>
        <w:trPr>
          <w:trHeight w:val="162"/>
        </w:trPr>
        <w:tc>
          <w:tcPr>
            <w:tcW w:w="51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Plan Category</w:t>
            </w:r>
          </w:p>
        </w:tc>
        <w:tc>
          <w:tcPr>
            <w:tcW w:w="100" w:type="dxa"/>
            <w:vAlign w:val="bottom"/>
            <w:vMerge w:val="restart"/>
          </w:tcPr>
          <w:p>
            <w:pPr>
              <w:spacing w:after="0"/>
              <w:rPr>
                <w:sz w:val="14"/>
                <w:szCs w:val="14"/>
                <w:color w:val="auto"/>
              </w:rPr>
            </w:pPr>
          </w:p>
        </w:tc>
        <w:tc>
          <w:tcPr>
            <w:tcW w:w="19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Outstanding Options,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2"/>
          </w:tcPr>
          <w:p>
            <w:pPr>
              <w:jc w:val="center"/>
              <w:ind w:right="200"/>
              <w:spacing w:after="0" w:line="162" w:lineRule="exact"/>
              <w:rPr>
                <w:sz w:val="20"/>
                <w:szCs w:val="20"/>
                <w:color w:val="auto"/>
              </w:rPr>
            </w:pPr>
            <w:r>
              <w:rPr>
                <w:rFonts w:ascii="Arial" w:cs="Arial" w:eastAsia="Arial" w:hAnsi="Arial"/>
                <w:sz w:val="16"/>
                <w:szCs w:val="16"/>
                <w:b w:val="1"/>
                <w:bCs w:val="1"/>
                <w:color w:val="auto"/>
                <w:w w:val="91"/>
              </w:rPr>
              <w:t>Outstanding Options,</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8"/>
              </w:rPr>
              <w:t>Plans (excluding securities</w:t>
            </w:r>
          </w:p>
        </w:tc>
        <w:tc>
          <w:tcPr>
            <w:tcW w:w="0" w:type="dxa"/>
            <w:vAlign w:val="bottom"/>
          </w:tcPr>
          <w:p>
            <w:pPr>
              <w:spacing w:after="0"/>
              <w:rPr>
                <w:sz w:val="1"/>
                <w:szCs w:val="1"/>
                <w:color w:val="auto"/>
              </w:rPr>
            </w:pPr>
          </w:p>
        </w:tc>
      </w:tr>
      <w:tr>
        <w:trPr>
          <w:trHeight w:val="213"/>
        </w:trPr>
        <w:tc>
          <w:tcPr>
            <w:tcW w:w="51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FF0FC"/>
            </w:tcBorders>
            <w:vMerge w:val="continue"/>
          </w:tcPr>
          <w:p>
            <w:pPr>
              <w:spacing w:after="0"/>
              <w:rPr>
                <w:sz w:val="18"/>
                <w:szCs w:val="18"/>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94"/>
              </w:rPr>
              <w:t>Warrants and Rights (1)</w:t>
            </w: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3"/>
              </w:rPr>
              <w:t>Warrants and Rights (2)</w:t>
            </w:r>
          </w:p>
        </w:tc>
        <w:tc>
          <w:tcPr>
            <w:tcW w:w="100" w:type="dxa"/>
            <w:vAlign w:val="bottom"/>
            <w:tcBorders>
              <w:bottom w:val="single" w:sz="8" w:color="CFF0FC"/>
            </w:tcBorders>
          </w:tcPr>
          <w:p>
            <w:pPr>
              <w:spacing w:after="0"/>
              <w:rPr>
                <w:sz w:val="18"/>
                <w:szCs w:val="18"/>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reflected in column (1)) (3)</w:t>
            </w:r>
          </w:p>
        </w:tc>
        <w:tc>
          <w:tcPr>
            <w:tcW w:w="0" w:type="dxa"/>
            <w:vAlign w:val="bottom"/>
          </w:tcPr>
          <w:p>
            <w:pPr>
              <w:spacing w:after="0"/>
              <w:rPr>
                <w:sz w:val="1"/>
                <w:szCs w:val="1"/>
                <w:color w:val="auto"/>
              </w:rPr>
            </w:pPr>
          </w:p>
        </w:tc>
      </w:tr>
      <w:tr>
        <w:trPr>
          <w:trHeight w:val="212"/>
        </w:trPr>
        <w:tc>
          <w:tcPr>
            <w:tcW w:w="5240" w:type="dxa"/>
            <w:vAlign w:val="bottom"/>
            <w:gridSpan w:val="2"/>
            <w:shd w:val="clear" w:color="auto" w:fill="CFF0FC"/>
          </w:tcPr>
          <w:p>
            <w:pPr>
              <w:ind w:left="20"/>
              <w:spacing w:after="0"/>
              <w:rPr>
                <w:sz w:val="20"/>
                <w:szCs w:val="20"/>
                <w:color w:val="auto"/>
              </w:rPr>
            </w:pPr>
            <w:r>
              <w:rPr>
                <w:rFonts w:ascii="Arial" w:cs="Arial" w:eastAsia="Arial" w:hAnsi="Arial"/>
                <w:sz w:val="16"/>
                <w:szCs w:val="16"/>
                <w:color w:val="auto"/>
              </w:rPr>
              <w:t>Equity compensation plans approved by security holders</w:t>
            </w: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32,946,484</w:t>
            </w:r>
          </w:p>
        </w:tc>
        <w:tc>
          <w:tcPr>
            <w:tcW w:w="380" w:type="dxa"/>
            <w:vAlign w:val="bottom"/>
            <w:shd w:val="clear" w:color="auto" w:fill="CFF0FC"/>
          </w:tcPr>
          <w:p>
            <w:pPr>
              <w:ind w:left="40"/>
              <w:spacing w:after="0"/>
              <w:rPr>
                <w:sz w:val="20"/>
                <w:szCs w:val="20"/>
                <w:color w:val="auto"/>
              </w:rPr>
            </w:pPr>
            <w:r>
              <w:rPr>
                <w:rFonts w:ascii="Arial" w:cs="Arial" w:eastAsia="Arial" w:hAnsi="Arial"/>
                <w:sz w:val="16"/>
                <w:szCs w:val="16"/>
                <w:color w:val="auto"/>
              </w:rPr>
              <w:t>(a)</w:t>
            </w:r>
          </w:p>
        </w:tc>
        <w:tc>
          <w:tcPr>
            <w:tcW w:w="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900" w:type="dxa"/>
            <w:vAlign w:val="bottom"/>
            <w:gridSpan w:val="2"/>
            <w:shd w:val="clear" w:color="auto" w:fill="CFF0FC"/>
          </w:tcPr>
          <w:p>
            <w:pPr>
              <w:ind w:left="1020"/>
              <w:spacing w:after="0"/>
              <w:rPr>
                <w:sz w:val="20"/>
                <w:szCs w:val="20"/>
                <w:color w:val="auto"/>
              </w:rPr>
            </w:pPr>
            <w:r>
              <w:rPr>
                <w:rFonts w:ascii="Arial" w:cs="Arial" w:eastAsia="Arial" w:hAnsi="Arial"/>
                <w:sz w:val="16"/>
                <w:szCs w:val="16"/>
                <w:color w:val="auto"/>
              </w:rPr>
              <w:t>79.99 (b)</w:t>
            </w:r>
          </w:p>
        </w:tc>
        <w:tc>
          <w:tcPr>
            <w:tcW w:w="194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rPr>
              <w:t>73,432,285 (c)</w:t>
            </w:r>
          </w:p>
        </w:tc>
        <w:tc>
          <w:tcPr>
            <w:tcW w:w="0" w:type="dxa"/>
            <w:vAlign w:val="bottom"/>
          </w:tcPr>
          <w:p>
            <w:pPr>
              <w:spacing w:after="0"/>
              <w:rPr>
                <w:sz w:val="1"/>
                <w:szCs w:val="1"/>
                <w:color w:val="auto"/>
              </w:rPr>
            </w:pPr>
          </w:p>
        </w:tc>
      </w:tr>
      <w:tr>
        <w:trPr>
          <w:trHeight w:val="213"/>
        </w:trPr>
        <w:tc>
          <w:tcPr>
            <w:tcW w:w="5240" w:type="dxa"/>
            <w:vAlign w:val="bottom"/>
            <w:tcBorders>
              <w:bottom w:val="single" w:sz="8" w:color="CFF0FC"/>
            </w:tcBorders>
            <w:gridSpan w:val="2"/>
          </w:tcPr>
          <w:p>
            <w:pPr>
              <w:ind w:left="20"/>
              <w:spacing w:after="0"/>
              <w:rPr>
                <w:sz w:val="20"/>
                <w:szCs w:val="20"/>
                <w:color w:val="auto"/>
              </w:rPr>
            </w:pPr>
            <w:r>
              <w:rPr>
                <w:rFonts w:ascii="Arial" w:cs="Arial" w:eastAsia="Arial" w:hAnsi="Arial"/>
                <w:sz w:val="16"/>
                <w:szCs w:val="16"/>
                <w:color w:val="auto"/>
              </w:rPr>
              <w:t>Equity compensation plans not approved by security holders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900" w:type="dxa"/>
            <w:vAlign w:val="bottom"/>
            <w:tcBorders>
              <w:bottom w:val="single" w:sz="8" w:color="CFF0FC"/>
            </w:tcBorders>
            <w:gridSpan w:val="2"/>
          </w:tcPr>
          <w:p>
            <w:pPr>
              <w:jc w:val="right"/>
              <w:ind w:right="52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524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32,946,484</w:t>
            </w:r>
          </w:p>
        </w:tc>
        <w:tc>
          <w:tcPr>
            <w:tcW w:w="3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6"/>
                <w:szCs w:val="16"/>
                <w:color w:val="auto"/>
              </w:rPr>
              <w:t>(d)</w:t>
            </w:r>
          </w:p>
        </w:tc>
        <w:tc>
          <w:tcPr>
            <w:tcW w:w="22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CFF0FC"/>
            </w:tcBorders>
            <w:shd w:val="clear" w:color="auto" w:fill="CFF0FC"/>
          </w:tcPr>
          <w:p>
            <w:pPr>
              <w:jc w:val="right"/>
              <w:ind w:right="339"/>
              <w:spacing w:after="0"/>
              <w:rPr>
                <w:sz w:val="20"/>
                <w:szCs w:val="20"/>
                <w:color w:val="auto"/>
              </w:rPr>
            </w:pPr>
            <w:r>
              <w:rPr>
                <w:rFonts w:ascii="Arial" w:cs="Arial" w:eastAsia="Arial" w:hAnsi="Arial"/>
                <w:sz w:val="16"/>
                <w:szCs w:val="16"/>
                <w:color w:val="auto"/>
              </w:rPr>
              <w:t>79.99</w:t>
            </w:r>
          </w:p>
        </w:tc>
        <w:tc>
          <w:tcPr>
            <w:tcW w:w="100" w:type="dxa"/>
            <w:vAlign w:val="bottom"/>
            <w:tcBorders>
              <w:bottom w:val="single" w:sz="8" w:color="CFF0FC"/>
            </w:tcBorders>
            <w:shd w:val="clear" w:color="auto" w:fill="CFF0FC"/>
          </w:tcPr>
          <w:p>
            <w:pPr>
              <w:spacing w:after="0"/>
              <w:rPr>
                <w:sz w:val="20"/>
                <w:szCs w:val="20"/>
                <w:color w:val="auto"/>
              </w:rPr>
            </w:pPr>
          </w:p>
        </w:tc>
        <w:tc>
          <w:tcPr>
            <w:tcW w:w="1940" w:type="dxa"/>
            <w:vAlign w:val="bottom"/>
            <w:tcBorders>
              <w:bottom w:val="single" w:sz="8" w:color="auto"/>
            </w:tcBorders>
            <w:shd w:val="clear" w:color="auto" w:fill="CFF0FC"/>
          </w:tcPr>
          <w:p>
            <w:pPr>
              <w:jc w:val="right"/>
              <w:ind w:right="339"/>
              <w:spacing w:after="0"/>
              <w:rPr>
                <w:sz w:val="20"/>
                <w:szCs w:val="20"/>
                <w:color w:val="auto"/>
              </w:rPr>
            </w:pPr>
            <w:r>
              <w:rPr>
                <w:rFonts w:ascii="Arial" w:cs="Arial" w:eastAsia="Arial" w:hAnsi="Arial"/>
                <w:sz w:val="16"/>
                <w:szCs w:val="16"/>
                <w:color w:val="auto"/>
              </w:rPr>
              <w:t>73,432,285</w:t>
            </w:r>
          </w:p>
        </w:tc>
        <w:tc>
          <w:tcPr>
            <w:tcW w:w="0" w:type="dxa"/>
            <w:vAlign w:val="bottom"/>
          </w:tcPr>
          <w:p>
            <w:pPr>
              <w:spacing w:after="0"/>
              <w:rPr>
                <w:sz w:val="1"/>
                <w:szCs w:val="1"/>
                <w:color w:val="auto"/>
              </w:rPr>
            </w:pPr>
          </w:p>
        </w:tc>
      </w:tr>
      <w:tr>
        <w:trPr>
          <w:trHeight w:val="20"/>
        </w:trPr>
        <w:tc>
          <w:tcPr>
            <w:tcW w:w="5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auto"/>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180" w:hanging="332"/>
        <w:spacing w:after="0" w:line="311" w:lineRule="auto"/>
        <w:tabs>
          <w:tab w:leader="none" w:pos="337" w:val="left"/>
        </w:tabs>
        <w:numPr>
          <w:ilvl w:val="0"/>
          <w:numId w:val="32"/>
        </w:numPr>
        <w:rPr>
          <w:rFonts w:ascii="Arial" w:cs="Arial" w:eastAsia="Arial" w:hAnsi="Arial"/>
          <w:sz w:val="16"/>
          <w:szCs w:val="16"/>
          <w:color w:val="auto"/>
        </w:rPr>
      </w:pPr>
      <w:r>
        <w:rPr>
          <w:rFonts w:ascii="Arial" w:cs="Arial" w:eastAsia="Arial" w:hAnsi="Arial"/>
          <w:sz w:val="16"/>
          <w:szCs w:val="16"/>
          <w:color w:val="auto"/>
        </w:rPr>
        <w:t>Includes shares of TI common stock to be issued under the Texas Instruments 2003 Director Compensation Plan, the Texas Instruments 2009 Long-Term Incentive Plan (the “2009 LTIP”) and predecessor stockholder-approved plans, the Texas Instruments 2009 Director Compensation Plan, the TI Employees 2014 Stock Purchase Plan (the “2014 ESPP”) and the Texas Instruments 2018 Director Compensation Plan (the “2018 Director Plan”).</w:t>
      </w:r>
    </w:p>
    <w:p>
      <w:pPr>
        <w:spacing w:after="0" w:line="40" w:lineRule="exact"/>
        <w:rPr>
          <w:rFonts w:ascii="Arial" w:cs="Arial" w:eastAsia="Arial" w:hAnsi="Arial"/>
          <w:sz w:val="16"/>
          <w:szCs w:val="16"/>
          <w:color w:val="auto"/>
        </w:rPr>
      </w:pPr>
    </w:p>
    <w:p>
      <w:pPr>
        <w:ind w:left="340" w:right="120" w:hanging="332"/>
        <w:spacing w:after="0" w:line="277"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Restricted stock units and stock units credited to directors’ deferred compensation accounts are settled in shares of TI common stock on a one-for-one basis. Accordingly, such units have been excluded for purposes of computing the weighted-average exercise price.</w:t>
      </w:r>
    </w:p>
    <w:p>
      <w:pPr>
        <w:spacing w:after="0" w:line="62" w:lineRule="exact"/>
        <w:rPr>
          <w:rFonts w:ascii="Arial" w:cs="Arial" w:eastAsia="Arial" w:hAnsi="Arial"/>
          <w:sz w:val="18"/>
          <w:szCs w:val="18"/>
          <w:color w:val="auto"/>
        </w:rPr>
      </w:pPr>
    </w:p>
    <w:p>
      <w:pPr>
        <w:ind w:left="340" w:right="220" w:hanging="332"/>
        <w:spacing w:after="0" w:line="259" w:lineRule="auto"/>
        <w:tabs>
          <w:tab w:leader="none" w:pos="337" w:val="left"/>
        </w:tabs>
        <w:numPr>
          <w:ilvl w:val="0"/>
          <w:numId w:val="32"/>
        </w:numPr>
        <w:rPr>
          <w:rFonts w:ascii="Arial" w:cs="Arial" w:eastAsia="Arial" w:hAnsi="Arial"/>
          <w:sz w:val="18"/>
          <w:szCs w:val="18"/>
          <w:color w:val="auto"/>
        </w:rPr>
      </w:pPr>
      <w:r>
        <w:rPr>
          <w:rFonts w:ascii="Arial" w:cs="Arial" w:eastAsia="Arial" w:hAnsi="Arial"/>
          <w:sz w:val="18"/>
          <w:szCs w:val="18"/>
          <w:color w:val="auto"/>
        </w:rPr>
        <w:t>Shares of TI common stock available for future issuance under the 2009 LTIP, the 2014 ESPP and the 2018 Director Plan. 38,457,158 shares remain available for future issuance under the 2009 LTIP and 1,877,525 shares remain available for future issuance under the 2018 Director Plan. Under the 2009 LTIP and the 2018 Director Plan, awards may be granted in the form of restricted stock units, options or other stock-based awards such as restricted stock.</w:t>
      </w:r>
    </w:p>
    <w:p>
      <w:pPr>
        <w:spacing w:after="0" w:line="78" w:lineRule="exact"/>
        <w:rPr>
          <w:rFonts w:ascii="Arial" w:cs="Arial" w:eastAsia="Arial" w:hAnsi="Arial"/>
          <w:sz w:val="18"/>
          <w:szCs w:val="18"/>
          <w:color w:val="auto"/>
        </w:rPr>
      </w:pPr>
    </w:p>
    <w:p>
      <w:pPr>
        <w:ind w:left="340" w:right="280" w:hanging="332"/>
        <w:spacing w:after="0" w:line="263" w:lineRule="auto"/>
        <w:tabs>
          <w:tab w:leader="none" w:pos="334"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Includes 27,995,277 shares for issuance upon exercise of outstanding grants of options, 4,711,624 shares for issuance upon vesting of outstanding grants of restricted stock units, 143,046 shares for issuance under the 2014 ESPP and 96,537 shares for issuance in settlement of directors’ deferred compensation accounts.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color w:val="auto"/>
        </w:rPr>
        <w:t>The information that is contained under the captions “Security ownership of certain beneficial owners” and “Security ownership of directors and management” in our proxy statement for the 2021 annual meeting of stockholders is incorporated herein by reference to such proxy statement.</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information contained under the captions “Related person transactions” and “Director independence” in our proxy statement for the 2021 annual meeting of stockholders is incorporated herein by reference to such proxy statement.</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The information with respect to principal accountant fees and services contained under the caption “Proposal to ratify appointment of independent registered public accounting firm” in our proxy statement for the 2021 annual meeting of stockholders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0" w:name="page61"/>
    <w:bookmarkEnd w:id="60"/>
    <w:p>
      <w:pPr>
        <w:jc w:val="center"/>
        <w:ind w:right="20"/>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are listed in the index included in Item 8, “Financial statements and supplementary data.”</w:t>
      </w:r>
    </w:p>
    <w:p>
      <w:pPr>
        <w:spacing w:after="0" w:line="246" w:lineRule="exact"/>
        <w:rPr>
          <w:sz w:val="20"/>
          <w:szCs w:val="20"/>
          <w:color w:val="auto"/>
        </w:rPr>
      </w:pPr>
    </w:p>
    <w:tbl>
      <w:tblPr>
        <w:tblLayout w:type="fixed"/>
        <w:tblInd w:w="10" w:type="dxa"/>
        <w:tblCellMar>
          <w:top w:w="0" w:type="dxa"/>
          <w:left w:w="0" w:type="dxa"/>
          <w:bottom w:w="0" w:type="dxa"/>
          <w:right w:w="0" w:type="dxa"/>
        </w:tblCellMar>
      </w:tblPr>
      <w:tr>
        <w:trPr>
          <w:trHeight w:val="251"/>
        </w:trPr>
        <w:tc>
          <w:tcPr>
            <w:tcW w:w="1140" w:type="dxa"/>
            <w:vAlign w:val="bottom"/>
            <w:tcBorders>
              <w:top w:val="single" w:sz="8" w:color="auto"/>
              <w:left w:val="single" w:sz="8" w:color="auto"/>
              <w:right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46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140" w:type="dxa"/>
            <w:vAlign w:val="bottom"/>
            <w:tcBorders>
              <w:top w:val="single" w:sz="8" w:color="auto"/>
              <w:right w:val="single" w:sz="8" w:color="auto"/>
            </w:tcBorders>
          </w:tcPr>
          <w:p>
            <w:pPr>
              <w:spacing w:after="0"/>
              <w:rPr>
                <w:sz w:val="21"/>
                <w:szCs w:val="21"/>
                <w:color w:val="auto"/>
              </w:rPr>
            </w:pPr>
          </w:p>
        </w:tc>
        <w:tc>
          <w:tcPr>
            <w:tcW w:w="52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93"/>
              </w:rPr>
              <w:t>Incorporated by Reference</w:t>
            </w:r>
          </w:p>
        </w:tc>
        <w:tc>
          <w:tcPr>
            <w:tcW w:w="1580" w:type="dxa"/>
            <w:vAlign w:val="bottom"/>
            <w:tcBorders>
              <w:top w:val="single" w:sz="8" w:color="auto"/>
              <w:bottom w:val="single" w:sz="8" w:color="auto"/>
              <w:right w:val="single" w:sz="8" w:color="auto"/>
            </w:tcBorders>
          </w:tcPr>
          <w:p>
            <w:pPr>
              <w:spacing w:after="0"/>
              <w:rPr>
                <w:sz w:val="21"/>
                <w:szCs w:val="21"/>
                <w:color w:val="auto"/>
              </w:rPr>
            </w:pPr>
          </w:p>
        </w:tc>
        <w:tc>
          <w:tcPr>
            <w:tcW w:w="98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5"/>
              </w:rPr>
              <w:t>Designation of</w:t>
            </w: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Borders>
              <w:left w:val="single" w:sz="8" w:color="auto"/>
              <w:right w:val="single" w:sz="8" w:color="auto"/>
            </w:tcBorders>
            <w:vMerge w:val="continue"/>
          </w:tcPr>
          <w:p>
            <w:pPr>
              <w:spacing w:after="0"/>
              <w:rPr>
                <w:sz w:val="14"/>
                <w:szCs w:val="14"/>
                <w:color w:val="auto"/>
              </w:rPr>
            </w:pPr>
          </w:p>
        </w:tc>
        <w:tc>
          <w:tcPr>
            <w:tcW w:w="20" w:type="dxa"/>
            <w:vAlign w:val="bottom"/>
          </w:tcPr>
          <w:p>
            <w:pPr>
              <w:spacing w:after="0"/>
              <w:rPr>
                <w:sz w:val="14"/>
                <w:szCs w:val="14"/>
                <w:color w:val="auto"/>
              </w:rPr>
            </w:pPr>
          </w:p>
        </w:tc>
        <w:tc>
          <w:tcPr>
            <w:tcW w:w="4020" w:type="dxa"/>
            <w:vAlign w:val="bottom"/>
            <w:tcBorders>
              <w:right w:val="single" w:sz="8" w:color="auto"/>
            </w:tcBorders>
            <w:gridSpan w:val="20"/>
            <w:vMerge w:val="restart"/>
          </w:tcPr>
          <w:p>
            <w:pPr>
              <w:spacing w:after="0"/>
              <w:rPr>
                <w:sz w:val="20"/>
                <w:szCs w:val="20"/>
                <w:color w:val="auto"/>
              </w:rPr>
            </w:pPr>
            <w:r>
              <w:rPr>
                <w:rFonts w:ascii="Arial" w:cs="Arial" w:eastAsia="Arial" w:hAnsi="Arial"/>
                <w:sz w:val="16"/>
                <w:szCs w:val="16"/>
                <w:b w:val="1"/>
                <w:bCs w:val="1"/>
                <w:color w:val="auto"/>
              </w:rPr>
              <w:t>Description of Exhibit</w:t>
            </w:r>
          </w:p>
        </w:tc>
        <w:tc>
          <w:tcPr>
            <w:tcW w:w="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Form</w:t>
            </w:r>
          </w:p>
        </w:tc>
        <w:tc>
          <w:tcPr>
            <w:tcW w:w="1040" w:type="dxa"/>
            <w:vAlign w:val="bottom"/>
            <w:vMerge w:val="restart"/>
          </w:tcPr>
          <w:p>
            <w:pPr>
              <w:ind w:left="140"/>
              <w:spacing w:after="0"/>
              <w:rPr>
                <w:sz w:val="20"/>
                <w:szCs w:val="20"/>
                <w:color w:val="auto"/>
              </w:rPr>
            </w:pPr>
            <w:r>
              <w:rPr>
                <w:rFonts w:ascii="Arial" w:cs="Arial" w:eastAsia="Arial" w:hAnsi="Arial"/>
                <w:sz w:val="16"/>
                <w:szCs w:val="16"/>
                <w:b w:val="1"/>
                <w:bCs w:val="1"/>
                <w:color w:val="auto"/>
                <w:w w:val="95"/>
              </w:rPr>
              <w:t>File Number</w:t>
            </w:r>
          </w:p>
        </w:tc>
        <w:tc>
          <w:tcPr>
            <w:tcW w:w="19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Date of Filing</w:t>
            </w:r>
          </w:p>
        </w:tc>
        <w:tc>
          <w:tcPr>
            <w:tcW w:w="1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Exhibit Number</w:t>
            </w:r>
          </w:p>
        </w:tc>
        <w:tc>
          <w:tcPr>
            <w:tcW w:w="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1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shd w:val="clear" w:color="auto" w:fill="CCEEFF"/>
          </w:tcPr>
          <w:p>
            <w:pPr>
              <w:ind w:left="40"/>
              <w:spacing w:after="0" w:line="172" w:lineRule="exact"/>
              <w:rPr>
                <w:sz w:val="20"/>
                <w:szCs w:val="20"/>
                <w:color w:val="auto"/>
              </w:rPr>
            </w:pPr>
            <w:r>
              <w:rPr>
                <w:rFonts w:ascii="Arial" w:cs="Arial" w:eastAsia="Arial" w:hAnsi="Arial"/>
                <w:sz w:val="16"/>
                <w:szCs w:val="16"/>
                <w:b w:val="1"/>
                <w:bCs w:val="1"/>
                <w:color w:val="auto"/>
              </w:rPr>
              <w:t>3(a)</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72" w:lineRule="exact"/>
              <w:rPr>
                <w:rFonts w:ascii="Arial" w:cs="Arial" w:eastAsia="Arial" w:hAnsi="Arial"/>
                <w:sz w:val="16"/>
                <w:szCs w:val="16"/>
                <w:color w:val="0000FF"/>
                <w:w w:val="93"/>
              </w:rPr>
            </w:pPr>
            <w:hyperlink r:id="rId79">
              <w:r>
                <w:rPr>
                  <w:rFonts w:ascii="Arial" w:cs="Arial" w:eastAsia="Arial" w:hAnsi="Arial"/>
                  <w:sz w:val="16"/>
                  <w:szCs w:val="16"/>
                  <w:color w:val="0000FF"/>
                  <w:w w:val="93"/>
                </w:rPr>
                <w:t>Restated Certificate of Incorporation of the Registrant, dated</w:t>
              </w:r>
            </w:hyperlink>
          </w:p>
        </w:tc>
        <w:tc>
          <w:tcPr>
            <w:tcW w:w="5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10-K</w:t>
            </w:r>
          </w:p>
        </w:tc>
        <w:tc>
          <w:tcPr>
            <w:tcW w:w="1040" w:type="dxa"/>
            <w:vAlign w:val="bottom"/>
            <w:shd w:val="clear" w:color="auto" w:fill="CCEEFF"/>
          </w:tcPr>
          <w:p>
            <w:pPr>
              <w:ind w:left="140"/>
              <w:spacing w:after="0" w:line="172" w:lineRule="exact"/>
              <w:rPr>
                <w:sz w:val="20"/>
                <w:szCs w:val="20"/>
                <w:color w:val="auto"/>
              </w:rPr>
            </w:pPr>
            <w:r>
              <w:rPr>
                <w:rFonts w:ascii="Arial" w:cs="Arial" w:eastAsia="Arial" w:hAnsi="Arial"/>
                <w:sz w:val="16"/>
                <w:szCs w:val="16"/>
                <w:color w:val="auto"/>
              </w:rPr>
              <w:t>001-3761</w:t>
            </w:r>
          </w:p>
        </w:tc>
        <w:tc>
          <w:tcPr>
            <w:tcW w:w="196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February 24, 2015</w:t>
            </w:r>
          </w:p>
        </w:tc>
        <w:tc>
          <w:tcPr>
            <w:tcW w:w="1580" w:type="dxa"/>
            <w:vAlign w:val="bottom"/>
            <w:tcBorders>
              <w:right w:val="single" w:sz="8" w:color="auto"/>
            </w:tcBorders>
            <w:shd w:val="clear" w:color="auto" w:fill="CCEEFF"/>
          </w:tcPr>
          <w:p>
            <w:pPr>
              <w:ind w:left="60"/>
              <w:spacing w:after="0" w:line="172" w:lineRule="exact"/>
              <w:rPr>
                <w:sz w:val="20"/>
                <w:szCs w:val="20"/>
                <w:color w:val="auto"/>
              </w:rPr>
            </w:pPr>
            <w:r>
              <w:rPr>
                <w:rFonts w:ascii="Arial" w:cs="Arial" w:eastAsia="Arial" w:hAnsi="Arial"/>
                <w:sz w:val="16"/>
                <w:szCs w:val="16"/>
                <w:color w:val="auto"/>
              </w:rPr>
              <w:t>3(a)</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4020" w:type="dxa"/>
            <w:vAlign w:val="bottom"/>
            <w:tcBorders>
              <w:top w:val="single" w:sz="8" w:color="0000FF"/>
              <w:bottom w:val="single" w:sz="8" w:color="auto"/>
              <w:right w:val="single" w:sz="8" w:color="auto"/>
            </w:tcBorders>
            <w:gridSpan w:val="20"/>
            <w:shd w:val="clear" w:color="auto" w:fill="CCEEFF"/>
          </w:tcPr>
          <w:p>
            <w:pPr>
              <w:spacing w:after="0" w:line="142" w:lineRule="exact"/>
              <w:rPr>
                <w:rFonts w:ascii="Arial" w:cs="Arial" w:eastAsia="Arial" w:hAnsi="Arial"/>
                <w:sz w:val="16"/>
                <w:szCs w:val="16"/>
                <w:color w:val="0000FF"/>
              </w:rPr>
            </w:pPr>
            <w:hyperlink r:id="rId79">
              <w:r>
                <w:rPr>
                  <w:rFonts w:ascii="Arial" w:cs="Arial" w:eastAsia="Arial" w:hAnsi="Arial"/>
                  <w:sz w:val="16"/>
                  <w:szCs w:val="16"/>
                  <w:color w:val="0000FF"/>
                </w:rPr>
                <w:t>April 18, 1985, as amended</w:t>
              </w:r>
            </w:hyperlink>
          </w:p>
        </w:tc>
        <w:tc>
          <w:tcPr>
            <w:tcW w:w="520" w:type="dxa"/>
            <w:vAlign w:val="bottom"/>
            <w:tcBorders>
              <w:top w:val="single" w:sz="8" w:color="CCEEFF"/>
              <w:bottom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rPr>
                <w:sz w:val="15"/>
                <w:szCs w:val="15"/>
                <w:color w:val="auto"/>
              </w:rPr>
            </w:pPr>
          </w:p>
        </w:tc>
        <w:tc>
          <w:tcPr>
            <w:tcW w:w="196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3(b)</w:t>
            </w:r>
          </w:p>
        </w:tc>
        <w:tc>
          <w:tcPr>
            <w:tcW w:w="20" w:type="dxa"/>
            <w:vAlign w:val="bottom"/>
            <w:tcBorders>
              <w:bottom w:val="single" w:sz="8" w:color="auto"/>
            </w:tcBorders>
          </w:tcPr>
          <w:p>
            <w:pPr>
              <w:spacing w:after="0"/>
              <w:rPr>
                <w:sz w:val="17"/>
                <w:szCs w:val="17"/>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By-Laws of the Registrant</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July 16, 2020</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3</w:t>
            </w:r>
          </w:p>
        </w:tc>
        <w:tc>
          <w:tcPr>
            <w:tcW w:w="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4(a)</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Indenture</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May 23, 2011</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4.2</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4(b)</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May 8, 2013</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4.2</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4(c)</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83">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March 12, 2014</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4.2</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4(d)</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84">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May 6, 2016</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4(e)</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85">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May 4, 2017</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4(f)</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86">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November 3, 2017</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4(g)</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87">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May 7, 2018</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4(h)</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88">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June 8, 2018</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4(i)</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89">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March 11, 2019</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4(j)</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90">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September 4, 2019</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4(k)</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91">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March 12, 2020</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4(l)</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92">
              <w:r>
                <w:rPr>
                  <w:rFonts w:ascii="Arial" w:cs="Arial" w:eastAsia="Arial" w:hAnsi="Arial"/>
                  <w:sz w:val="16"/>
                  <w:szCs w:val="16"/>
                  <w:u w:val="single" w:color="auto"/>
                  <w:color w:val="0000FF"/>
                </w:rPr>
                <w:t>Officer’s Certificate</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8-K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May 4, 2020</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4.1</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4(m)</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rPr>
            </w:pPr>
            <w:hyperlink r:id="rId93">
              <w:r>
                <w:rPr>
                  <w:rFonts w:ascii="Arial" w:cs="Arial" w:eastAsia="Arial" w:hAnsi="Arial"/>
                  <w:sz w:val="16"/>
                  <w:szCs w:val="16"/>
                  <w:u w:val="single" w:color="auto"/>
                  <w:color w:val="0000FF"/>
                </w:rPr>
                <w:t>Description of Securities</w:t>
              </w:r>
            </w:hyperlink>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10-K</w:t>
            </w:r>
          </w:p>
        </w:tc>
        <w:tc>
          <w:tcPr>
            <w:tcW w:w="10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6"/>
                <w:szCs w:val="16"/>
                <w:color w:val="auto"/>
              </w:rPr>
              <w:t>February 20, 2020</w:t>
            </w:r>
          </w:p>
        </w:tc>
        <w:tc>
          <w:tcPr>
            <w:tcW w:w="1580" w:type="dxa"/>
            <w:vAlign w:val="bottom"/>
            <w:tcBorders>
              <w:bottom w:val="single" w:sz="8" w:color="auto"/>
              <w:right w:val="single" w:sz="8" w:color="auto"/>
            </w:tcBorders>
            <w:shd w:val="clear" w:color="auto" w:fill="CCEEFF"/>
          </w:tcPr>
          <w:p>
            <w:pPr>
              <w:ind w:left="60"/>
              <w:spacing w:after="0"/>
              <w:rPr>
                <w:sz w:val="20"/>
                <w:szCs w:val="20"/>
                <w:color w:val="auto"/>
              </w:rPr>
            </w:pPr>
            <w:r>
              <w:rPr>
                <w:rFonts w:ascii="Arial" w:cs="Arial" w:eastAsia="Arial" w:hAnsi="Arial"/>
                <w:sz w:val="16"/>
                <w:szCs w:val="16"/>
                <w:color w:val="auto"/>
              </w:rPr>
              <w:t>4(l)</w:t>
            </w:r>
          </w:p>
        </w:tc>
        <w:tc>
          <w:tcPr>
            <w:tcW w:w="98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10(a)</w:t>
            </w:r>
          </w:p>
        </w:tc>
        <w:tc>
          <w:tcPr>
            <w:tcW w:w="20" w:type="dxa"/>
            <w:vAlign w:val="bottom"/>
            <w:tcBorders>
              <w:bottom w:val="single" w:sz="8" w:color="auto"/>
            </w:tcBorders>
          </w:tcPr>
          <w:p>
            <w:pPr>
              <w:spacing w:after="0"/>
              <w:rPr>
                <w:sz w:val="18"/>
                <w:szCs w:val="18"/>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94">
              <w:r>
                <w:rPr>
                  <w:rFonts w:ascii="Arial" w:cs="Arial" w:eastAsia="Arial" w:hAnsi="Arial"/>
                  <w:sz w:val="16"/>
                  <w:szCs w:val="16"/>
                  <w:u w:val="single" w:color="auto"/>
                  <w:color w:val="0000FF"/>
                </w:rPr>
                <w:t>TI Deferred Compensation Plan, as amended*</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10-K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February 24, 2016</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10(a)</w:t>
            </w:r>
          </w:p>
        </w:tc>
        <w:tc>
          <w:tcPr>
            <w:tcW w:w="9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shd w:val="clear" w:color="auto" w:fill="CCEEFF"/>
          </w:tcPr>
          <w:p>
            <w:pPr>
              <w:ind w:left="40"/>
              <w:spacing w:after="0" w:line="172" w:lineRule="exact"/>
              <w:rPr>
                <w:sz w:val="20"/>
                <w:szCs w:val="20"/>
                <w:color w:val="auto"/>
              </w:rPr>
            </w:pPr>
            <w:r>
              <w:rPr>
                <w:rFonts w:ascii="Arial" w:cs="Arial" w:eastAsia="Arial" w:hAnsi="Arial"/>
                <w:sz w:val="16"/>
                <w:szCs w:val="16"/>
                <w:b w:val="1"/>
                <w:bCs w:val="1"/>
                <w:color w:val="auto"/>
              </w:rPr>
              <w:t>10(b)</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72" w:lineRule="exact"/>
              <w:rPr>
                <w:rFonts w:ascii="Arial" w:cs="Arial" w:eastAsia="Arial" w:hAnsi="Arial"/>
                <w:sz w:val="16"/>
                <w:szCs w:val="16"/>
                <w:color w:val="0000FF"/>
              </w:rPr>
            </w:pPr>
            <w:hyperlink r:id="rId95">
              <w:r>
                <w:rPr>
                  <w:rFonts w:ascii="Arial" w:cs="Arial" w:eastAsia="Arial" w:hAnsi="Arial"/>
                  <w:sz w:val="16"/>
                  <w:szCs w:val="16"/>
                  <w:color w:val="0000FF"/>
                </w:rPr>
                <w:t>TI Employees Non-Qualified Pension Plan, effective</w:t>
              </w:r>
            </w:hyperlink>
          </w:p>
        </w:tc>
        <w:tc>
          <w:tcPr>
            <w:tcW w:w="5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10-K</w:t>
            </w:r>
          </w:p>
        </w:tc>
        <w:tc>
          <w:tcPr>
            <w:tcW w:w="1040" w:type="dxa"/>
            <w:vAlign w:val="bottom"/>
            <w:shd w:val="clear" w:color="auto" w:fill="CCEEFF"/>
          </w:tcPr>
          <w:p>
            <w:pPr>
              <w:ind w:left="140"/>
              <w:spacing w:after="0" w:line="172" w:lineRule="exact"/>
              <w:rPr>
                <w:sz w:val="20"/>
                <w:szCs w:val="20"/>
                <w:color w:val="auto"/>
              </w:rPr>
            </w:pPr>
            <w:r>
              <w:rPr>
                <w:rFonts w:ascii="Arial" w:cs="Arial" w:eastAsia="Arial" w:hAnsi="Arial"/>
                <w:sz w:val="16"/>
                <w:szCs w:val="16"/>
                <w:color w:val="auto"/>
              </w:rPr>
              <w:t>001-3761</w:t>
            </w:r>
          </w:p>
        </w:tc>
        <w:tc>
          <w:tcPr>
            <w:tcW w:w="196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February 24, 2016</w:t>
            </w:r>
          </w:p>
        </w:tc>
        <w:tc>
          <w:tcPr>
            <w:tcW w:w="1580" w:type="dxa"/>
            <w:vAlign w:val="bottom"/>
            <w:tcBorders>
              <w:right w:val="single" w:sz="8" w:color="auto"/>
            </w:tcBorders>
            <w:shd w:val="clear" w:color="auto" w:fill="CCEEFF"/>
          </w:tcPr>
          <w:p>
            <w:pPr>
              <w:ind w:left="60"/>
              <w:spacing w:after="0" w:line="172" w:lineRule="exact"/>
              <w:rPr>
                <w:sz w:val="20"/>
                <w:szCs w:val="20"/>
                <w:color w:val="auto"/>
              </w:rPr>
            </w:pPr>
            <w:r>
              <w:rPr>
                <w:rFonts w:ascii="Arial" w:cs="Arial" w:eastAsia="Arial" w:hAnsi="Arial"/>
                <w:sz w:val="16"/>
                <w:szCs w:val="16"/>
                <w:color w:val="auto"/>
              </w:rPr>
              <w:t>10(b)</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440" w:type="dxa"/>
            <w:vAlign w:val="bottom"/>
            <w:tcBorders>
              <w:top w:val="single" w:sz="8" w:color="0000FF"/>
              <w:bottom w:val="single" w:sz="8" w:color="auto"/>
            </w:tcBorders>
            <w:gridSpan w:val="13"/>
            <w:shd w:val="clear" w:color="auto" w:fill="CCEEFF"/>
          </w:tcPr>
          <w:p>
            <w:pPr>
              <w:spacing w:after="0" w:line="142" w:lineRule="exact"/>
              <w:rPr>
                <w:rFonts w:ascii="Arial" w:cs="Arial" w:eastAsia="Arial" w:hAnsi="Arial"/>
                <w:sz w:val="16"/>
                <w:szCs w:val="16"/>
                <w:color w:val="0000FF"/>
              </w:rPr>
            </w:pPr>
            <w:hyperlink r:id="rId95">
              <w:r>
                <w:rPr>
                  <w:rFonts w:ascii="Arial" w:cs="Arial" w:eastAsia="Arial" w:hAnsi="Arial"/>
                  <w:sz w:val="16"/>
                  <w:szCs w:val="16"/>
                  <w:color w:val="0000FF"/>
                </w:rPr>
                <w:t>January 1, 2009, as amended*</w:t>
              </w:r>
            </w:hyperlink>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60" w:type="dxa"/>
            <w:vAlign w:val="bottom"/>
            <w:tcBorders>
              <w:top w:val="single" w:sz="8" w:color="CCEEFF"/>
              <w:bottom w:val="single" w:sz="8" w:color="auto"/>
            </w:tcBorders>
            <w:shd w:val="clear" w:color="auto" w:fill="CCEEFF"/>
          </w:tcPr>
          <w:p>
            <w:pPr>
              <w:spacing w:after="0"/>
              <w:rPr>
                <w:sz w:val="15"/>
                <w:szCs w:val="15"/>
                <w:color w:val="auto"/>
              </w:rPr>
            </w:pPr>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rPr>
                <w:sz w:val="15"/>
                <w:szCs w:val="15"/>
                <w:color w:val="auto"/>
              </w:rPr>
            </w:pPr>
          </w:p>
        </w:tc>
        <w:tc>
          <w:tcPr>
            <w:tcW w:w="196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10(c)</w:t>
            </w:r>
          </w:p>
        </w:tc>
        <w:tc>
          <w:tcPr>
            <w:tcW w:w="20" w:type="dxa"/>
            <w:vAlign w:val="bottom"/>
            <w:tcBorders>
              <w:bottom w:val="single" w:sz="8" w:color="auto"/>
            </w:tcBorders>
          </w:tcPr>
          <w:p>
            <w:pPr>
              <w:spacing w:after="0"/>
              <w:rPr>
                <w:sz w:val="17"/>
                <w:szCs w:val="17"/>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r:id="rId96">
              <w:r>
                <w:rPr>
                  <w:rFonts w:ascii="Arial" w:cs="Arial" w:eastAsia="Arial" w:hAnsi="Arial"/>
                  <w:sz w:val="16"/>
                  <w:szCs w:val="16"/>
                  <w:u w:val="single" w:color="auto"/>
                  <w:color w:val="0000FF"/>
                </w:rPr>
                <w:t>TI Employees Non-Qualified Pension Plan II*</w:t>
              </w:r>
            </w:hyperlink>
          </w:p>
        </w:tc>
        <w:tc>
          <w:tcPr>
            <w:tcW w:w="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10-K</w:t>
            </w:r>
          </w:p>
        </w:tc>
        <w:tc>
          <w:tcPr>
            <w:tcW w:w="104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001-3761</w:t>
            </w:r>
          </w:p>
        </w:tc>
        <w:tc>
          <w:tcPr>
            <w:tcW w:w="196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February 24, 2016</w:t>
            </w:r>
          </w:p>
        </w:tc>
        <w:tc>
          <w:tcPr>
            <w:tcW w:w="158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10(c)</w:t>
            </w:r>
          </w:p>
        </w:tc>
        <w:tc>
          <w:tcPr>
            <w:tcW w:w="98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shd w:val="clear" w:color="auto" w:fill="CCEEFF"/>
          </w:tcPr>
          <w:p>
            <w:pPr>
              <w:ind w:left="40"/>
              <w:spacing w:after="0" w:line="172" w:lineRule="exact"/>
              <w:rPr>
                <w:sz w:val="20"/>
                <w:szCs w:val="20"/>
                <w:color w:val="auto"/>
              </w:rPr>
            </w:pPr>
            <w:r>
              <w:rPr>
                <w:rFonts w:ascii="Arial" w:cs="Arial" w:eastAsia="Arial" w:hAnsi="Arial"/>
                <w:sz w:val="16"/>
                <w:szCs w:val="16"/>
                <w:b w:val="1"/>
                <w:bCs w:val="1"/>
                <w:color w:val="auto"/>
              </w:rPr>
              <w:t>10(d)</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72" w:lineRule="exact"/>
              <w:rPr>
                <w:rFonts w:ascii="Arial" w:cs="Arial" w:eastAsia="Arial" w:hAnsi="Arial"/>
                <w:sz w:val="16"/>
                <w:szCs w:val="16"/>
                <w:color w:val="0000FF"/>
              </w:rPr>
            </w:pPr>
            <w:hyperlink r:id="rId97">
              <w:r>
                <w:rPr>
                  <w:rFonts w:ascii="Arial" w:cs="Arial" w:eastAsia="Arial" w:hAnsi="Arial"/>
                  <w:sz w:val="16"/>
                  <w:szCs w:val="16"/>
                  <w:color w:val="0000FF"/>
                </w:rPr>
                <w:t>Texas Instruments Long-Term Incentive Plan, adopted</w:t>
              </w:r>
            </w:hyperlink>
          </w:p>
        </w:tc>
        <w:tc>
          <w:tcPr>
            <w:tcW w:w="520" w:type="dxa"/>
            <w:vAlign w:val="bottom"/>
            <w:shd w:val="clear" w:color="auto" w:fill="CCEEFF"/>
          </w:tcPr>
          <w:p>
            <w:pPr>
              <w:ind w:left="20"/>
              <w:spacing w:after="0" w:line="172" w:lineRule="exact"/>
              <w:rPr>
                <w:sz w:val="20"/>
                <w:szCs w:val="20"/>
                <w:color w:val="auto"/>
              </w:rPr>
            </w:pPr>
            <w:r>
              <w:rPr>
                <w:rFonts w:ascii="Arial" w:cs="Arial" w:eastAsia="Arial" w:hAnsi="Arial"/>
                <w:sz w:val="16"/>
                <w:szCs w:val="16"/>
                <w:color w:val="auto"/>
              </w:rPr>
              <w:t>10-K</w:t>
            </w:r>
          </w:p>
        </w:tc>
        <w:tc>
          <w:tcPr>
            <w:tcW w:w="1040" w:type="dxa"/>
            <w:vAlign w:val="bottom"/>
            <w:shd w:val="clear" w:color="auto" w:fill="CCEEFF"/>
          </w:tcPr>
          <w:p>
            <w:pPr>
              <w:ind w:left="140"/>
              <w:spacing w:after="0" w:line="172" w:lineRule="exact"/>
              <w:rPr>
                <w:sz w:val="20"/>
                <w:szCs w:val="20"/>
                <w:color w:val="auto"/>
              </w:rPr>
            </w:pPr>
            <w:r>
              <w:rPr>
                <w:rFonts w:ascii="Arial" w:cs="Arial" w:eastAsia="Arial" w:hAnsi="Arial"/>
                <w:sz w:val="16"/>
                <w:szCs w:val="16"/>
                <w:color w:val="auto"/>
              </w:rPr>
              <w:t>001-3761</w:t>
            </w:r>
          </w:p>
        </w:tc>
        <w:tc>
          <w:tcPr>
            <w:tcW w:w="1960" w:type="dxa"/>
            <w:vAlign w:val="bottom"/>
            <w:shd w:val="clear" w:color="auto" w:fill="CCEEFF"/>
          </w:tcPr>
          <w:p>
            <w:pPr>
              <w:ind w:left="300"/>
              <w:spacing w:after="0" w:line="172" w:lineRule="exact"/>
              <w:rPr>
                <w:sz w:val="20"/>
                <w:szCs w:val="20"/>
                <w:color w:val="auto"/>
              </w:rPr>
            </w:pPr>
            <w:r>
              <w:rPr>
                <w:rFonts w:ascii="Arial" w:cs="Arial" w:eastAsia="Arial" w:hAnsi="Arial"/>
                <w:sz w:val="16"/>
                <w:szCs w:val="16"/>
                <w:color w:val="auto"/>
              </w:rPr>
              <w:t>February 24, 2012</w:t>
            </w:r>
          </w:p>
        </w:tc>
        <w:tc>
          <w:tcPr>
            <w:tcW w:w="1580" w:type="dxa"/>
            <w:vAlign w:val="bottom"/>
            <w:tcBorders>
              <w:right w:val="single" w:sz="8" w:color="auto"/>
            </w:tcBorders>
            <w:shd w:val="clear" w:color="auto" w:fill="CCEEFF"/>
          </w:tcPr>
          <w:p>
            <w:pPr>
              <w:ind w:left="60"/>
              <w:spacing w:after="0" w:line="172" w:lineRule="exact"/>
              <w:rPr>
                <w:sz w:val="20"/>
                <w:szCs w:val="20"/>
                <w:color w:val="auto"/>
              </w:rPr>
            </w:pPr>
            <w:r>
              <w:rPr>
                <w:rFonts w:ascii="Arial" w:cs="Arial" w:eastAsia="Arial" w:hAnsi="Arial"/>
                <w:sz w:val="16"/>
                <w:szCs w:val="16"/>
                <w:color w:val="auto"/>
              </w:rPr>
              <w:t>10(c)</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520" w:type="dxa"/>
            <w:vAlign w:val="bottom"/>
            <w:tcBorders>
              <w:top w:val="single" w:sz="8" w:color="0000FF"/>
              <w:bottom w:val="single" w:sz="8" w:color="auto"/>
            </w:tcBorders>
            <w:gridSpan w:val="15"/>
            <w:shd w:val="clear" w:color="auto" w:fill="CCEEFF"/>
          </w:tcPr>
          <w:p>
            <w:pPr>
              <w:spacing w:after="0" w:line="142" w:lineRule="exact"/>
              <w:rPr>
                <w:rFonts w:ascii="Arial" w:cs="Arial" w:eastAsia="Arial" w:hAnsi="Arial"/>
                <w:sz w:val="16"/>
                <w:szCs w:val="16"/>
                <w:color w:val="0000FF"/>
              </w:rPr>
            </w:pPr>
            <w:hyperlink r:id="rId97">
              <w:r>
                <w:rPr>
                  <w:rFonts w:ascii="Arial" w:cs="Arial" w:eastAsia="Arial" w:hAnsi="Arial"/>
                  <w:sz w:val="16"/>
                  <w:szCs w:val="16"/>
                  <w:color w:val="0000FF"/>
                </w:rPr>
                <w:t>April 15, 1993*</w:t>
              </w:r>
            </w:hyperlink>
          </w:p>
        </w:tc>
        <w:tc>
          <w:tcPr>
            <w:tcW w:w="8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40" w:type="dxa"/>
            <w:vAlign w:val="bottom"/>
            <w:tcBorders>
              <w:top w:val="single" w:sz="8" w:color="CCEEFF"/>
              <w:bottom w:val="single" w:sz="8" w:color="auto"/>
            </w:tcBorders>
            <w:shd w:val="clear" w:color="auto" w:fill="CCEEFF"/>
          </w:tcPr>
          <w:p>
            <w:pPr>
              <w:spacing w:after="0"/>
              <w:rPr>
                <w:sz w:val="15"/>
                <w:szCs w:val="15"/>
                <w:color w:val="auto"/>
              </w:rPr>
            </w:pPr>
          </w:p>
        </w:tc>
        <w:tc>
          <w:tcPr>
            <w:tcW w:w="1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rPr>
                <w:sz w:val="15"/>
                <w:szCs w:val="15"/>
                <w:color w:val="auto"/>
              </w:rPr>
            </w:pPr>
          </w:p>
        </w:tc>
        <w:tc>
          <w:tcPr>
            <w:tcW w:w="196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10(e)</w:t>
            </w:r>
          </w:p>
        </w:tc>
        <w:tc>
          <w:tcPr>
            <w:tcW w:w="20" w:type="dxa"/>
            <w:vAlign w:val="bottom"/>
          </w:tcPr>
          <w:p>
            <w:pPr>
              <w:spacing w:after="0"/>
              <w:rPr>
                <w:sz w:val="14"/>
                <w:szCs w:val="14"/>
                <w:color w:val="auto"/>
              </w:rPr>
            </w:pPr>
          </w:p>
        </w:tc>
        <w:tc>
          <w:tcPr>
            <w:tcW w:w="4020" w:type="dxa"/>
            <w:vAlign w:val="bottom"/>
            <w:tcBorders>
              <w:right w:val="single" w:sz="8" w:color="auto"/>
            </w:tcBorders>
            <w:gridSpan w:val="20"/>
          </w:tcPr>
          <w:p>
            <w:pPr>
              <w:spacing w:after="0" w:line="169" w:lineRule="exact"/>
              <w:rPr>
                <w:rFonts w:ascii="Arial" w:cs="Arial" w:eastAsia="Arial" w:hAnsi="Arial"/>
                <w:sz w:val="16"/>
                <w:szCs w:val="16"/>
                <w:color w:val="0000FF"/>
              </w:rPr>
            </w:pPr>
            <w:hyperlink r:id="rId98">
              <w:r>
                <w:rPr>
                  <w:rFonts w:ascii="Arial" w:cs="Arial" w:eastAsia="Arial" w:hAnsi="Arial"/>
                  <w:sz w:val="16"/>
                  <w:szCs w:val="16"/>
                  <w:color w:val="0000FF"/>
                </w:rPr>
                <w:t>Texas Instruments 2003 Director Compensation Plan as</w:t>
              </w:r>
            </w:hyperlink>
          </w:p>
        </w:tc>
        <w:tc>
          <w:tcPr>
            <w:tcW w:w="520" w:type="dxa"/>
            <w:vAlign w:val="bottom"/>
          </w:tcPr>
          <w:p>
            <w:pPr>
              <w:ind w:left="20"/>
              <w:spacing w:after="0" w:line="169" w:lineRule="exact"/>
              <w:rPr>
                <w:sz w:val="20"/>
                <w:szCs w:val="20"/>
                <w:color w:val="auto"/>
              </w:rPr>
            </w:pPr>
            <w:r>
              <w:rPr>
                <w:rFonts w:ascii="Arial" w:cs="Arial" w:eastAsia="Arial" w:hAnsi="Arial"/>
                <w:sz w:val="16"/>
                <w:szCs w:val="16"/>
                <w:color w:val="auto"/>
              </w:rPr>
              <w:t>10-K</w:t>
            </w:r>
          </w:p>
        </w:tc>
        <w:tc>
          <w:tcPr>
            <w:tcW w:w="1040" w:type="dxa"/>
            <w:vAlign w:val="bottom"/>
          </w:tcPr>
          <w:p>
            <w:pPr>
              <w:ind w:left="140"/>
              <w:spacing w:after="0" w:line="169" w:lineRule="exact"/>
              <w:rPr>
                <w:sz w:val="20"/>
                <w:szCs w:val="20"/>
                <w:color w:val="auto"/>
              </w:rPr>
            </w:pPr>
            <w:r>
              <w:rPr>
                <w:rFonts w:ascii="Arial" w:cs="Arial" w:eastAsia="Arial" w:hAnsi="Arial"/>
                <w:sz w:val="16"/>
                <w:szCs w:val="16"/>
                <w:color w:val="auto"/>
              </w:rPr>
              <w:t>001-3761</w:t>
            </w:r>
          </w:p>
        </w:tc>
        <w:tc>
          <w:tcPr>
            <w:tcW w:w="1960" w:type="dxa"/>
            <w:vAlign w:val="bottom"/>
          </w:tcPr>
          <w:p>
            <w:pPr>
              <w:ind w:left="300"/>
              <w:spacing w:after="0" w:line="169" w:lineRule="exact"/>
              <w:rPr>
                <w:sz w:val="20"/>
                <w:szCs w:val="20"/>
                <w:color w:val="auto"/>
              </w:rPr>
            </w:pPr>
            <w:r>
              <w:rPr>
                <w:rFonts w:ascii="Arial" w:cs="Arial" w:eastAsia="Arial" w:hAnsi="Arial"/>
                <w:sz w:val="16"/>
                <w:szCs w:val="16"/>
                <w:color w:val="auto"/>
              </w:rPr>
              <w:t>February 24, 2015</w:t>
            </w:r>
          </w:p>
        </w:tc>
        <w:tc>
          <w:tcPr>
            <w:tcW w:w="1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6"/>
                <w:szCs w:val="16"/>
                <w:color w:val="auto"/>
              </w:rPr>
              <w:t>10(j)</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98">
              <w:r>
                <w:rPr>
                  <w:rFonts w:ascii="Arial" w:cs="Arial" w:eastAsia="Arial" w:hAnsi="Arial"/>
                  <w:sz w:val="16"/>
                  <w:szCs w:val="16"/>
                  <w:color w:val="0000FF"/>
                </w:rPr>
                <w:t>amended January 19, 2012</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10(f)</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69" w:lineRule="exact"/>
              <w:rPr>
                <w:rFonts w:ascii="Arial" w:cs="Arial" w:eastAsia="Arial" w:hAnsi="Arial"/>
                <w:sz w:val="16"/>
                <w:szCs w:val="16"/>
                <w:color w:val="0000FF"/>
              </w:rPr>
            </w:pPr>
            <w:hyperlink r:id="rId99">
              <w:r>
                <w:rPr>
                  <w:rFonts w:ascii="Arial" w:cs="Arial" w:eastAsia="Arial" w:hAnsi="Arial"/>
                  <w:sz w:val="16"/>
                  <w:szCs w:val="16"/>
                  <w:color w:val="0000FF"/>
                </w:rPr>
                <w:t>Form of Non-Qualified Stock Option Agreement for</w:t>
              </w:r>
            </w:hyperlink>
          </w:p>
        </w:tc>
        <w:tc>
          <w:tcPr>
            <w:tcW w:w="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10-K</w:t>
            </w:r>
          </w:p>
        </w:tc>
        <w:tc>
          <w:tcPr>
            <w:tcW w:w="1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001-3761</w:t>
            </w:r>
          </w:p>
        </w:tc>
        <w:tc>
          <w:tcPr>
            <w:tcW w:w="196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February 23, 2017</w:t>
            </w:r>
          </w:p>
        </w:tc>
        <w:tc>
          <w:tcPr>
            <w:tcW w:w="158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10(k)</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Borders>
              <w:top w:val="single" w:sz="8" w:color="CCEEFF"/>
              <w:left w:val="single" w:sz="8" w:color="auto"/>
              <w:right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0" w:type="dxa"/>
            <w:vAlign w:val="bottom"/>
            <w:tcBorders>
              <w:top w:val="single" w:sz="8" w:color="0000FF"/>
            </w:tcBorders>
            <w:gridSpan w:val="11"/>
            <w:shd w:val="clear" w:color="auto" w:fill="CCEEFF"/>
          </w:tcPr>
          <w:p>
            <w:pPr>
              <w:spacing w:after="0" w:line="142" w:lineRule="exact"/>
              <w:rPr>
                <w:rFonts w:ascii="Arial" w:cs="Arial" w:eastAsia="Arial" w:hAnsi="Arial"/>
                <w:sz w:val="16"/>
                <w:szCs w:val="16"/>
                <w:color w:val="0000FF"/>
                <w:w w:val="89"/>
              </w:rPr>
            </w:pPr>
            <w:hyperlink r:id="rId99">
              <w:r>
                <w:rPr>
                  <w:rFonts w:ascii="Arial" w:cs="Arial" w:eastAsia="Arial" w:hAnsi="Arial"/>
                  <w:sz w:val="16"/>
                  <w:szCs w:val="16"/>
                  <w:color w:val="0000FF"/>
                  <w:w w:val="89"/>
                </w:rPr>
                <w:t>Executive Officers under the Texas Instruments 2009</w:t>
              </w:r>
            </w:hyperlink>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560" w:type="dxa"/>
            <w:vAlign w:val="bottom"/>
            <w:tcBorders>
              <w:top w:val="single" w:sz="8" w:color="CCEEFF"/>
              <w:right w:val="single" w:sz="8" w:color="auto"/>
            </w:tcBorders>
            <w:gridSpan w:val="6"/>
            <w:shd w:val="clear" w:color="auto" w:fill="CCEEFF"/>
          </w:tcPr>
          <w:p>
            <w:pPr>
              <w:ind w:left="40"/>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Long-</w:t>
              </w:r>
            </w:hyperlink>
          </w:p>
        </w:tc>
        <w:tc>
          <w:tcPr>
            <w:tcW w:w="5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960" w:type="dxa"/>
            <w:vAlign w:val="bottom"/>
            <w:tcBorders>
              <w:top w:val="single" w:sz="8" w:color="CCEEFF"/>
            </w:tcBorders>
            <w:shd w:val="clear" w:color="auto" w:fill="CCEEFF"/>
          </w:tcPr>
          <w:p>
            <w:pPr>
              <w:spacing w:after="0"/>
              <w:rPr>
                <w:sz w:val="12"/>
                <w:szCs w:val="12"/>
                <w:color w:val="auto"/>
              </w:rPr>
            </w:pPr>
          </w:p>
        </w:tc>
        <w:tc>
          <w:tcPr>
            <w:tcW w:w="1580" w:type="dxa"/>
            <w:vAlign w:val="bottom"/>
            <w:tcBorders>
              <w:top w:val="single" w:sz="8" w:color="CCEEFF"/>
              <w:right w:val="single" w:sz="8" w:color="auto"/>
            </w:tcBorders>
            <w:shd w:val="clear" w:color="auto" w:fill="CCEEFF"/>
          </w:tcPr>
          <w:p>
            <w:pPr>
              <w:spacing w:after="0"/>
              <w:rPr>
                <w:sz w:val="12"/>
                <w:szCs w:val="12"/>
                <w:color w:val="auto"/>
              </w:rPr>
            </w:pPr>
          </w:p>
        </w:tc>
        <w:tc>
          <w:tcPr>
            <w:tcW w:w="980" w:type="dxa"/>
            <w:vAlign w:val="bottom"/>
            <w:tcBorders>
              <w:top w:val="single" w:sz="8" w:color="CCEEFF"/>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880" w:type="dxa"/>
            <w:vAlign w:val="bottom"/>
            <w:tcBorders>
              <w:top w:val="single" w:sz="8" w:color="0000FF"/>
              <w:bottom w:val="single" w:sz="8" w:color="auto"/>
            </w:tcBorders>
            <w:gridSpan w:val="19"/>
            <w:shd w:val="clear" w:color="auto" w:fill="CCEEFF"/>
          </w:tcPr>
          <w:p>
            <w:pPr>
              <w:spacing w:after="0" w:line="142" w:lineRule="exact"/>
              <w:rPr>
                <w:rFonts w:ascii="Arial" w:cs="Arial" w:eastAsia="Arial" w:hAnsi="Arial"/>
                <w:sz w:val="16"/>
                <w:szCs w:val="16"/>
                <w:color w:val="0000FF"/>
              </w:rPr>
            </w:pPr>
            <w:hyperlink r:id="rId99">
              <w:r>
                <w:rPr>
                  <w:rFonts w:ascii="Arial" w:cs="Arial" w:eastAsia="Arial" w:hAnsi="Arial"/>
                  <w:sz w:val="16"/>
                  <w:szCs w:val="16"/>
                  <w:color w:val="0000FF"/>
                </w:rPr>
                <w:t>Term Incentive Plan*</w:t>
              </w:r>
            </w:hyperlink>
          </w:p>
        </w:tc>
        <w:tc>
          <w:tcPr>
            <w:tcW w:w="14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rPr>
                <w:sz w:val="15"/>
                <w:szCs w:val="15"/>
                <w:color w:val="auto"/>
              </w:rPr>
            </w:pPr>
          </w:p>
        </w:tc>
        <w:tc>
          <w:tcPr>
            <w:tcW w:w="196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10(g)</w:t>
            </w:r>
          </w:p>
        </w:tc>
        <w:tc>
          <w:tcPr>
            <w:tcW w:w="20" w:type="dxa"/>
            <w:vAlign w:val="bottom"/>
          </w:tcPr>
          <w:p>
            <w:pPr>
              <w:spacing w:after="0"/>
              <w:rPr>
                <w:sz w:val="14"/>
                <w:szCs w:val="14"/>
                <w:color w:val="auto"/>
              </w:rPr>
            </w:pPr>
          </w:p>
        </w:tc>
        <w:tc>
          <w:tcPr>
            <w:tcW w:w="4020" w:type="dxa"/>
            <w:vAlign w:val="bottom"/>
            <w:tcBorders>
              <w:right w:val="single" w:sz="8" w:color="auto"/>
            </w:tcBorders>
            <w:gridSpan w:val="20"/>
          </w:tcPr>
          <w:p>
            <w:pPr>
              <w:spacing w:after="0" w:line="169" w:lineRule="exact"/>
              <w:rPr>
                <w:rFonts w:ascii="Arial" w:cs="Arial" w:eastAsia="Arial" w:hAnsi="Arial"/>
                <w:sz w:val="16"/>
                <w:szCs w:val="16"/>
                <w:color w:val="0000FF"/>
              </w:rPr>
            </w:pPr>
            <w:hyperlink r:id="rId100">
              <w:r>
                <w:rPr>
                  <w:rFonts w:ascii="Arial" w:cs="Arial" w:eastAsia="Arial" w:hAnsi="Arial"/>
                  <w:sz w:val="16"/>
                  <w:szCs w:val="16"/>
                  <w:color w:val="0000FF"/>
                </w:rPr>
                <w:t>Form of Restricted Stock Unit Award Agreement for</w:t>
              </w:r>
            </w:hyperlink>
          </w:p>
        </w:tc>
        <w:tc>
          <w:tcPr>
            <w:tcW w:w="520" w:type="dxa"/>
            <w:vAlign w:val="bottom"/>
          </w:tcPr>
          <w:p>
            <w:pPr>
              <w:ind w:left="20"/>
              <w:spacing w:after="0" w:line="169" w:lineRule="exact"/>
              <w:rPr>
                <w:sz w:val="20"/>
                <w:szCs w:val="20"/>
                <w:color w:val="auto"/>
              </w:rPr>
            </w:pPr>
            <w:r>
              <w:rPr>
                <w:rFonts w:ascii="Arial" w:cs="Arial" w:eastAsia="Arial" w:hAnsi="Arial"/>
                <w:sz w:val="16"/>
                <w:szCs w:val="16"/>
                <w:color w:val="auto"/>
              </w:rPr>
              <w:t>10-K</w:t>
            </w:r>
          </w:p>
        </w:tc>
        <w:tc>
          <w:tcPr>
            <w:tcW w:w="1040" w:type="dxa"/>
            <w:vAlign w:val="bottom"/>
          </w:tcPr>
          <w:p>
            <w:pPr>
              <w:ind w:left="140"/>
              <w:spacing w:after="0" w:line="169" w:lineRule="exact"/>
              <w:rPr>
                <w:sz w:val="20"/>
                <w:szCs w:val="20"/>
                <w:color w:val="auto"/>
              </w:rPr>
            </w:pPr>
            <w:r>
              <w:rPr>
                <w:rFonts w:ascii="Arial" w:cs="Arial" w:eastAsia="Arial" w:hAnsi="Arial"/>
                <w:sz w:val="16"/>
                <w:szCs w:val="16"/>
                <w:color w:val="auto"/>
              </w:rPr>
              <w:t>001-3761</w:t>
            </w:r>
          </w:p>
        </w:tc>
        <w:tc>
          <w:tcPr>
            <w:tcW w:w="1960" w:type="dxa"/>
            <w:vAlign w:val="bottom"/>
          </w:tcPr>
          <w:p>
            <w:pPr>
              <w:ind w:left="300"/>
              <w:spacing w:after="0" w:line="169" w:lineRule="exact"/>
              <w:rPr>
                <w:sz w:val="20"/>
                <w:szCs w:val="20"/>
                <w:color w:val="auto"/>
              </w:rPr>
            </w:pPr>
            <w:r>
              <w:rPr>
                <w:rFonts w:ascii="Arial" w:cs="Arial" w:eastAsia="Arial" w:hAnsi="Arial"/>
                <w:sz w:val="16"/>
                <w:szCs w:val="16"/>
                <w:color w:val="auto"/>
              </w:rPr>
              <w:t>February 23, 2017</w:t>
            </w:r>
          </w:p>
        </w:tc>
        <w:tc>
          <w:tcPr>
            <w:tcW w:w="1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6"/>
                <w:szCs w:val="16"/>
                <w:color w:val="auto"/>
              </w:rPr>
              <w:t>10(l)</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420" w:type="dxa"/>
            <w:vAlign w:val="bottom"/>
            <w:tcBorders>
              <w:top w:val="single" w:sz="8" w:color="0000FF"/>
            </w:tcBorders>
            <w:gridSpan w:val="12"/>
          </w:tcPr>
          <w:p>
            <w:pPr>
              <w:spacing w:after="0" w:line="142" w:lineRule="exact"/>
              <w:rPr>
                <w:rFonts w:ascii="Arial" w:cs="Arial" w:eastAsia="Arial" w:hAnsi="Arial"/>
                <w:sz w:val="16"/>
                <w:szCs w:val="16"/>
                <w:color w:val="0000FF"/>
                <w:w w:val="90"/>
              </w:rPr>
            </w:pPr>
            <w:hyperlink r:id="rId100">
              <w:r>
                <w:rPr>
                  <w:rFonts w:ascii="Arial" w:cs="Arial" w:eastAsia="Arial" w:hAnsi="Arial"/>
                  <w:sz w:val="16"/>
                  <w:szCs w:val="16"/>
                  <w:color w:val="0000FF"/>
                  <w:w w:val="90"/>
                </w:rPr>
                <w:t>Executive Officers under the Texas Instruments 2009</w:t>
              </w:r>
            </w:hyperlink>
          </w:p>
        </w:tc>
        <w:tc>
          <w:tcPr>
            <w:tcW w:w="40" w:type="dxa"/>
            <w:vAlign w:val="bottom"/>
            <w:gridSpan w:val="2"/>
          </w:tcPr>
          <w:p>
            <w:pPr>
              <w:spacing w:after="0"/>
              <w:rPr>
                <w:sz w:val="12"/>
                <w:szCs w:val="12"/>
                <w:color w:val="auto"/>
              </w:rPr>
            </w:pPr>
          </w:p>
        </w:tc>
        <w:tc>
          <w:tcPr>
            <w:tcW w:w="560" w:type="dxa"/>
            <w:vAlign w:val="bottom"/>
            <w:tcBorders>
              <w:right w:val="single" w:sz="8" w:color="auto"/>
            </w:tcBorders>
            <w:gridSpan w:val="6"/>
          </w:tcPr>
          <w:p>
            <w:pPr>
              <w:ind w:left="40"/>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Long-</w:t>
              </w:r>
            </w:hyperlink>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8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00">
              <w:r>
                <w:rPr>
                  <w:rFonts w:ascii="Arial" w:cs="Arial" w:eastAsia="Arial" w:hAnsi="Arial"/>
                  <w:sz w:val="16"/>
                  <w:szCs w:val="16"/>
                  <w:color w:val="0000FF"/>
                </w:rPr>
                <w:t>Term Incentive Plan*</w:t>
              </w:r>
            </w:hyperlink>
          </w:p>
        </w:tc>
        <w:tc>
          <w:tcPr>
            <w:tcW w:w="140" w:type="dxa"/>
            <w:vAlign w:val="bottom"/>
            <w:tcBorders>
              <w:right w:val="single" w:sz="8" w:color="auto"/>
            </w:tcBorders>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10(h)</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69" w:lineRule="exact"/>
              <w:rPr>
                <w:rFonts w:ascii="Arial" w:cs="Arial" w:eastAsia="Arial" w:hAnsi="Arial"/>
                <w:sz w:val="16"/>
                <w:szCs w:val="16"/>
                <w:color w:val="0000FF"/>
              </w:rPr>
            </w:pPr>
            <w:hyperlink r:id="rId101">
              <w:r>
                <w:rPr>
                  <w:rFonts w:ascii="Arial" w:cs="Arial" w:eastAsia="Arial" w:hAnsi="Arial"/>
                  <w:sz w:val="16"/>
                  <w:szCs w:val="16"/>
                  <w:color w:val="0000FF"/>
                </w:rPr>
                <w:t>Texas Instruments 2009 Long-Term Incentive Plan as</w:t>
              </w:r>
            </w:hyperlink>
          </w:p>
        </w:tc>
        <w:tc>
          <w:tcPr>
            <w:tcW w:w="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DEF</w:t>
            </w:r>
          </w:p>
        </w:tc>
        <w:tc>
          <w:tcPr>
            <w:tcW w:w="1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001-3761</w:t>
            </w:r>
          </w:p>
        </w:tc>
        <w:tc>
          <w:tcPr>
            <w:tcW w:w="196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March 9, 2016</w:t>
            </w:r>
          </w:p>
        </w:tc>
        <w:tc>
          <w:tcPr>
            <w:tcW w:w="158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Appendix B</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460" w:type="dxa"/>
            <w:vAlign w:val="bottom"/>
            <w:tcBorders>
              <w:top w:val="single" w:sz="8" w:color="0000FF"/>
              <w:bottom w:val="single" w:sz="8" w:color="auto"/>
            </w:tcBorders>
            <w:gridSpan w:val="14"/>
            <w:shd w:val="clear" w:color="auto" w:fill="CCEEFF"/>
          </w:tcPr>
          <w:p>
            <w:pPr>
              <w:spacing w:after="0" w:line="142" w:lineRule="exact"/>
              <w:rPr>
                <w:rFonts w:ascii="Arial" w:cs="Arial" w:eastAsia="Arial" w:hAnsi="Arial"/>
                <w:sz w:val="16"/>
                <w:szCs w:val="16"/>
                <w:color w:val="0000FF"/>
              </w:rPr>
            </w:pPr>
            <w:hyperlink r:id="rId101">
              <w:r>
                <w:rPr>
                  <w:rFonts w:ascii="Arial" w:cs="Arial" w:eastAsia="Arial" w:hAnsi="Arial"/>
                  <w:sz w:val="16"/>
                  <w:szCs w:val="16"/>
                  <w:color w:val="0000FF"/>
                </w:rPr>
                <w:t>amended April 21, 2016*</w:t>
              </w:r>
            </w:hyperlink>
          </w:p>
        </w:tc>
        <w:tc>
          <w:tcPr>
            <w:tcW w:w="260" w:type="dxa"/>
            <w:vAlign w:val="bottom"/>
            <w:tcBorders>
              <w:top w:val="single" w:sz="8" w:color="CCEEFF"/>
              <w:bottom w:val="single" w:sz="8" w:color="auto"/>
            </w:tcBorders>
            <w:gridSpan w:val="3"/>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auto"/>
              <w:right w:val="single" w:sz="8" w:color="auto"/>
            </w:tcBorders>
            <w:gridSpan w:val="2"/>
            <w:shd w:val="clear" w:color="auto" w:fill="CCEEFF"/>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ind w:left="20"/>
              <w:spacing w:after="0" w:line="142" w:lineRule="exact"/>
              <w:rPr>
                <w:sz w:val="20"/>
                <w:szCs w:val="20"/>
                <w:color w:val="auto"/>
              </w:rPr>
            </w:pPr>
            <w:r>
              <w:rPr>
                <w:rFonts w:ascii="Arial" w:cs="Arial" w:eastAsia="Arial" w:hAnsi="Arial"/>
                <w:sz w:val="16"/>
                <w:szCs w:val="16"/>
                <w:color w:val="auto"/>
              </w:rPr>
              <w:t>14A</w:t>
            </w:r>
          </w:p>
        </w:tc>
        <w:tc>
          <w:tcPr>
            <w:tcW w:w="1040" w:type="dxa"/>
            <w:vAlign w:val="bottom"/>
            <w:tcBorders>
              <w:top w:val="single" w:sz="8" w:color="CCEEFF"/>
              <w:bottom w:val="single" w:sz="8" w:color="auto"/>
            </w:tcBorders>
            <w:shd w:val="clear" w:color="auto" w:fill="CCEEFF"/>
          </w:tcPr>
          <w:p>
            <w:pPr>
              <w:spacing w:after="0"/>
              <w:rPr>
                <w:sz w:val="15"/>
                <w:szCs w:val="15"/>
                <w:color w:val="auto"/>
              </w:rPr>
            </w:pPr>
          </w:p>
        </w:tc>
        <w:tc>
          <w:tcPr>
            <w:tcW w:w="196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tcPr>
          <w:p>
            <w:pPr>
              <w:ind w:left="40"/>
              <w:spacing w:after="0" w:line="169" w:lineRule="exact"/>
              <w:rPr>
                <w:sz w:val="20"/>
                <w:szCs w:val="20"/>
                <w:color w:val="auto"/>
              </w:rPr>
            </w:pPr>
            <w:r>
              <w:rPr>
                <w:rFonts w:ascii="Arial" w:cs="Arial" w:eastAsia="Arial" w:hAnsi="Arial"/>
                <w:sz w:val="16"/>
                <w:szCs w:val="16"/>
                <w:b w:val="1"/>
                <w:bCs w:val="1"/>
                <w:color w:val="auto"/>
              </w:rPr>
              <w:t>10(i)</w:t>
            </w:r>
          </w:p>
        </w:tc>
        <w:tc>
          <w:tcPr>
            <w:tcW w:w="20" w:type="dxa"/>
            <w:vAlign w:val="bottom"/>
          </w:tcPr>
          <w:p>
            <w:pPr>
              <w:spacing w:after="0"/>
              <w:rPr>
                <w:sz w:val="14"/>
                <w:szCs w:val="14"/>
                <w:color w:val="auto"/>
              </w:rPr>
            </w:pPr>
          </w:p>
        </w:tc>
        <w:tc>
          <w:tcPr>
            <w:tcW w:w="4020" w:type="dxa"/>
            <w:vAlign w:val="bottom"/>
            <w:tcBorders>
              <w:right w:val="single" w:sz="8" w:color="auto"/>
            </w:tcBorders>
            <w:gridSpan w:val="20"/>
          </w:tcPr>
          <w:p>
            <w:pPr>
              <w:spacing w:after="0" w:line="169" w:lineRule="exact"/>
              <w:rPr>
                <w:rFonts w:ascii="Arial" w:cs="Arial" w:eastAsia="Arial" w:hAnsi="Arial"/>
                <w:sz w:val="16"/>
                <w:szCs w:val="16"/>
                <w:color w:val="0000FF"/>
              </w:rPr>
            </w:pPr>
            <w:hyperlink r:id="rId102">
              <w:r>
                <w:rPr>
                  <w:rFonts w:ascii="Arial" w:cs="Arial" w:eastAsia="Arial" w:hAnsi="Arial"/>
                  <w:sz w:val="16"/>
                  <w:szCs w:val="16"/>
                  <w:color w:val="0000FF"/>
                </w:rPr>
                <w:t>Texas Instruments 2009 Director Compensation Plan as</w:t>
              </w:r>
            </w:hyperlink>
          </w:p>
        </w:tc>
        <w:tc>
          <w:tcPr>
            <w:tcW w:w="520" w:type="dxa"/>
            <w:vAlign w:val="bottom"/>
          </w:tcPr>
          <w:p>
            <w:pPr>
              <w:ind w:left="20"/>
              <w:spacing w:after="0" w:line="169" w:lineRule="exact"/>
              <w:rPr>
                <w:sz w:val="20"/>
                <w:szCs w:val="20"/>
                <w:color w:val="auto"/>
              </w:rPr>
            </w:pPr>
            <w:r>
              <w:rPr>
                <w:rFonts w:ascii="Arial" w:cs="Arial" w:eastAsia="Arial" w:hAnsi="Arial"/>
                <w:sz w:val="16"/>
                <w:szCs w:val="16"/>
                <w:color w:val="auto"/>
              </w:rPr>
              <w:t>10-K</w:t>
            </w:r>
          </w:p>
        </w:tc>
        <w:tc>
          <w:tcPr>
            <w:tcW w:w="1040" w:type="dxa"/>
            <w:vAlign w:val="bottom"/>
          </w:tcPr>
          <w:p>
            <w:pPr>
              <w:ind w:left="140"/>
              <w:spacing w:after="0" w:line="169" w:lineRule="exact"/>
              <w:rPr>
                <w:sz w:val="20"/>
                <w:szCs w:val="20"/>
                <w:color w:val="auto"/>
              </w:rPr>
            </w:pPr>
            <w:r>
              <w:rPr>
                <w:rFonts w:ascii="Arial" w:cs="Arial" w:eastAsia="Arial" w:hAnsi="Arial"/>
                <w:sz w:val="16"/>
                <w:szCs w:val="16"/>
                <w:color w:val="auto"/>
              </w:rPr>
              <w:t>001-3761</w:t>
            </w:r>
          </w:p>
        </w:tc>
        <w:tc>
          <w:tcPr>
            <w:tcW w:w="1960" w:type="dxa"/>
            <w:vAlign w:val="bottom"/>
          </w:tcPr>
          <w:p>
            <w:pPr>
              <w:ind w:left="300"/>
              <w:spacing w:after="0" w:line="169" w:lineRule="exact"/>
              <w:rPr>
                <w:sz w:val="20"/>
                <w:szCs w:val="20"/>
                <w:color w:val="auto"/>
              </w:rPr>
            </w:pPr>
            <w:r>
              <w:rPr>
                <w:rFonts w:ascii="Arial" w:cs="Arial" w:eastAsia="Arial" w:hAnsi="Arial"/>
                <w:sz w:val="16"/>
                <w:szCs w:val="16"/>
                <w:color w:val="auto"/>
              </w:rPr>
              <w:t>February 23, 2017</w:t>
            </w:r>
          </w:p>
        </w:tc>
        <w:tc>
          <w:tcPr>
            <w:tcW w:w="1580" w:type="dxa"/>
            <w:vAlign w:val="bottom"/>
            <w:tcBorders>
              <w:right w:val="single" w:sz="8" w:color="auto"/>
            </w:tcBorders>
          </w:tcPr>
          <w:p>
            <w:pPr>
              <w:ind w:left="60"/>
              <w:spacing w:after="0" w:line="169" w:lineRule="exact"/>
              <w:rPr>
                <w:sz w:val="20"/>
                <w:szCs w:val="20"/>
                <w:color w:val="auto"/>
              </w:rPr>
            </w:pPr>
            <w:r>
              <w:rPr>
                <w:rFonts w:ascii="Arial" w:cs="Arial" w:eastAsia="Arial" w:hAnsi="Arial"/>
                <w:sz w:val="16"/>
                <w:szCs w:val="16"/>
                <w:color w:val="auto"/>
              </w:rPr>
              <w:t>10(n)</w:t>
            </w:r>
          </w:p>
        </w:tc>
        <w:tc>
          <w:tcPr>
            <w:tcW w:w="9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40" w:type="dxa"/>
            <w:vAlign w:val="bottom"/>
            <w:tcBorders>
              <w:left w:val="single" w:sz="8" w:color="auto"/>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3600" w:type="dxa"/>
            <w:vAlign w:val="bottom"/>
            <w:tcBorders>
              <w:top w:val="single" w:sz="8" w:color="0000FF"/>
            </w:tcBorders>
            <w:gridSpan w:val="16"/>
          </w:tcPr>
          <w:p>
            <w:pPr>
              <w:spacing w:after="0" w:line="142" w:lineRule="exact"/>
              <w:rPr>
                <w:rFonts w:ascii="Arial" w:cs="Arial" w:eastAsia="Arial" w:hAnsi="Arial"/>
                <w:sz w:val="16"/>
                <w:szCs w:val="16"/>
                <w:color w:val="0000FF"/>
              </w:rPr>
            </w:pPr>
            <w:hyperlink r:id="rId102">
              <w:r>
                <w:rPr>
                  <w:rFonts w:ascii="Arial" w:cs="Arial" w:eastAsia="Arial" w:hAnsi="Arial"/>
                  <w:sz w:val="16"/>
                  <w:szCs w:val="16"/>
                  <w:color w:val="0000FF"/>
                </w:rPr>
                <w:t>amended January 19, 2012</w:t>
              </w:r>
            </w:hyperlink>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right w:val="single" w:sz="8" w:color="auto"/>
            </w:tcBorders>
            <w:gridSpan w:val="2"/>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80" w:type="dxa"/>
            <w:vAlign w:val="bottom"/>
            <w:tcBorders>
              <w:right w:val="single" w:sz="8" w:color="auto"/>
            </w:tcBorders>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top w:val="single" w:sz="8" w:color="0000FF"/>
              <w:bottom w:val="single" w:sz="8" w:color="auto"/>
            </w:tcBorders>
          </w:tcPr>
          <w:p>
            <w:pPr>
              <w:spacing w:after="0" w:line="20" w:lineRule="exact"/>
              <w:rPr>
                <w:sz w:val="1"/>
                <w:szCs w:val="1"/>
                <w:color w:val="auto"/>
              </w:rPr>
            </w:pPr>
          </w:p>
        </w:tc>
        <w:tc>
          <w:tcPr>
            <w:tcW w:w="80" w:type="dxa"/>
            <w:vAlign w:val="bottom"/>
            <w:tcBorders>
              <w:top w:val="single" w:sz="8" w:color="0000FF"/>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10(j)</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69" w:lineRule="exact"/>
              <w:rPr>
                <w:rFonts w:ascii="Arial" w:cs="Arial" w:eastAsia="Arial" w:hAnsi="Arial"/>
                <w:sz w:val="16"/>
                <w:szCs w:val="16"/>
                <w:color w:val="0000FF"/>
              </w:rPr>
            </w:pPr>
            <w:hyperlink r:id="rId103">
              <w:r>
                <w:rPr>
                  <w:rFonts w:ascii="Arial" w:cs="Arial" w:eastAsia="Arial" w:hAnsi="Arial"/>
                  <w:sz w:val="16"/>
                  <w:szCs w:val="16"/>
                  <w:color w:val="0000FF"/>
                </w:rPr>
                <w:t>Texas Instruments 2018 Director Compensation Plan as</w:t>
              </w:r>
            </w:hyperlink>
          </w:p>
        </w:tc>
        <w:tc>
          <w:tcPr>
            <w:tcW w:w="5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10-K</w:t>
            </w:r>
          </w:p>
        </w:tc>
        <w:tc>
          <w:tcPr>
            <w:tcW w:w="1040" w:type="dxa"/>
            <w:vAlign w:val="bottom"/>
            <w:shd w:val="clear" w:color="auto" w:fill="CCEEFF"/>
          </w:tcPr>
          <w:p>
            <w:pPr>
              <w:ind w:left="140"/>
              <w:spacing w:after="0" w:line="169" w:lineRule="exact"/>
              <w:rPr>
                <w:sz w:val="20"/>
                <w:szCs w:val="20"/>
                <w:color w:val="auto"/>
              </w:rPr>
            </w:pPr>
            <w:r>
              <w:rPr>
                <w:rFonts w:ascii="Arial" w:cs="Arial" w:eastAsia="Arial" w:hAnsi="Arial"/>
                <w:sz w:val="16"/>
                <w:szCs w:val="16"/>
                <w:color w:val="auto"/>
              </w:rPr>
              <w:t>001-3761</w:t>
            </w:r>
          </w:p>
        </w:tc>
        <w:tc>
          <w:tcPr>
            <w:tcW w:w="1960" w:type="dxa"/>
            <w:vAlign w:val="bottom"/>
            <w:shd w:val="clear" w:color="auto" w:fill="CCEEFF"/>
          </w:tcPr>
          <w:p>
            <w:pPr>
              <w:ind w:left="300"/>
              <w:spacing w:after="0" w:line="169" w:lineRule="exact"/>
              <w:rPr>
                <w:sz w:val="20"/>
                <w:szCs w:val="20"/>
                <w:color w:val="auto"/>
              </w:rPr>
            </w:pPr>
            <w:r>
              <w:rPr>
                <w:rFonts w:ascii="Arial" w:cs="Arial" w:eastAsia="Arial" w:hAnsi="Arial"/>
                <w:sz w:val="16"/>
                <w:szCs w:val="16"/>
                <w:color w:val="auto"/>
              </w:rPr>
              <w:t>February 20, 2020</w:t>
            </w:r>
          </w:p>
        </w:tc>
        <w:tc>
          <w:tcPr>
            <w:tcW w:w="1580" w:type="dxa"/>
            <w:vAlign w:val="bottom"/>
            <w:tcBorders>
              <w:right w:val="single" w:sz="8" w:color="auto"/>
            </w:tcBorders>
            <w:shd w:val="clear" w:color="auto" w:fill="CCEEFF"/>
          </w:tcPr>
          <w:p>
            <w:pPr>
              <w:ind w:left="60"/>
              <w:spacing w:after="0" w:line="169" w:lineRule="exact"/>
              <w:rPr>
                <w:sz w:val="20"/>
                <w:szCs w:val="20"/>
                <w:color w:val="auto"/>
              </w:rPr>
            </w:pPr>
            <w:r>
              <w:rPr>
                <w:rFonts w:ascii="Arial" w:cs="Arial" w:eastAsia="Arial" w:hAnsi="Arial"/>
                <w:sz w:val="16"/>
                <w:szCs w:val="16"/>
                <w:color w:val="auto"/>
              </w:rPr>
              <w:t>10(k)</w:t>
            </w:r>
          </w:p>
        </w:tc>
        <w:tc>
          <w:tcPr>
            <w:tcW w:w="980" w:type="dxa"/>
            <w:vAlign w:val="bottom"/>
            <w:tcBorders>
              <w:right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140" w:type="dxa"/>
            <w:vAlign w:val="bottom"/>
            <w:tcBorders>
              <w:top w:val="single" w:sz="8" w:color="CCEEFF"/>
              <w:left w:val="single" w:sz="8" w:color="auto"/>
              <w:bottom w:val="single" w:sz="8" w:color="auto"/>
              <w:right w:val="single" w:sz="8" w:color="auto"/>
            </w:tcBorders>
            <w:shd w:val="clear" w:color="auto" w:fill="CCEEFF"/>
          </w:tcPr>
          <w:p>
            <w:pPr>
              <w:spacing w:after="0"/>
              <w:rPr>
                <w:sz w:val="15"/>
                <w:szCs w:val="15"/>
                <w:color w:val="auto"/>
              </w:rPr>
            </w:pPr>
          </w:p>
        </w:tc>
        <w:tc>
          <w:tcPr>
            <w:tcW w:w="20" w:type="dxa"/>
            <w:vAlign w:val="bottom"/>
            <w:tcBorders>
              <w:top w:val="single" w:sz="8" w:color="CCEEFF"/>
              <w:bottom w:val="single" w:sz="8" w:color="auto"/>
            </w:tcBorders>
            <w:shd w:val="clear" w:color="auto" w:fill="CCEEFF"/>
          </w:tcPr>
          <w:p>
            <w:pPr>
              <w:spacing w:after="0"/>
              <w:rPr>
                <w:sz w:val="15"/>
                <w:szCs w:val="15"/>
                <w:color w:val="auto"/>
              </w:rPr>
            </w:pPr>
          </w:p>
        </w:tc>
        <w:tc>
          <w:tcPr>
            <w:tcW w:w="3600" w:type="dxa"/>
            <w:vAlign w:val="bottom"/>
            <w:tcBorders>
              <w:top w:val="single" w:sz="8" w:color="0000FF"/>
              <w:bottom w:val="single" w:sz="8" w:color="auto"/>
            </w:tcBorders>
            <w:gridSpan w:val="16"/>
            <w:shd w:val="clear" w:color="auto" w:fill="CCEEFF"/>
          </w:tcPr>
          <w:p>
            <w:pPr>
              <w:spacing w:after="0" w:line="142" w:lineRule="exact"/>
              <w:rPr>
                <w:rFonts w:ascii="Arial" w:cs="Arial" w:eastAsia="Arial" w:hAnsi="Arial"/>
                <w:sz w:val="16"/>
                <w:szCs w:val="16"/>
                <w:color w:val="0000FF"/>
              </w:rPr>
            </w:pPr>
            <w:hyperlink r:id="rId103">
              <w:r>
                <w:rPr>
                  <w:rFonts w:ascii="Arial" w:cs="Arial" w:eastAsia="Arial" w:hAnsi="Arial"/>
                  <w:sz w:val="16"/>
                  <w:szCs w:val="16"/>
                  <w:color w:val="0000FF"/>
                </w:rPr>
                <w:t>amended December 5, 2019</w:t>
              </w:r>
            </w:hyperlink>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120" w:type="dxa"/>
            <w:vAlign w:val="bottom"/>
            <w:tcBorders>
              <w:top w:val="single" w:sz="8" w:color="CCEEFF"/>
              <w:bottom w:val="single" w:sz="8" w:color="auto"/>
            </w:tcBorders>
            <w:shd w:val="clear" w:color="auto" w:fill="CCEEFF"/>
          </w:tcPr>
          <w:p>
            <w:pPr>
              <w:spacing w:after="0"/>
              <w:rPr>
                <w:sz w:val="15"/>
                <w:szCs w:val="15"/>
                <w:color w:val="auto"/>
              </w:rPr>
            </w:pPr>
          </w:p>
        </w:tc>
        <w:tc>
          <w:tcPr>
            <w:tcW w:w="180" w:type="dxa"/>
            <w:vAlign w:val="bottom"/>
            <w:tcBorders>
              <w:top w:val="single" w:sz="8" w:color="CCEEFF"/>
              <w:bottom w:val="single" w:sz="8" w:color="auto"/>
              <w:right w:val="single" w:sz="8" w:color="auto"/>
            </w:tcBorders>
            <w:gridSpan w:val="2"/>
            <w:shd w:val="clear" w:color="auto" w:fill="CCEEFF"/>
          </w:tcPr>
          <w:p>
            <w:pPr>
              <w:spacing w:after="0"/>
              <w:rPr>
                <w:sz w:val="15"/>
                <w:szCs w:val="15"/>
                <w:color w:val="auto"/>
              </w:rPr>
            </w:pPr>
          </w:p>
        </w:tc>
        <w:tc>
          <w:tcPr>
            <w:tcW w:w="520" w:type="dxa"/>
            <w:vAlign w:val="bottom"/>
            <w:tcBorders>
              <w:top w:val="single" w:sz="8" w:color="CCEEFF"/>
              <w:bottom w:val="single" w:sz="8" w:color="auto"/>
            </w:tcBorders>
            <w:shd w:val="clear" w:color="auto" w:fill="CCEEFF"/>
          </w:tcPr>
          <w:p>
            <w:pPr>
              <w:spacing w:after="0"/>
              <w:rPr>
                <w:sz w:val="15"/>
                <w:szCs w:val="15"/>
                <w:color w:val="auto"/>
              </w:rPr>
            </w:pPr>
          </w:p>
        </w:tc>
        <w:tc>
          <w:tcPr>
            <w:tcW w:w="1040" w:type="dxa"/>
            <w:vAlign w:val="bottom"/>
            <w:tcBorders>
              <w:top w:val="single" w:sz="8" w:color="CCEEFF"/>
              <w:bottom w:val="single" w:sz="8" w:color="auto"/>
            </w:tcBorders>
            <w:shd w:val="clear" w:color="auto" w:fill="CCEEFF"/>
          </w:tcPr>
          <w:p>
            <w:pPr>
              <w:spacing w:after="0"/>
              <w:rPr>
                <w:sz w:val="15"/>
                <w:szCs w:val="15"/>
                <w:color w:val="auto"/>
              </w:rPr>
            </w:pPr>
          </w:p>
        </w:tc>
        <w:tc>
          <w:tcPr>
            <w:tcW w:w="1960" w:type="dxa"/>
            <w:vAlign w:val="bottom"/>
            <w:tcBorders>
              <w:top w:val="single" w:sz="8" w:color="CCEEFF"/>
              <w:bottom w:val="single" w:sz="8" w:color="auto"/>
            </w:tcBorders>
            <w:shd w:val="clear" w:color="auto" w:fill="CCEEFF"/>
          </w:tcPr>
          <w:p>
            <w:pPr>
              <w:spacing w:after="0"/>
              <w:rPr>
                <w:sz w:val="15"/>
                <w:szCs w:val="15"/>
                <w:color w:val="auto"/>
              </w:rPr>
            </w:pPr>
          </w:p>
        </w:tc>
        <w:tc>
          <w:tcPr>
            <w:tcW w:w="15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980" w:type="dxa"/>
            <w:vAlign w:val="bottom"/>
            <w:tcBorders>
              <w:top w:val="single" w:sz="8" w:color="CCEEFF"/>
              <w:bottom w:val="single" w:sz="8" w:color="auto"/>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21</w:t>
            </w:r>
          </w:p>
        </w:tc>
        <w:tc>
          <w:tcPr>
            <w:tcW w:w="20" w:type="dxa"/>
            <w:vAlign w:val="bottom"/>
            <w:tcBorders>
              <w:bottom w:val="single" w:sz="8" w:color="auto"/>
            </w:tcBorders>
          </w:tcPr>
          <w:p>
            <w:pPr>
              <w:spacing w:after="0"/>
              <w:rPr>
                <w:sz w:val="17"/>
                <w:szCs w:val="17"/>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w:anchor="page67">
              <w:r>
                <w:rPr>
                  <w:rFonts w:ascii="Arial" w:cs="Arial" w:eastAsia="Arial" w:hAnsi="Arial"/>
                  <w:sz w:val="16"/>
                  <w:szCs w:val="16"/>
                  <w:u w:val="single" w:color="auto"/>
                  <w:color w:val="0000FF"/>
                </w:rPr>
                <w:t>List of Subsidiaries of the Registrant</w:t>
              </w:r>
            </w:hyperlink>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23</w:t>
            </w:r>
          </w:p>
        </w:tc>
        <w:tc>
          <w:tcPr>
            <w:tcW w:w="20" w:type="dxa"/>
            <w:vAlign w:val="bottom"/>
            <w:tcBorders>
              <w:bottom w:val="single" w:sz="8" w:color="auto"/>
            </w:tcBorders>
            <w:shd w:val="clear" w:color="auto" w:fill="CCEEFF"/>
          </w:tcPr>
          <w:p>
            <w:pPr>
              <w:spacing w:after="0"/>
              <w:rPr>
                <w:sz w:val="18"/>
                <w:szCs w:val="18"/>
                <w:color w:val="auto"/>
              </w:rPr>
            </w:pPr>
          </w:p>
        </w:tc>
        <w:tc>
          <w:tcPr>
            <w:tcW w:w="4020" w:type="dxa"/>
            <w:vAlign w:val="bottom"/>
            <w:tcBorders>
              <w:bottom w:val="single" w:sz="8" w:color="auto"/>
              <w:right w:val="single" w:sz="8" w:color="auto"/>
            </w:tcBorders>
            <w:gridSpan w:val="20"/>
            <w:shd w:val="clear" w:color="auto" w:fill="CCEEFF"/>
          </w:tcPr>
          <w:p>
            <w:pPr>
              <w:spacing w:after="0"/>
              <w:rPr>
                <w:rFonts w:ascii="Arial" w:cs="Arial" w:eastAsia="Arial" w:hAnsi="Arial"/>
                <w:sz w:val="16"/>
                <w:szCs w:val="16"/>
                <w:u w:val="single" w:color="auto"/>
                <w:color w:val="0000FF"/>
                <w:w w:val="94"/>
              </w:rPr>
            </w:pPr>
            <w:hyperlink w:anchor="page69">
              <w:r>
                <w:rPr>
                  <w:rFonts w:ascii="Arial" w:cs="Arial" w:eastAsia="Arial" w:hAnsi="Arial"/>
                  <w:sz w:val="16"/>
                  <w:szCs w:val="16"/>
                  <w:u w:val="single" w:color="auto"/>
                  <w:color w:val="0000FF"/>
                  <w:w w:val="94"/>
                </w:rPr>
                <w:t>Consent of Independent Registered Public Accounting Firm</w:t>
              </w:r>
            </w:hyperlink>
          </w:p>
        </w:tc>
        <w:tc>
          <w:tcPr>
            <w:tcW w:w="5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72"/>
        </w:trPr>
        <w:tc>
          <w:tcPr>
            <w:tcW w:w="1140" w:type="dxa"/>
            <w:vAlign w:val="bottom"/>
            <w:tcBorders>
              <w:left w:val="single" w:sz="8" w:color="auto"/>
              <w:right w:val="single" w:sz="8" w:color="auto"/>
            </w:tcBorders>
          </w:tcPr>
          <w:p>
            <w:pPr>
              <w:ind w:left="40"/>
              <w:spacing w:after="0" w:line="172" w:lineRule="exact"/>
              <w:rPr>
                <w:sz w:val="20"/>
                <w:szCs w:val="20"/>
                <w:color w:val="auto"/>
              </w:rPr>
            </w:pPr>
            <w:r>
              <w:rPr>
                <w:rFonts w:ascii="Arial" w:cs="Arial" w:eastAsia="Arial" w:hAnsi="Arial"/>
                <w:sz w:val="16"/>
                <w:szCs w:val="16"/>
                <w:b w:val="1"/>
                <w:bCs w:val="1"/>
                <w:color w:val="auto"/>
              </w:rPr>
              <w:t>31(a)</w:t>
            </w:r>
          </w:p>
        </w:tc>
        <w:tc>
          <w:tcPr>
            <w:tcW w:w="20" w:type="dxa"/>
            <w:vAlign w:val="bottom"/>
          </w:tcPr>
          <w:p>
            <w:pPr>
              <w:spacing w:after="0"/>
              <w:rPr>
                <w:sz w:val="14"/>
                <w:szCs w:val="14"/>
                <w:color w:val="auto"/>
              </w:rPr>
            </w:pPr>
          </w:p>
        </w:tc>
        <w:tc>
          <w:tcPr>
            <w:tcW w:w="4020" w:type="dxa"/>
            <w:vAlign w:val="bottom"/>
            <w:tcBorders>
              <w:right w:val="single" w:sz="8" w:color="auto"/>
            </w:tcBorders>
            <w:gridSpan w:val="20"/>
          </w:tcPr>
          <w:p>
            <w:pPr>
              <w:spacing w:after="0" w:line="172" w:lineRule="exact"/>
              <w:rPr>
                <w:rFonts w:ascii="Arial" w:cs="Arial" w:eastAsia="Arial" w:hAnsi="Arial"/>
                <w:sz w:val="16"/>
                <w:szCs w:val="16"/>
                <w:color w:val="0000FF"/>
                <w:w w:val="99"/>
              </w:rPr>
            </w:pPr>
            <w:hyperlink w:anchor="page70">
              <w:r>
                <w:rPr>
                  <w:rFonts w:ascii="Arial" w:cs="Arial" w:eastAsia="Arial" w:hAnsi="Arial"/>
                  <w:sz w:val="16"/>
                  <w:szCs w:val="16"/>
                  <w:u w:val="single" w:color="auto"/>
                  <w:color w:val="0000FF"/>
                  <w:w w:val="99"/>
                </w:rPr>
                <w:t>Rule 13a-</w:t>
              </w:r>
              <w:r>
                <w:rPr>
                  <w:rFonts w:ascii="Arial" w:cs="Arial" w:eastAsia="Arial" w:hAnsi="Arial"/>
                  <w:sz w:val="16"/>
                  <w:szCs w:val="16"/>
                  <w:color w:val="0000FF"/>
                  <w:w w:val="99"/>
                </w:rPr>
                <w:t>14(aRule 13a-14(a)/15(d)-14(a) Certification of</w:t>
              </w:r>
            </w:hyperlink>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1140" w:type="dxa"/>
            <w:vAlign w:val="bottom"/>
            <w:tcBorders>
              <w:left w:val="single" w:sz="8" w:color="auto"/>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80" w:type="dxa"/>
            <w:vAlign w:val="bottom"/>
            <w:tcBorders>
              <w:right w:val="single" w:sz="8" w:color="auto"/>
            </w:tcBorders>
          </w:tcPr>
          <w:p>
            <w:pPr>
              <w:spacing w:after="0" w:line="20" w:lineRule="exact"/>
              <w:rPr>
                <w:sz w:val="1"/>
                <w:szCs w:val="1"/>
                <w:color w:val="auto"/>
              </w:rPr>
            </w:pPr>
          </w:p>
        </w:tc>
        <w:tc>
          <w:tcPr>
            <w:tcW w:w="9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1140" w:type="dxa"/>
            <w:vAlign w:val="bottom"/>
            <w:tcBorders>
              <w:left w:val="single" w:sz="8" w:color="auto"/>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20" w:type="dxa"/>
            <w:vAlign w:val="bottom"/>
            <w:tcBorders>
              <w:right w:val="single" w:sz="8" w:color="auto"/>
            </w:tcBorders>
            <w:gridSpan w:val="20"/>
            <w:vMerge w:val="restart"/>
          </w:tcPr>
          <w:p>
            <w:pPr>
              <w:spacing w:after="0" w:line="142" w:lineRule="exact"/>
              <w:rPr>
                <w:rFonts w:ascii="Arial" w:cs="Arial" w:eastAsia="Arial" w:hAnsi="Arial"/>
                <w:sz w:val="16"/>
                <w:szCs w:val="16"/>
                <w:color w:val="0000FF"/>
              </w:rPr>
            </w:pPr>
            <w:hyperlink w:anchor="page70">
              <w:r>
                <w:rPr>
                  <w:rFonts w:ascii="Arial" w:cs="Arial" w:eastAsia="Arial" w:hAnsi="Arial"/>
                  <w:sz w:val="16"/>
                  <w:szCs w:val="16"/>
                  <w:color w:val="0000FF"/>
                </w:rPr>
                <w:t>Chief Executive Officer</w:t>
              </w:r>
            </w:hyperlink>
          </w:p>
        </w:tc>
        <w:tc>
          <w:tcPr>
            <w:tcW w:w="5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960" w:type="dxa"/>
            <w:vAlign w:val="bottom"/>
          </w:tcPr>
          <w:p>
            <w:pPr>
              <w:spacing w:after="0"/>
              <w:rPr>
                <w:sz w:val="8"/>
                <w:szCs w:val="8"/>
                <w:color w:val="auto"/>
              </w:rPr>
            </w:pPr>
          </w:p>
        </w:tc>
        <w:tc>
          <w:tcPr>
            <w:tcW w:w="1580" w:type="dxa"/>
            <w:vAlign w:val="bottom"/>
            <w:tcBorders>
              <w:right w:val="single" w:sz="8" w:color="auto"/>
            </w:tcBorders>
          </w:tcPr>
          <w:p>
            <w:pPr>
              <w:spacing w:after="0"/>
              <w:rPr>
                <w:sz w:val="8"/>
                <w:szCs w:val="8"/>
                <w:color w:val="auto"/>
              </w:rPr>
            </w:pPr>
          </w:p>
        </w:tc>
        <w:tc>
          <w:tcPr>
            <w:tcW w:w="9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4020" w:type="dxa"/>
            <w:vAlign w:val="bottom"/>
            <w:tcBorders>
              <w:right w:val="single" w:sz="8" w:color="auto"/>
            </w:tcBorders>
            <w:gridSpan w:val="20"/>
            <w:vMerge w:val="continue"/>
          </w:tcPr>
          <w:p>
            <w:pPr>
              <w:spacing w:after="0"/>
              <w:rPr>
                <w:sz w:val="4"/>
                <w:szCs w:val="4"/>
                <w:color w:val="auto"/>
              </w:rPr>
            </w:pPr>
          </w:p>
        </w:tc>
        <w:tc>
          <w:tcPr>
            <w:tcW w:w="5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960" w:type="dxa"/>
            <w:vAlign w:val="bottom"/>
          </w:tcPr>
          <w:p>
            <w:pPr>
              <w:spacing w:after="0"/>
              <w:rPr>
                <w:sz w:val="4"/>
                <w:szCs w:val="4"/>
                <w:color w:val="auto"/>
              </w:rPr>
            </w:pPr>
          </w:p>
        </w:tc>
        <w:tc>
          <w:tcPr>
            <w:tcW w:w="1580" w:type="dxa"/>
            <w:vAlign w:val="bottom"/>
            <w:tcBorders>
              <w:right w:val="single" w:sz="8" w:color="auto"/>
            </w:tcBorders>
          </w:tcPr>
          <w:p>
            <w:pPr>
              <w:spacing w:after="0"/>
              <w:rPr>
                <w:sz w:val="4"/>
                <w:szCs w:val="4"/>
                <w:color w:val="auto"/>
              </w:rPr>
            </w:pPr>
          </w:p>
        </w:tc>
        <w:tc>
          <w:tcPr>
            <w:tcW w:w="9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1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460" w:type="dxa"/>
            <w:vAlign w:val="bottom"/>
            <w:tcBorders>
              <w:top w:val="single" w:sz="8" w:color="0000FF"/>
              <w:bottom w:val="single" w:sz="8" w:color="auto"/>
            </w:tcBorders>
          </w:tcPr>
          <w:p>
            <w:pPr>
              <w:spacing w:after="0" w:line="20" w:lineRule="exact"/>
              <w:rPr>
                <w:sz w:val="1"/>
                <w:szCs w:val="1"/>
                <w:color w:val="auto"/>
              </w:rPr>
            </w:pPr>
          </w:p>
        </w:tc>
        <w:tc>
          <w:tcPr>
            <w:tcW w:w="120" w:type="dxa"/>
            <w:vAlign w:val="bottom"/>
            <w:tcBorders>
              <w:top w:val="single" w:sz="8" w:color="0000FF"/>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160" w:type="dxa"/>
            <w:vAlign w:val="bottom"/>
            <w:tcBorders>
              <w:top w:val="single" w:sz="8" w:color="0000FF"/>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140" w:type="dxa"/>
            <w:vAlign w:val="bottom"/>
            <w:tcBorders>
              <w:left w:val="single" w:sz="8" w:color="auto"/>
              <w:right w:val="single" w:sz="8" w:color="auto"/>
            </w:tcBorders>
            <w:shd w:val="clear" w:color="auto" w:fill="CCEEFF"/>
          </w:tcPr>
          <w:p>
            <w:pPr>
              <w:ind w:left="40"/>
              <w:spacing w:after="0" w:line="169" w:lineRule="exact"/>
              <w:rPr>
                <w:sz w:val="20"/>
                <w:szCs w:val="20"/>
                <w:color w:val="auto"/>
              </w:rPr>
            </w:pPr>
            <w:r>
              <w:rPr>
                <w:rFonts w:ascii="Arial" w:cs="Arial" w:eastAsia="Arial" w:hAnsi="Arial"/>
                <w:sz w:val="16"/>
                <w:szCs w:val="16"/>
                <w:b w:val="1"/>
                <w:bCs w:val="1"/>
                <w:color w:val="auto"/>
              </w:rPr>
              <w:t>31(b)</w:t>
            </w:r>
          </w:p>
        </w:tc>
        <w:tc>
          <w:tcPr>
            <w:tcW w:w="20" w:type="dxa"/>
            <w:vAlign w:val="bottom"/>
            <w:shd w:val="clear" w:color="auto" w:fill="CCEEFF"/>
          </w:tcPr>
          <w:p>
            <w:pPr>
              <w:spacing w:after="0"/>
              <w:rPr>
                <w:sz w:val="14"/>
                <w:szCs w:val="14"/>
                <w:color w:val="auto"/>
              </w:rPr>
            </w:pPr>
          </w:p>
        </w:tc>
        <w:tc>
          <w:tcPr>
            <w:tcW w:w="4020" w:type="dxa"/>
            <w:vAlign w:val="bottom"/>
            <w:tcBorders>
              <w:right w:val="single" w:sz="8" w:color="auto"/>
            </w:tcBorders>
            <w:gridSpan w:val="20"/>
            <w:shd w:val="clear" w:color="auto" w:fill="CCEEFF"/>
          </w:tcPr>
          <w:p>
            <w:pPr>
              <w:spacing w:after="0" w:line="169" w:lineRule="exact"/>
              <w:rPr>
                <w:rFonts w:ascii="Arial" w:cs="Arial" w:eastAsia="Arial" w:hAnsi="Arial"/>
                <w:sz w:val="16"/>
                <w:szCs w:val="16"/>
                <w:color w:val="0000FF"/>
                <w:w w:val="97"/>
              </w:rPr>
            </w:pPr>
            <w:hyperlink w:anchor="page71">
              <w:r>
                <w:rPr>
                  <w:rFonts w:ascii="Arial" w:cs="Arial" w:eastAsia="Arial" w:hAnsi="Arial"/>
                  <w:sz w:val="16"/>
                  <w:szCs w:val="16"/>
                  <w:color w:val="0000FF"/>
                  <w:w w:val="97"/>
                </w:rPr>
                <w:t>Rule 13a-14(a)/15(d)-14(a) Certification of Chief Financial</w:t>
              </w:r>
            </w:hyperlink>
          </w:p>
        </w:tc>
        <w:tc>
          <w:tcPr>
            <w:tcW w:w="5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960" w:type="dxa"/>
            <w:vAlign w:val="bottom"/>
            <w:shd w:val="clear" w:color="auto" w:fill="CCEEFF"/>
          </w:tcPr>
          <w:p>
            <w:pPr>
              <w:spacing w:after="0"/>
              <w:rPr>
                <w:sz w:val="14"/>
                <w:szCs w:val="14"/>
                <w:color w:val="auto"/>
              </w:rPr>
            </w:pPr>
          </w:p>
        </w:tc>
        <w:tc>
          <w:tcPr>
            <w:tcW w:w="1580" w:type="dxa"/>
            <w:vAlign w:val="bottom"/>
            <w:tcBorders>
              <w:right w:val="single" w:sz="8" w:color="auto"/>
            </w:tcBorders>
            <w:shd w:val="clear" w:color="auto" w:fill="CCEEFF"/>
          </w:tcPr>
          <w:p>
            <w:pPr>
              <w:spacing w:after="0"/>
              <w:rPr>
                <w:sz w:val="14"/>
                <w:szCs w:val="14"/>
                <w:color w:val="auto"/>
              </w:rPr>
            </w:pPr>
          </w:p>
        </w:tc>
        <w:tc>
          <w:tcPr>
            <w:tcW w:w="980" w:type="dxa"/>
            <w:vAlign w:val="bottom"/>
            <w:tcBorders>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95"/>
        </w:trPr>
        <w:tc>
          <w:tcPr>
            <w:tcW w:w="1140" w:type="dxa"/>
            <w:vAlign w:val="bottom"/>
            <w:tcBorders>
              <w:top w:val="single" w:sz="8" w:color="CCEEFF"/>
              <w:left w:val="single" w:sz="8" w:color="auto"/>
              <w:right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840" w:type="dxa"/>
            <w:vAlign w:val="bottom"/>
            <w:tcBorders>
              <w:top w:val="single" w:sz="8" w:color="0000FF"/>
            </w:tcBorders>
            <w:gridSpan w:val="18"/>
            <w:vMerge w:val="restart"/>
            <w:shd w:val="clear" w:color="auto" w:fill="CCEEFF"/>
          </w:tcPr>
          <w:p>
            <w:pPr>
              <w:spacing w:after="0" w:line="142" w:lineRule="exact"/>
              <w:rPr>
                <w:rFonts w:ascii="Arial" w:cs="Arial" w:eastAsia="Arial" w:hAnsi="Arial"/>
                <w:sz w:val="16"/>
                <w:szCs w:val="16"/>
                <w:color w:val="0000FF"/>
              </w:rPr>
            </w:pPr>
            <w:hyperlink w:anchor="page71">
              <w:r>
                <w:rPr>
                  <w:rFonts w:ascii="Arial" w:cs="Arial" w:eastAsia="Arial" w:hAnsi="Arial"/>
                  <w:sz w:val="16"/>
                  <w:szCs w:val="16"/>
                  <w:color w:val="0000FF"/>
                </w:rPr>
                <w:t>Officer</w:t>
              </w:r>
            </w:hyperlink>
          </w:p>
        </w:tc>
        <w:tc>
          <w:tcPr>
            <w:tcW w:w="180" w:type="dxa"/>
            <w:vAlign w:val="bottom"/>
            <w:tcBorders>
              <w:top w:val="single" w:sz="8" w:color="CCEEFF"/>
              <w:right w:val="single" w:sz="8" w:color="auto"/>
            </w:tcBorders>
            <w:gridSpan w:val="2"/>
            <w:vMerge w:val="restart"/>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1040" w:type="dxa"/>
            <w:vAlign w:val="bottom"/>
            <w:tcBorders>
              <w:top w:val="single" w:sz="8" w:color="CCEEFF"/>
            </w:tcBorders>
            <w:shd w:val="clear" w:color="auto" w:fill="CCEEFF"/>
          </w:tcPr>
          <w:p>
            <w:pPr>
              <w:spacing w:after="0"/>
              <w:rPr>
                <w:sz w:val="8"/>
                <w:szCs w:val="8"/>
                <w:color w:val="auto"/>
              </w:rPr>
            </w:pPr>
          </w:p>
        </w:tc>
        <w:tc>
          <w:tcPr>
            <w:tcW w:w="1960" w:type="dxa"/>
            <w:vAlign w:val="bottom"/>
            <w:tcBorders>
              <w:top w:val="single" w:sz="8" w:color="CCEEFF"/>
            </w:tcBorders>
            <w:shd w:val="clear" w:color="auto" w:fill="CCEEFF"/>
          </w:tcPr>
          <w:p>
            <w:pPr>
              <w:spacing w:after="0"/>
              <w:rPr>
                <w:sz w:val="8"/>
                <w:szCs w:val="8"/>
                <w:color w:val="auto"/>
              </w:rPr>
            </w:pPr>
          </w:p>
        </w:tc>
        <w:tc>
          <w:tcPr>
            <w:tcW w:w="1580" w:type="dxa"/>
            <w:vAlign w:val="bottom"/>
            <w:tcBorders>
              <w:top w:val="single" w:sz="8" w:color="CCEEFF"/>
              <w:right w:val="single" w:sz="8" w:color="auto"/>
            </w:tcBorders>
            <w:shd w:val="clear" w:color="auto" w:fill="CCEEFF"/>
          </w:tcPr>
          <w:p>
            <w:pPr>
              <w:spacing w:after="0"/>
              <w:rPr>
                <w:sz w:val="8"/>
                <w:szCs w:val="8"/>
                <w:color w:val="auto"/>
              </w:rPr>
            </w:pPr>
          </w:p>
        </w:tc>
        <w:tc>
          <w:tcPr>
            <w:tcW w:w="980" w:type="dxa"/>
            <w:vAlign w:val="bottom"/>
            <w:tcBorders>
              <w:top w:val="single" w:sz="8" w:color="CCEEFF"/>
              <w:right w:val="single" w:sz="8" w:color="auto"/>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1140" w:type="dxa"/>
            <w:vAlign w:val="bottom"/>
            <w:tcBorders>
              <w:left w:val="single" w:sz="8" w:color="auto"/>
              <w:bottom w:val="single" w:sz="8" w:color="auto"/>
              <w:right w:val="single" w:sz="8" w:color="auto"/>
            </w:tcBorders>
            <w:shd w:val="clear" w:color="auto" w:fill="CCEEFF"/>
          </w:tcPr>
          <w:p>
            <w:pPr>
              <w:spacing w:after="0"/>
              <w:rPr>
                <w:sz w:val="7"/>
                <w:szCs w:val="7"/>
                <w:color w:val="auto"/>
              </w:rPr>
            </w:pPr>
          </w:p>
        </w:tc>
        <w:tc>
          <w:tcPr>
            <w:tcW w:w="20" w:type="dxa"/>
            <w:vAlign w:val="bottom"/>
            <w:tcBorders>
              <w:bottom w:val="single" w:sz="8" w:color="auto"/>
            </w:tcBorders>
            <w:shd w:val="clear" w:color="auto" w:fill="CCEEFF"/>
          </w:tcPr>
          <w:p>
            <w:pPr>
              <w:spacing w:after="0"/>
              <w:rPr>
                <w:sz w:val="7"/>
                <w:szCs w:val="7"/>
                <w:color w:val="auto"/>
              </w:rPr>
            </w:pPr>
          </w:p>
        </w:tc>
        <w:tc>
          <w:tcPr>
            <w:tcW w:w="3840" w:type="dxa"/>
            <w:vAlign w:val="bottom"/>
            <w:tcBorders>
              <w:bottom w:val="single" w:sz="8" w:color="auto"/>
            </w:tcBorders>
            <w:gridSpan w:val="18"/>
            <w:vMerge w:val="continue"/>
            <w:shd w:val="clear" w:color="auto" w:fill="CCEEFF"/>
          </w:tcPr>
          <w:p>
            <w:pPr>
              <w:spacing w:after="0"/>
              <w:rPr>
                <w:sz w:val="7"/>
                <w:szCs w:val="7"/>
                <w:color w:val="auto"/>
              </w:rPr>
            </w:pPr>
          </w:p>
        </w:tc>
        <w:tc>
          <w:tcPr>
            <w:tcW w:w="180" w:type="dxa"/>
            <w:vAlign w:val="bottom"/>
            <w:tcBorders>
              <w:bottom w:val="single" w:sz="8" w:color="auto"/>
              <w:right w:val="single" w:sz="8" w:color="auto"/>
            </w:tcBorders>
            <w:gridSpan w:val="2"/>
            <w:vMerge w:val="continue"/>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shd w:val="clear" w:color="auto" w:fill="CCEEFF"/>
          </w:tcPr>
          <w:p>
            <w:pPr>
              <w:spacing w:after="0"/>
              <w:rPr>
                <w:sz w:val="7"/>
                <w:szCs w:val="7"/>
                <w:color w:val="auto"/>
              </w:rPr>
            </w:pPr>
          </w:p>
        </w:tc>
        <w:tc>
          <w:tcPr>
            <w:tcW w:w="1960" w:type="dxa"/>
            <w:vAlign w:val="bottom"/>
            <w:tcBorders>
              <w:bottom w:val="single" w:sz="8" w:color="auto"/>
            </w:tcBorders>
            <w:shd w:val="clear" w:color="auto" w:fill="CCEEFF"/>
          </w:tcPr>
          <w:p>
            <w:pPr>
              <w:spacing w:after="0"/>
              <w:rPr>
                <w:sz w:val="7"/>
                <w:szCs w:val="7"/>
                <w:color w:val="auto"/>
              </w:rPr>
            </w:pPr>
          </w:p>
        </w:tc>
        <w:tc>
          <w:tcPr>
            <w:tcW w:w="1580" w:type="dxa"/>
            <w:vAlign w:val="bottom"/>
            <w:tcBorders>
              <w:bottom w:val="single" w:sz="8" w:color="auto"/>
              <w:right w:val="single" w:sz="8" w:color="auto"/>
            </w:tcBorders>
            <w:shd w:val="clear" w:color="auto" w:fill="CCEEFF"/>
          </w:tcPr>
          <w:p>
            <w:pPr>
              <w:spacing w:after="0"/>
              <w:rPr>
                <w:sz w:val="7"/>
                <w:szCs w:val="7"/>
                <w:color w:val="auto"/>
              </w:rPr>
            </w:pPr>
          </w:p>
        </w:tc>
        <w:tc>
          <w:tcPr>
            <w:tcW w:w="980" w:type="dxa"/>
            <w:vAlign w:val="bottom"/>
            <w:tcBorders>
              <w:bottom w:val="single" w:sz="8" w:color="auto"/>
              <w:right w:val="single" w:sz="8" w:color="auto"/>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07"/>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32(a)</w:t>
            </w:r>
          </w:p>
        </w:tc>
        <w:tc>
          <w:tcPr>
            <w:tcW w:w="20" w:type="dxa"/>
            <w:vAlign w:val="bottom"/>
            <w:tcBorders>
              <w:bottom w:val="single" w:sz="8" w:color="auto"/>
            </w:tcBorders>
          </w:tcPr>
          <w:p>
            <w:pPr>
              <w:spacing w:after="0"/>
              <w:rPr>
                <w:sz w:val="17"/>
                <w:szCs w:val="17"/>
                <w:color w:val="auto"/>
              </w:rPr>
            </w:pPr>
          </w:p>
        </w:tc>
        <w:tc>
          <w:tcPr>
            <w:tcW w:w="4020" w:type="dxa"/>
            <w:vAlign w:val="bottom"/>
            <w:tcBorders>
              <w:bottom w:val="single" w:sz="8" w:color="auto"/>
              <w:right w:val="single" w:sz="8" w:color="auto"/>
            </w:tcBorders>
            <w:gridSpan w:val="20"/>
          </w:tcPr>
          <w:p>
            <w:pPr>
              <w:spacing w:after="0"/>
              <w:rPr>
                <w:rFonts w:ascii="Arial" w:cs="Arial" w:eastAsia="Arial" w:hAnsi="Arial"/>
                <w:sz w:val="16"/>
                <w:szCs w:val="16"/>
                <w:u w:val="single" w:color="auto"/>
                <w:color w:val="0000FF"/>
              </w:rPr>
            </w:pPr>
            <w:hyperlink w:anchor="page72">
              <w:r>
                <w:rPr>
                  <w:rFonts w:ascii="Arial" w:cs="Arial" w:eastAsia="Arial" w:hAnsi="Arial"/>
                  <w:sz w:val="16"/>
                  <w:szCs w:val="16"/>
                  <w:u w:val="single" w:color="auto"/>
                  <w:color w:val="0000FF"/>
                </w:rPr>
                <w:t>Section 1350 Certification of Chief Executive Officer</w:t>
              </w:r>
            </w:hyperlink>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spacing w:after="0"/>
              <w:rPr>
                <w:sz w:val="17"/>
                <w:szCs w:val="17"/>
                <w:color w:val="auto"/>
              </w:rPr>
            </w:pPr>
          </w:p>
        </w:tc>
        <w:tc>
          <w:tcPr>
            <w:tcW w:w="1580" w:type="dxa"/>
            <w:vAlign w:val="bottom"/>
            <w:tcBorders>
              <w:bottom w:val="single" w:sz="8" w:color="auto"/>
              <w:right w:val="single" w:sz="8" w:color="auto"/>
            </w:tcBorders>
          </w:tcPr>
          <w:p>
            <w:pPr>
              <w:spacing w:after="0"/>
              <w:rPr>
                <w:sz w:val="17"/>
                <w:szCs w:val="17"/>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201"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201" w:right="319" w:bottom="1440" w:gutter="0" w:footer="0" w:header="0"/>
          <w:type w:val="continuous"/>
        </w:sectPr>
      </w:pPr>
    </w:p>
    <w:bookmarkStart w:id="61" w:name="page62"/>
    <w:bookmarkEnd w:id="61"/>
    <w:tbl>
      <w:tblPr>
        <w:tblLayout w:type="fixed"/>
        <w:tblInd w:w="10" w:type="dxa"/>
        <w:tblCellMar>
          <w:top w:w="0" w:type="dxa"/>
          <w:left w:w="0" w:type="dxa"/>
          <w:bottom w:w="0" w:type="dxa"/>
          <w:right w:w="0" w:type="dxa"/>
        </w:tblCellMar>
      </w:tblPr>
      <w:tr>
        <w:trPr>
          <w:trHeight w:val="251"/>
        </w:trPr>
        <w:tc>
          <w:tcPr>
            <w:tcW w:w="1140" w:type="dxa"/>
            <w:vAlign w:val="bottom"/>
            <w:tcBorders>
              <w:top w:val="single" w:sz="8" w:color="auto"/>
              <w:left w:val="single" w:sz="8" w:color="auto"/>
              <w:right w:val="single" w:sz="8" w:color="auto"/>
            </w:tcBorders>
          </w:tcPr>
          <w:p>
            <w:pPr>
              <w:spacing w:after="0"/>
              <w:rPr>
                <w:sz w:val="21"/>
                <w:szCs w:val="21"/>
                <w:color w:val="auto"/>
              </w:rPr>
            </w:pPr>
          </w:p>
        </w:tc>
        <w:tc>
          <w:tcPr>
            <w:tcW w:w="4040" w:type="dxa"/>
            <w:vAlign w:val="bottom"/>
            <w:tcBorders>
              <w:top w:val="single" w:sz="8" w:color="auto"/>
              <w:right w:val="single" w:sz="8" w:color="auto"/>
            </w:tcBorders>
          </w:tcPr>
          <w:p>
            <w:pPr>
              <w:spacing w:after="0"/>
              <w:rPr>
                <w:sz w:val="21"/>
                <w:szCs w:val="21"/>
                <w:color w:val="auto"/>
              </w:rPr>
            </w:pPr>
          </w:p>
        </w:tc>
        <w:tc>
          <w:tcPr>
            <w:tcW w:w="1560" w:type="dxa"/>
            <w:vAlign w:val="bottom"/>
            <w:tcBorders>
              <w:top w:val="single" w:sz="8" w:color="auto"/>
              <w:bottom w:val="single" w:sz="8" w:color="auto"/>
            </w:tcBorders>
          </w:tcPr>
          <w:p>
            <w:pPr>
              <w:spacing w:after="0"/>
              <w:rPr>
                <w:sz w:val="21"/>
                <w:szCs w:val="21"/>
                <w:color w:val="auto"/>
              </w:rPr>
            </w:pPr>
          </w:p>
        </w:tc>
        <w:tc>
          <w:tcPr>
            <w:tcW w:w="196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b w:val="1"/>
                <w:bCs w:val="1"/>
                <w:color w:val="auto"/>
                <w:w w:val="93"/>
              </w:rPr>
              <w:t>Incorporated by Reference</w:t>
            </w:r>
          </w:p>
        </w:tc>
        <w:tc>
          <w:tcPr>
            <w:tcW w:w="1580" w:type="dxa"/>
            <w:vAlign w:val="bottom"/>
            <w:tcBorders>
              <w:top w:val="single" w:sz="8" w:color="auto"/>
              <w:bottom w:val="single" w:sz="8" w:color="auto"/>
              <w:right w:val="single" w:sz="8" w:color="auto"/>
            </w:tcBorders>
          </w:tcPr>
          <w:p>
            <w:pPr>
              <w:spacing w:after="0"/>
              <w:rPr>
                <w:sz w:val="21"/>
                <w:szCs w:val="21"/>
                <w:color w:val="auto"/>
              </w:rPr>
            </w:pPr>
          </w:p>
        </w:tc>
        <w:tc>
          <w:tcPr>
            <w:tcW w:w="980" w:type="dxa"/>
            <w:vAlign w:val="bottom"/>
            <w:tcBorders>
              <w:top w:val="single" w:sz="8" w:color="auto"/>
              <w:bottom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Filed or</w:t>
            </w:r>
          </w:p>
        </w:tc>
        <w:tc>
          <w:tcPr>
            <w:tcW w:w="0" w:type="dxa"/>
            <w:vAlign w:val="bottom"/>
          </w:tcPr>
          <w:p>
            <w:pPr>
              <w:spacing w:after="0"/>
              <w:rPr>
                <w:sz w:val="1"/>
                <w:szCs w:val="1"/>
                <w:color w:val="auto"/>
              </w:rPr>
            </w:pPr>
          </w:p>
        </w:tc>
      </w:tr>
      <w:tr>
        <w:trPr>
          <w:trHeight w:val="26"/>
        </w:trPr>
        <w:tc>
          <w:tcPr>
            <w:tcW w:w="11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6"/>
                <w:szCs w:val="16"/>
                <w:b w:val="1"/>
                <w:bCs w:val="1"/>
                <w:color w:val="auto"/>
                <w:w w:val="95"/>
              </w:rPr>
              <w:t>Designation of</w:t>
            </w:r>
          </w:p>
        </w:tc>
        <w:tc>
          <w:tcPr>
            <w:tcW w:w="4040" w:type="dxa"/>
            <w:vAlign w:val="bottom"/>
            <w:tcBorders>
              <w:right w:val="single" w:sz="8" w:color="auto"/>
            </w:tcBorders>
          </w:tcPr>
          <w:p>
            <w:pPr>
              <w:spacing w:after="0"/>
              <w:rPr>
                <w:sz w:val="2"/>
                <w:szCs w:val="2"/>
                <w:color w:val="auto"/>
              </w:rPr>
            </w:pPr>
          </w:p>
        </w:tc>
        <w:tc>
          <w:tcPr>
            <w:tcW w:w="156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580" w:type="dxa"/>
            <w:vAlign w:val="bottom"/>
            <w:tcBorders>
              <w:right w:val="single" w:sz="8" w:color="auto"/>
            </w:tcBorders>
          </w:tcPr>
          <w:p>
            <w:pPr>
              <w:spacing w:after="0"/>
              <w:rPr>
                <w:sz w:val="2"/>
                <w:szCs w:val="2"/>
                <w:color w:val="auto"/>
              </w:rPr>
            </w:pPr>
          </w:p>
        </w:tc>
        <w:tc>
          <w:tcPr>
            <w:tcW w:w="980" w:type="dxa"/>
            <w:vAlign w:val="bottom"/>
            <w:tcBorders>
              <w:right w:val="single" w:sz="8" w:color="auto"/>
            </w:tcBorders>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1140" w:type="dxa"/>
            <w:vAlign w:val="bottom"/>
            <w:tcBorders>
              <w:left w:val="single" w:sz="8" w:color="auto"/>
              <w:right w:val="single" w:sz="8" w:color="auto"/>
            </w:tcBorders>
            <w:vMerge w:val="continue"/>
          </w:tcPr>
          <w:p>
            <w:pPr>
              <w:spacing w:after="0"/>
              <w:rPr>
                <w:sz w:val="14"/>
                <w:szCs w:val="14"/>
                <w:color w:val="auto"/>
              </w:rPr>
            </w:pPr>
          </w:p>
        </w:tc>
        <w:tc>
          <w:tcPr>
            <w:tcW w:w="4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b w:val="1"/>
                <w:bCs w:val="1"/>
                <w:color w:val="auto"/>
              </w:rPr>
              <w:t>Description of Exhibit</w:t>
            </w:r>
          </w:p>
        </w:tc>
        <w:tc>
          <w:tcPr>
            <w:tcW w:w="1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Form   File Number</w:t>
            </w:r>
          </w:p>
        </w:tc>
        <w:tc>
          <w:tcPr>
            <w:tcW w:w="1960" w:type="dxa"/>
            <w:vAlign w:val="bottom"/>
            <w:vMerge w:val="restart"/>
          </w:tcPr>
          <w:p>
            <w:pPr>
              <w:ind w:left="300"/>
              <w:spacing w:after="0"/>
              <w:rPr>
                <w:sz w:val="20"/>
                <w:szCs w:val="20"/>
                <w:color w:val="auto"/>
              </w:rPr>
            </w:pPr>
            <w:r>
              <w:rPr>
                <w:rFonts w:ascii="Arial" w:cs="Arial" w:eastAsia="Arial" w:hAnsi="Arial"/>
                <w:sz w:val="16"/>
                <w:szCs w:val="16"/>
                <w:b w:val="1"/>
                <w:bCs w:val="1"/>
                <w:color w:val="auto"/>
              </w:rPr>
              <w:t>Date of Filing</w:t>
            </w:r>
          </w:p>
        </w:tc>
        <w:tc>
          <w:tcPr>
            <w:tcW w:w="158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b w:val="1"/>
                <w:bCs w:val="1"/>
                <w:color w:val="auto"/>
              </w:rPr>
              <w:t>Exhibit Number</w:t>
            </w:r>
          </w:p>
        </w:tc>
        <w:tc>
          <w:tcPr>
            <w:tcW w:w="980" w:type="dxa"/>
            <w:vAlign w:val="bottom"/>
            <w:tcBorders>
              <w:right w:val="single" w:sz="8" w:color="auto"/>
            </w:tcBorders>
          </w:tcPr>
          <w:p>
            <w:pPr>
              <w:jc w:val="center"/>
              <w:spacing w:after="0" w:line="162" w:lineRule="exact"/>
              <w:rPr>
                <w:sz w:val="20"/>
                <w:szCs w:val="20"/>
                <w:color w:val="auto"/>
              </w:rPr>
            </w:pPr>
            <w:r>
              <w:rPr>
                <w:rFonts w:ascii="Arial" w:cs="Arial" w:eastAsia="Arial" w:hAnsi="Arial"/>
                <w:sz w:val="16"/>
                <w:szCs w:val="16"/>
                <w:b w:val="1"/>
                <w:bCs w:val="1"/>
                <w:color w:val="auto"/>
                <w:w w:val="90"/>
              </w:rPr>
              <w:t>Furnished</w:t>
            </w:r>
          </w:p>
        </w:tc>
        <w:tc>
          <w:tcPr>
            <w:tcW w:w="0" w:type="dxa"/>
            <w:vAlign w:val="bottom"/>
          </w:tcPr>
          <w:p>
            <w:pPr>
              <w:spacing w:after="0"/>
              <w:rPr>
                <w:sz w:val="1"/>
                <w:szCs w:val="1"/>
                <w:color w:val="auto"/>
              </w:rPr>
            </w:pPr>
          </w:p>
        </w:tc>
      </w:tr>
      <w:tr>
        <w:trPr>
          <w:trHeight w:val="213"/>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Exhibit</w:t>
            </w:r>
          </w:p>
        </w:tc>
        <w:tc>
          <w:tcPr>
            <w:tcW w:w="4040" w:type="dxa"/>
            <w:vAlign w:val="bottom"/>
            <w:tcBorders>
              <w:bottom w:val="single" w:sz="8" w:color="auto"/>
              <w:right w:val="single" w:sz="8" w:color="auto"/>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960" w:type="dxa"/>
            <w:vAlign w:val="bottom"/>
            <w:tcBorders>
              <w:bottom w:val="single" w:sz="8" w:color="auto"/>
            </w:tcBorders>
            <w:vMerge w:val="continue"/>
          </w:tcPr>
          <w:p>
            <w:pPr>
              <w:spacing w:after="0"/>
              <w:rPr>
                <w:sz w:val="18"/>
                <w:szCs w:val="18"/>
                <w:color w:val="auto"/>
              </w:rPr>
            </w:pPr>
          </w:p>
        </w:tc>
        <w:tc>
          <w:tcPr>
            <w:tcW w:w="1580" w:type="dxa"/>
            <w:vAlign w:val="bottom"/>
            <w:tcBorders>
              <w:bottom w:val="single" w:sz="8" w:color="auto"/>
              <w:right w:val="single" w:sz="8" w:color="auto"/>
            </w:tcBorders>
            <w:vMerge w:val="continue"/>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Herewith</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32(b)</w:t>
            </w:r>
          </w:p>
        </w:tc>
        <w:tc>
          <w:tcPr>
            <w:tcW w:w="4040" w:type="dxa"/>
            <w:vAlign w:val="bottom"/>
            <w:tcBorders>
              <w:bottom w:val="single" w:sz="8" w:color="auto"/>
              <w:right w:val="single" w:sz="8" w:color="auto"/>
            </w:tcBorders>
            <w:shd w:val="clear" w:color="auto" w:fill="CCEEFF"/>
          </w:tcPr>
          <w:p>
            <w:pPr>
              <w:ind w:left="20"/>
              <w:spacing w:after="0"/>
              <w:rPr>
                <w:rFonts w:ascii="Arial" w:cs="Arial" w:eastAsia="Arial" w:hAnsi="Arial"/>
                <w:sz w:val="16"/>
                <w:szCs w:val="16"/>
                <w:u w:val="single" w:color="auto"/>
                <w:color w:val="0000FF"/>
              </w:rPr>
            </w:pPr>
            <w:hyperlink w:anchor="page73">
              <w:r>
                <w:rPr>
                  <w:rFonts w:ascii="Arial" w:cs="Arial" w:eastAsia="Arial" w:hAnsi="Arial"/>
                  <w:sz w:val="16"/>
                  <w:szCs w:val="16"/>
                  <w:u w:val="single" w:color="auto"/>
                  <w:color w:val="0000FF"/>
                </w:rPr>
                <w:t>Section 1350 Certification of Chief Financial Officer</w:t>
              </w:r>
            </w:hyperlink>
          </w:p>
        </w:tc>
        <w:tc>
          <w:tcPr>
            <w:tcW w:w="15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101.ins</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Instance Document</w:t>
            </w:r>
          </w:p>
        </w:tc>
        <w:tc>
          <w:tcPr>
            <w:tcW w:w="1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101.sch</w:t>
            </w:r>
          </w:p>
        </w:tc>
        <w:tc>
          <w:tcPr>
            <w:tcW w:w="4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XBRL Taxonomy Schema</w:t>
            </w:r>
          </w:p>
        </w:tc>
        <w:tc>
          <w:tcPr>
            <w:tcW w:w="15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101.cal</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Calculation Linkbase</w:t>
            </w:r>
          </w:p>
        </w:tc>
        <w:tc>
          <w:tcPr>
            <w:tcW w:w="1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10"/>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101.def</w:t>
            </w:r>
          </w:p>
        </w:tc>
        <w:tc>
          <w:tcPr>
            <w:tcW w:w="4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XBRL Taxonomy Definitions Document</w:t>
            </w:r>
          </w:p>
        </w:tc>
        <w:tc>
          <w:tcPr>
            <w:tcW w:w="15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101.lab</w:t>
            </w:r>
          </w:p>
        </w:tc>
        <w:tc>
          <w:tcPr>
            <w:tcW w:w="40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XBRL Taxonomy Labels Linkbase</w:t>
            </w:r>
          </w:p>
        </w:tc>
        <w:tc>
          <w:tcPr>
            <w:tcW w:w="1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9"/>
        </w:trPr>
        <w:tc>
          <w:tcPr>
            <w:tcW w:w="11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101.pre</w:t>
            </w:r>
          </w:p>
        </w:tc>
        <w:tc>
          <w:tcPr>
            <w:tcW w:w="40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XBRL Taxonomy Presentation Linkbase</w:t>
            </w:r>
          </w:p>
        </w:tc>
        <w:tc>
          <w:tcPr>
            <w:tcW w:w="1560" w:type="dxa"/>
            <w:vAlign w:val="bottom"/>
            <w:tcBorders>
              <w:bottom w:val="single" w:sz="8" w:color="auto"/>
            </w:tcBorders>
            <w:shd w:val="clear" w:color="auto" w:fill="CCEEFF"/>
          </w:tcPr>
          <w:p>
            <w:pPr>
              <w:spacing w:after="0"/>
              <w:rPr>
                <w:sz w:val="18"/>
                <w:szCs w:val="18"/>
                <w:color w:val="auto"/>
              </w:rPr>
            </w:pPr>
          </w:p>
        </w:tc>
        <w:tc>
          <w:tcPr>
            <w:tcW w:w="19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right w:val="single" w:sz="8" w:color="auto"/>
            </w:tcBorders>
            <w:shd w:val="clear" w:color="auto" w:fill="CCEEFF"/>
          </w:tcPr>
          <w:p>
            <w:pPr>
              <w:spacing w:after="0"/>
              <w:rPr>
                <w:sz w:val="18"/>
                <w:szCs w:val="18"/>
                <w:color w:val="auto"/>
              </w:rPr>
            </w:pPr>
          </w:p>
        </w:tc>
        <w:tc>
          <w:tcPr>
            <w:tcW w:w="9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2"/>
        </w:trPr>
        <w:tc>
          <w:tcPr>
            <w:tcW w:w="1140" w:type="dxa"/>
            <w:vAlign w:val="bottom"/>
            <w:tcBorders>
              <w:left w:val="single" w:sz="8" w:color="auto"/>
              <w:right w:val="single" w:sz="8" w:color="auto"/>
            </w:tcBorders>
          </w:tcPr>
          <w:p>
            <w:pPr>
              <w:ind w:left="40"/>
              <w:spacing w:after="0" w:line="162" w:lineRule="exact"/>
              <w:rPr>
                <w:sz w:val="20"/>
                <w:szCs w:val="20"/>
                <w:color w:val="auto"/>
              </w:rPr>
            </w:pPr>
            <w:r>
              <w:rPr>
                <w:rFonts w:ascii="Arial" w:cs="Arial" w:eastAsia="Arial" w:hAnsi="Arial"/>
                <w:sz w:val="16"/>
                <w:szCs w:val="16"/>
                <w:b w:val="1"/>
                <w:bCs w:val="1"/>
                <w:color w:val="auto"/>
              </w:rPr>
              <w:t>104</w:t>
            </w:r>
          </w:p>
        </w:tc>
        <w:tc>
          <w:tcPr>
            <w:tcW w:w="4040" w:type="dxa"/>
            <w:vAlign w:val="bottom"/>
            <w:tcBorders>
              <w:right w:val="single" w:sz="8" w:color="auto"/>
            </w:tcBorders>
          </w:tcPr>
          <w:p>
            <w:pPr>
              <w:ind w:left="20"/>
              <w:spacing w:after="0" w:line="162" w:lineRule="exact"/>
              <w:rPr>
                <w:sz w:val="20"/>
                <w:szCs w:val="20"/>
                <w:color w:val="auto"/>
              </w:rPr>
            </w:pPr>
            <w:r>
              <w:rPr>
                <w:rFonts w:ascii="Arial" w:cs="Arial" w:eastAsia="Arial" w:hAnsi="Arial"/>
                <w:sz w:val="16"/>
                <w:szCs w:val="16"/>
                <w:color w:val="auto"/>
              </w:rPr>
              <w:t>Cover Page Interactive Data File (embedded within the</w:t>
            </w:r>
          </w:p>
        </w:tc>
        <w:tc>
          <w:tcPr>
            <w:tcW w:w="1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80" w:type="dxa"/>
            <w:vAlign w:val="bottom"/>
            <w:tcBorders>
              <w:right w:val="single" w:sz="8" w:color="auto"/>
            </w:tcBorders>
          </w:tcPr>
          <w:p>
            <w:pPr>
              <w:spacing w:after="0"/>
              <w:rPr>
                <w:sz w:val="14"/>
                <w:szCs w:val="14"/>
                <w:color w:val="auto"/>
              </w:rPr>
            </w:pPr>
          </w:p>
        </w:tc>
        <w:tc>
          <w:tcPr>
            <w:tcW w:w="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25"/>
        </w:trPr>
        <w:tc>
          <w:tcPr>
            <w:tcW w:w="1140" w:type="dxa"/>
            <w:vAlign w:val="bottom"/>
            <w:tcBorders>
              <w:left w:val="single" w:sz="8" w:color="auto"/>
              <w:right w:val="single" w:sz="8" w:color="auto"/>
            </w:tcBorders>
          </w:tcPr>
          <w:p>
            <w:pPr>
              <w:spacing w:after="0"/>
              <w:rPr>
                <w:sz w:val="10"/>
                <w:szCs w:val="10"/>
                <w:color w:val="auto"/>
              </w:rPr>
            </w:pPr>
          </w:p>
        </w:tc>
        <w:tc>
          <w:tcPr>
            <w:tcW w:w="4040" w:type="dxa"/>
            <w:vAlign w:val="bottom"/>
            <w:tcBorders>
              <w:right w:val="single" w:sz="8" w:color="auto"/>
            </w:tcBorders>
            <w:vMerge w:val="restart"/>
          </w:tcPr>
          <w:p>
            <w:pPr>
              <w:ind w:left="20"/>
              <w:spacing w:after="0"/>
              <w:rPr>
                <w:sz w:val="20"/>
                <w:szCs w:val="20"/>
                <w:color w:val="auto"/>
              </w:rPr>
            </w:pPr>
            <w:r>
              <w:rPr>
                <w:rFonts w:ascii="Arial" w:cs="Arial" w:eastAsia="Arial" w:hAnsi="Arial"/>
                <w:sz w:val="16"/>
                <w:szCs w:val="16"/>
                <w:color w:val="auto"/>
              </w:rPr>
              <w:t>Inline XBRL document)</w:t>
            </w:r>
          </w:p>
        </w:tc>
        <w:tc>
          <w:tcPr>
            <w:tcW w:w="156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1140" w:type="dxa"/>
            <w:vAlign w:val="bottom"/>
            <w:tcBorders>
              <w:left w:val="single" w:sz="8" w:color="auto"/>
              <w:bottom w:val="single" w:sz="8" w:color="auto"/>
              <w:right w:val="single" w:sz="8" w:color="auto"/>
            </w:tcBorders>
          </w:tcPr>
          <w:p>
            <w:pPr>
              <w:spacing w:after="0"/>
              <w:rPr>
                <w:sz w:val="7"/>
                <w:szCs w:val="7"/>
                <w:color w:val="auto"/>
              </w:rPr>
            </w:pPr>
          </w:p>
        </w:tc>
        <w:tc>
          <w:tcPr>
            <w:tcW w:w="4040" w:type="dxa"/>
            <w:vAlign w:val="bottom"/>
            <w:tcBorders>
              <w:bottom w:val="single" w:sz="8" w:color="auto"/>
              <w:right w:val="single" w:sz="8" w:color="auto"/>
            </w:tcBorders>
            <w:vMerge w:val="continue"/>
          </w:tcPr>
          <w:p>
            <w:pPr>
              <w:spacing w:after="0"/>
              <w:rPr>
                <w:sz w:val="7"/>
                <w:szCs w:val="7"/>
                <w:color w:val="auto"/>
              </w:rPr>
            </w:pPr>
          </w:p>
        </w:tc>
        <w:tc>
          <w:tcPr>
            <w:tcW w:w="1560" w:type="dxa"/>
            <w:vAlign w:val="bottom"/>
            <w:tcBorders>
              <w:bottom w:val="single" w:sz="8" w:color="auto"/>
            </w:tcBorders>
          </w:tcPr>
          <w:p>
            <w:pPr>
              <w:spacing w:after="0"/>
              <w:rPr>
                <w:sz w:val="7"/>
                <w:szCs w:val="7"/>
                <w:color w:val="auto"/>
              </w:rPr>
            </w:pPr>
          </w:p>
        </w:tc>
        <w:tc>
          <w:tcPr>
            <w:tcW w:w="1960" w:type="dxa"/>
            <w:vAlign w:val="bottom"/>
            <w:tcBorders>
              <w:bottom w:val="single" w:sz="8" w:color="auto"/>
            </w:tcBorders>
          </w:tcPr>
          <w:p>
            <w:pPr>
              <w:spacing w:after="0"/>
              <w:rPr>
                <w:sz w:val="7"/>
                <w:szCs w:val="7"/>
                <w:color w:val="auto"/>
              </w:rPr>
            </w:pPr>
          </w:p>
        </w:tc>
        <w:tc>
          <w:tcPr>
            <w:tcW w:w="1580" w:type="dxa"/>
            <w:vAlign w:val="bottom"/>
            <w:tcBorders>
              <w:bottom w:val="single" w:sz="8" w:color="auto"/>
              <w:right w:val="single" w:sz="8" w:color="auto"/>
            </w:tcBorders>
          </w:tcPr>
          <w:p>
            <w:pPr>
              <w:spacing w:after="0"/>
              <w:rPr>
                <w:sz w:val="7"/>
                <w:szCs w:val="7"/>
                <w:color w:val="auto"/>
              </w:rPr>
            </w:pPr>
          </w:p>
        </w:tc>
        <w:tc>
          <w:tcPr>
            <w:tcW w:w="98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hanging="112"/>
        <w:spacing w:after="0"/>
        <w:tabs>
          <w:tab w:leader="none" w:pos="120" w:val="left"/>
        </w:tabs>
        <w:numPr>
          <w:ilvl w:val="0"/>
          <w:numId w:val="33"/>
        </w:numPr>
        <w:rPr>
          <w:rFonts w:ascii="Arial" w:cs="Arial" w:eastAsia="Arial" w:hAnsi="Arial"/>
          <w:sz w:val="16"/>
          <w:szCs w:val="16"/>
          <w:color w:val="auto"/>
        </w:rPr>
      </w:pPr>
      <w:r>
        <w:rPr>
          <w:rFonts w:ascii="Arial" w:cs="Arial" w:eastAsia="Arial" w:hAnsi="Arial"/>
          <w:sz w:val="18"/>
          <w:szCs w:val="18"/>
          <w:color w:val="auto"/>
        </w:rPr>
        <w:t>Management compensation plans and arrangements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20" w:top="1011" w:right="31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Notice regarding forward-looking statements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herein that describe TI’s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TI or our management:</w:t>
      </w:r>
    </w:p>
    <w:p>
      <w:pPr>
        <w:spacing w:after="0" w:line="62" w:lineRule="exact"/>
        <w:rPr>
          <w:sz w:val="20"/>
          <w:szCs w:val="20"/>
          <w:color w:val="auto"/>
        </w:rPr>
      </w:pPr>
    </w:p>
    <w:p>
      <w:pPr>
        <w:ind w:left="660" w:right="66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duration and scope of the COVID-19 pandemic, government and other third-party responses to it and the consequences for the global economy, including to our business and the businesses of our suppliers, customers and distributors;</w:t>
      </w:r>
    </w:p>
    <w:p>
      <w:pPr>
        <w:spacing w:after="0" w:line="3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Economic, social and political conditions, and natural events in the countries in which we, our customers or our suppliers operate, including global trade policies;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Market demand for semiconductors, particularly in the industrial and automotive markets, and customer demand that differs from forecasts;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compete in products and prices in an intensely competitive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Evolving cybersecurity and other threats relating to our information technology systems or those of our customers or suppliers;</w:t>
      </w:r>
    </w:p>
    <w:p>
      <w:pPr>
        <w:spacing w:after="0" w:line="11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implement and realize opportunities from strategic, business and organizational changes, or our ability to realize our expectations regarding the amount and timing of associated restructuring charges and cost savings;</w:t>
      </w:r>
    </w:p>
    <w:p>
      <w:pPr>
        <w:spacing w:after="0" w:line="62" w:lineRule="exact"/>
        <w:rPr>
          <w:rFonts w:ascii="Arial" w:cs="Arial" w:eastAsia="Arial" w:hAnsi="Arial"/>
          <w:sz w:val="18"/>
          <w:szCs w:val="18"/>
          <w:color w:val="auto"/>
        </w:rPr>
      </w:pPr>
    </w:p>
    <w:p>
      <w:pPr>
        <w:ind w:left="660" w:right="10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develop, manufacture and market innovative products in a rapidly changing technological environment, and our timely implementation of new manufacturing technologies and installation of manufacturing equipment;</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Availability and cost of raw materials, utilities, manufacturing equipment, third-party manufacturing services and manufacturing technology;</w:t>
      </w:r>
    </w:p>
    <w:p>
      <w:pPr>
        <w:spacing w:after="0" w:line="128" w:lineRule="exact"/>
        <w:rPr>
          <w:rFonts w:ascii="Arial" w:cs="Arial" w:eastAsia="Arial" w:hAnsi="Arial"/>
          <w:sz w:val="17"/>
          <w:szCs w:val="17"/>
          <w:color w:val="auto"/>
        </w:rPr>
      </w:pPr>
    </w:p>
    <w:p>
      <w:pPr>
        <w:ind w:left="660" w:right="1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liability, warranty or other claims relating to our products, manufacturing, delivery, services, design or communications, or recalls by our customers for a product containing one of our parts;</w:t>
      </w:r>
    </w:p>
    <w:p>
      <w:pPr>
        <w:spacing w:after="0" w:line="62"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or changes in the complex laws, rules and regulations to which we are or may become subject, or actions of enforcement authorities, that restrict our ability to operate our business or subject us to fines, penalties or other legal liability;</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34"/>
        </w:numPr>
        <w:rPr>
          <w:rFonts w:ascii="Arial" w:cs="Arial" w:eastAsia="Arial" w:hAnsi="Arial"/>
          <w:sz w:val="17"/>
          <w:szCs w:val="17"/>
          <w:color w:val="auto"/>
        </w:rPr>
      </w:pPr>
      <w:r>
        <w:rPr>
          <w:rFonts w:ascii="Arial" w:cs="Arial" w:eastAsia="Arial" w:hAnsi="Arial"/>
          <w:sz w:val="17"/>
          <w:szCs w:val="17"/>
          <w:color w:val="auto"/>
        </w:rPr>
        <w:t>Changes in tax law and accounting standards that impact the tax rate applicable to us, the jurisdictions in which profits are determined to be earned and taxed, adverse resolution of tax audits, increases in tariff rates, and the ability to realize deferred tax assets;</w:t>
      </w:r>
    </w:p>
    <w:p>
      <w:pPr>
        <w:spacing w:after="0" w:line="38" w:lineRule="exact"/>
        <w:rPr>
          <w:rFonts w:ascii="Arial" w:cs="Arial" w:eastAsia="Arial" w:hAnsi="Arial"/>
          <w:sz w:val="17"/>
          <w:szCs w:val="17"/>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loss suffered by one of our customers or distributors with respect to TI-consigned inventory;</w:t>
      </w:r>
    </w:p>
    <w:p>
      <w:pPr>
        <w:spacing w:after="0" w:line="117"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Financial difficulties of our distributors or semiconductor distributors’ promotion of competing product lines to our detriment; or disputes with current or former distributors;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Losses or curtailments of purchases from key customers or the timing and amount of distributor and other customer inventory adjustments;</w:t>
      </w:r>
    </w:p>
    <w:p>
      <w:pPr>
        <w:spacing w:after="0" w:line="128" w:lineRule="exact"/>
        <w:rPr>
          <w:rFonts w:ascii="Arial" w:cs="Arial" w:eastAsia="Arial" w:hAnsi="Arial"/>
          <w:sz w:val="17"/>
          <w:szCs w:val="17"/>
          <w:color w:val="auto"/>
        </w:rPr>
      </w:pPr>
    </w:p>
    <w:p>
      <w:pPr>
        <w:ind w:left="660" w:right="4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or improve profit margins, including our ability to utilize our manufacturing facilities at sufficient levels to cover our fixed operating costs, in an intensely competitive and cyclical industry and changing regulatory environment;</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enforce a strong intellectual property portfolio and maintain freedom of operation in all jurisdictions where we conduct business; or our exposure to infringement claims;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Instability in the global credit and financial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Increases in health care and pension benefit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recruit and retain skilled personnel, and effectively manage key employee succession; and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63" w:name="page64"/>
    <w:bookmarkEnd w:id="63"/>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Impairments of our non-financial assets.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detailed discussion of these factors, see the Risk factors discussion in Item 1A of this report. The forward-looking statements included in this report are made only as of the date of this report, and we undertake no obligation to update the forward-looking statements to reflect subsequent events or circumstances. If we do update any forward-looking statement, you should not infer that we will make additional updates with respect to that statement or any other forward-looking statement.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881" w:right="49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TEXAS INSTRUMENTS INCORPORATED</w:t>
      </w:r>
    </w:p>
    <w:p>
      <w:pPr>
        <w:spacing w:after="0" w:line="293" w:lineRule="exact"/>
        <w:rPr>
          <w:sz w:val="20"/>
          <w:szCs w:val="20"/>
          <w:color w:val="auto"/>
        </w:rPr>
      </w:pPr>
    </w:p>
    <w:tbl>
      <w:tblPr>
        <w:tblLayout w:type="fixed"/>
        <w:tblInd w:w="6660" w:type="dxa"/>
        <w:tblCellMar>
          <w:top w:w="0" w:type="dxa"/>
          <w:left w:w="0" w:type="dxa"/>
          <w:bottom w:w="0" w:type="dxa"/>
          <w:right w:w="0" w:type="dxa"/>
        </w:tblCellMar>
      </w:tblP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 Rafael R. Lizardi</w:t>
            </w:r>
          </w:p>
        </w:tc>
      </w:tr>
      <w:tr>
        <w:trPr>
          <w:trHeight w:val="222"/>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Rafael R. Lizardi</w:t>
            </w:r>
          </w:p>
        </w:tc>
      </w:tr>
      <w:tr>
        <w:trPr>
          <w:trHeight w:val="230"/>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Senior Vice President,</w:t>
            </w:r>
          </w:p>
        </w:tc>
      </w:tr>
      <w:tr>
        <w:trPr>
          <w:trHeight w:val="229"/>
        </w:trPr>
        <w:tc>
          <w:tcPr>
            <w:tcW w:w="700" w:type="dxa"/>
            <w:vAlign w:val="bottom"/>
          </w:tcPr>
          <w:p>
            <w:pPr>
              <w:spacing w:after="0"/>
              <w:rPr>
                <w:sz w:val="19"/>
                <w:szCs w:val="19"/>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Chief Financial Officer</w:t>
            </w:r>
          </w:p>
        </w:tc>
      </w:tr>
      <w:tr>
        <w:trPr>
          <w:trHeight w:val="230"/>
        </w:trPr>
        <w:tc>
          <w:tcPr>
            <w:tcW w:w="700" w:type="dxa"/>
            <w:vAlign w:val="bottom"/>
          </w:tcPr>
          <w:p>
            <w:pPr>
              <w:spacing w:after="0"/>
              <w:rPr>
                <w:sz w:val="20"/>
                <w:szCs w:val="20"/>
                <w:color w:val="auto"/>
              </w:rPr>
            </w:pPr>
          </w:p>
        </w:tc>
        <w:tc>
          <w:tcPr>
            <w:tcW w:w="3880" w:type="dxa"/>
            <w:vAlign w:val="bottom"/>
          </w:tcPr>
          <w:p>
            <w:pPr>
              <w:ind w:left="480"/>
              <w:spacing w:after="0"/>
              <w:rPr>
                <w:sz w:val="20"/>
                <w:szCs w:val="20"/>
                <w:color w:val="auto"/>
              </w:rPr>
            </w:pPr>
            <w:r>
              <w:rPr>
                <w:rFonts w:ascii="Arial" w:cs="Arial" w:eastAsia="Arial" w:hAnsi="Arial"/>
                <w:sz w:val="18"/>
                <w:szCs w:val="18"/>
                <w:color w:val="auto"/>
              </w:rPr>
              <w:t>and 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65" w:name="page66"/>
    <w:bookmarkEnd w:id="65"/>
    <w:p>
      <w:pPr>
        <w:spacing w:after="0" w:line="271" w:lineRule="auto"/>
        <w:rPr>
          <w:sz w:val="20"/>
          <w:szCs w:val="20"/>
          <w:color w:val="auto"/>
        </w:rPr>
      </w:pPr>
      <w:r>
        <w:rPr>
          <w:rFonts w:ascii="Arial" w:cs="Arial" w:eastAsia="Arial" w:hAnsi="Arial"/>
          <w:sz w:val="17"/>
          <w:szCs w:val="17"/>
          <w:color w:val="auto"/>
        </w:rPr>
        <w:t>Each person whose signature appears below constitutes and appoints each of Richard K. Templeton, Rafael R. Lizardi and Cynthia Hoff Trochu, or any of them, each acting alone, his or her true and lawful attorneys-in-fact and agents, with full power of substitution and resubstitution, for such person and in his or her name, place and stead, in any and all capacities in connection with the annual report on Form 10-K of Texas Instruments Incorporated for the year ended December 31, 2020, to sign any and all amendments to the Form 10-K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substitutes or substitute, may lawfully do or cause to be done by virtue hereof.</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as of the 5th day of February 2021.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100" w:type="dxa"/>
            <w:vAlign w:val="bottom"/>
          </w:tcPr>
          <w:p>
            <w:pPr>
              <w:spacing w:after="0"/>
              <w:rPr>
                <w:sz w:val="20"/>
                <w:szCs w:val="20"/>
                <w:color w:val="auto"/>
              </w:rPr>
            </w:pPr>
          </w:p>
        </w:tc>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425"/>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Mark A. Blinn</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7"/>
              </w:rPr>
              <w:t>Mark A. Blinn</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Todd M. Bluedorn</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2"/>
              </w:rPr>
              <w:t>Todd M. Bluedorn</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Janet F. Clark</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3"/>
              </w:rPr>
              <w:t>Janet F. Clark</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Carrie S. Cox</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1"/>
              </w:rPr>
              <w:t>Carrie S. Cox</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Martin S. Craighead</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4"/>
              </w:rPr>
              <w:t>Martin S. Craighead</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Jean M. Hobby</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2"/>
              </w:rPr>
              <w:t>Jean M. Hobby</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Michael D. Hsu</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3"/>
              </w:rPr>
              <w:t>Michael D. Hsu</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Ronald Kirk</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4"/>
              </w:rPr>
              <w:t>Ronald Kirk</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Pamela H. Patsley</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0"/>
              </w:rPr>
              <w:t>Pamela H. Patsley</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Robert E. Sanchez</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89"/>
              </w:rPr>
              <w:t>Robert E. Sanchez</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Richard K. Templeton</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1"/>
              </w:rPr>
              <w:t>Director, Chairman of the Board, President and Chief Executive Officer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2"/>
              </w:rPr>
              <w:t>Richard K. Templeton</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1"/>
        </w:trPr>
        <w:tc>
          <w:tcPr>
            <w:tcW w:w="5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Rafael R. Lizardi</w:t>
            </w:r>
          </w:p>
        </w:tc>
        <w:tc>
          <w:tcPr>
            <w:tcW w:w="100" w:type="dxa"/>
            <w:vAlign w:val="bottom"/>
          </w:tcPr>
          <w:p>
            <w:pPr>
              <w:spacing w:after="0"/>
              <w:rPr>
                <w:sz w:val="24"/>
                <w:szCs w:val="24"/>
                <w:color w:val="auto"/>
              </w:rPr>
            </w:pPr>
          </w:p>
        </w:tc>
        <w:tc>
          <w:tcPr>
            <w:tcW w:w="5560" w:type="dxa"/>
            <w:vAlign w:val="bottom"/>
            <w:vMerge w:val="restart"/>
          </w:tcPr>
          <w:p>
            <w:pPr>
              <w:jc w:val="center"/>
              <w:spacing w:after="0"/>
              <w:rPr>
                <w:sz w:val="20"/>
                <w:szCs w:val="20"/>
                <w:color w:val="auto"/>
              </w:rPr>
            </w:pPr>
            <w:r>
              <w:rPr>
                <w:rFonts w:ascii="Arial" w:cs="Arial" w:eastAsia="Arial" w:hAnsi="Arial"/>
                <w:sz w:val="18"/>
                <w:szCs w:val="18"/>
                <w:color w:val="auto"/>
                <w:w w:val="92"/>
              </w:rPr>
              <w:t>Senior Vice President, Chief Financial Officer and Chief Accounting Officer</w:t>
            </w:r>
          </w:p>
        </w:tc>
        <w:tc>
          <w:tcPr>
            <w:tcW w:w="0" w:type="dxa"/>
            <w:vAlign w:val="bottom"/>
          </w:tcPr>
          <w:p>
            <w:pPr>
              <w:spacing w:after="0"/>
              <w:rPr>
                <w:sz w:val="1"/>
                <w:szCs w:val="1"/>
                <w:color w:val="auto"/>
              </w:rPr>
            </w:pPr>
          </w:p>
        </w:tc>
      </w:tr>
      <w:tr>
        <w:trPr>
          <w:trHeight w:val="228"/>
        </w:trPr>
        <w:tc>
          <w:tcPr>
            <w:tcW w:w="5560" w:type="dxa"/>
            <w:vAlign w:val="bottom"/>
          </w:tcPr>
          <w:p>
            <w:pPr>
              <w:jc w:val="center"/>
              <w:spacing w:after="0"/>
              <w:rPr>
                <w:sz w:val="20"/>
                <w:szCs w:val="20"/>
                <w:color w:val="auto"/>
              </w:rPr>
            </w:pPr>
            <w:r>
              <w:rPr>
                <w:rFonts w:ascii="Arial" w:cs="Arial" w:eastAsia="Arial" w:hAnsi="Arial"/>
                <w:sz w:val="18"/>
                <w:szCs w:val="18"/>
                <w:b w:val="1"/>
                <w:bCs w:val="1"/>
                <w:color w:val="auto"/>
                <w:w w:val="94"/>
              </w:rPr>
              <w:t>Rafael R. Lizardi</w:t>
            </w:r>
          </w:p>
        </w:tc>
        <w:tc>
          <w:tcPr>
            <w:tcW w:w="100" w:type="dxa"/>
            <w:vAlign w:val="bottom"/>
          </w:tcPr>
          <w:p>
            <w:pPr>
              <w:spacing w:after="0"/>
              <w:rPr>
                <w:sz w:val="19"/>
                <w:szCs w:val="19"/>
                <w:color w:val="auto"/>
              </w:rPr>
            </w:pPr>
          </w:p>
        </w:tc>
        <w:tc>
          <w:tcPr>
            <w:tcW w:w="55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989"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u w:val="single" w:color="auto"/>
          <w:color w:val="auto"/>
        </w:rPr>
        <w:t>Exhibit 21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80" w:type="dxa"/>
            <w:vAlign w:val="bottom"/>
            <w:gridSpan w:val="4"/>
          </w:tcPr>
          <w:p>
            <w:pPr>
              <w:ind w:left="3100"/>
              <w:spacing w:after="0"/>
              <w:rPr>
                <w:sz w:val="20"/>
                <w:szCs w:val="20"/>
                <w:color w:val="auto"/>
              </w:rPr>
            </w:pPr>
            <w:r>
              <w:rPr>
                <w:rFonts w:ascii="Arial" w:cs="Arial" w:eastAsia="Arial" w:hAnsi="Arial"/>
                <w:sz w:val="18"/>
                <w:szCs w:val="18"/>
                <w:color w:val="auto"/>
              </w:rPr>
              <w:t>TEXAS INSTRUMENTS INCORPORATED AND SUBSIDIARIES</w:t>
            </w:r>
          </w:p>
        </w:tc>
      </w:tr>
      <w:tr>
        <w:trPr>
          <w:trHeight w:val="230"/>
        </w:trPr>
        <w:tc>
          <w:tcPr>
            <w:tcW w:w="20" w:type="dxa"/>
            <w:vAlign w:val="bottom"/>
          </w:tcPr>
          <w:p>
            <w:pPr>
              <w:spacing w:after="0"/>
              <w:rPr>
                <w:sz w:val="20"/>
                <w:szCs w:val="20"/>
                <w:color w:val="auto"/>
              </w:rPr>
            </w:pPr>
          </w:p>
        </w:tc>
        <w:tc>
          <w:tcPr>
            <w:tcW w:w="8680" w:type="dxa"/>
            <w:vAlign w:val="bottom"/>
            <w:gridSpan w:val="4"/>
          </w:tcPr>
          <w:p>
            <w:pPr>
              <w:ind w:left="3720"/>
              <w:spacing w:after="0"/>
              <w:rPr>
                <w:sz w:val="20"/>
                <w:szCs w:val="20"/>
                <w:color w:val="auto"/>
              </w:rPr>
            </w:pPr>
            <w:r>
              <w:rPr>
                <w:rFonts w:ascii="Arial" w:cs="Arial" w:eastAsia="Arial" w:hAnsi="Arial"/>
                <w:sz w:val="18"/>
                <w:szCs w:val="18"/>
                <w:color w:val="auto"/>
              </w:rPr>
              <w:t>LIST OF SUBSIDIARIES OF THE REGISTRANT</w:t>
            </w:r>
          </w:p>
        </w:tc>
      </w:tr>
      <w:tr>
        <w:trPr>
          <w:trHeight w:val="418"/>
        </w:trPr>
        <w:tc>
          <w:tcPr>
            <w:tcW w:w="6320" w:type="dxa"/>
            <w:vAlign w:val="bottom"/>
            <w:gridSpan w:val="3"/>
          </w:tcPr>
          <w:p>
            <w:pPr>
              <w:spacing w:after="0"/>
              <w:rPr>
                <w:sz w:val="20"/>
                <w:szCs w:val="20"/>
                <w:color w:val="auto"/>
              </w:rPr>
            </w:pPr>
            <w:r>
              <w:rPr>
                <w:rFonts w:ascii="Arial" w:cs="Arial" w:eastAsia="Arial" w:hAnsi="Arial"/>
                <w:sz w:val="18"/>
                <w:szCs w:val="18"/>
                <w:color w:val="auto"/>
              </w:rPr>
              <w:t>The following are subsidiaries of the Registrant as of December 31, 2020.</w:t>
            </w:r>
          </w:p>
        </w:tc>
        <w:tc>
          <w:tcPr>
            <w:tcW w:w="1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2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1"/>
              </w:rPr>
              <w:t>Where Organized</w:t>
            </w:r>
          </w:p>
        </w:tc>
      </w:tr>
      <w:tr>
        <w:trPr>
          <w:trHeight w:val="277"/>
        </w:trPr>
        <w:tc>
          <w:tcPr>
            <w:tcW w:w="20" w:type="dxa"/>
            <w:vAlign w:val="bottom"/>
          </w:tcPr>
          <w:p>
            <w:pPr>
              <w:spacing w:after="0"/>
              <w:rPr>
                <w:sz w:val="24"/>
                <w:szCs w:val="24"/>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ActSolar,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Algorex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ASIC II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Hawaii</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Benchmarq Microelectronics Corporation of South Korea</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Burr-Brown International Holding Corporation</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Energy Recommerce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innoCOMM wireless</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Integrated Circuit Designs,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Maryland</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Mediamatics,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California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Acquisition Sub,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(Maine),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Corporation</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Holding Sdn. Bhd.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Malaysia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B.V.</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Netherlands</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International,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National Semiconductor Labuan Ltd.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Malaysia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Telogy Networks, Inc.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(India) Private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India</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(Philippines) LLC</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(Shanghai) Co., Ltd.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PRC</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(U.K.) Holdings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United Kingdom</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(U.K.)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United Kingdom</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Asia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Austin Incorporated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Delaware</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Australia Pty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Australia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Benelux B.V.</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Netherlands</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Business Expansion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Canada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Canada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China Sales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Hong Kong</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China Trading Limited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Hong Kong</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CZ, s.r.o.</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Czech Republic</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de Mexico, S. de R.L. de C.V.</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Mexico</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Denmark ApS</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Denmark</w:t>
            </w:r>
          </w:p>
        </w:tc>
      </w:tr>
      <w:tr>
        <w:trPr>
          <w:trHeight w:val="257"/>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Deutschland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Education Technology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Electronics Malaysia Sdn. Bhd.</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Malaysia</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EMEA Sales GmbH</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Germany</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España, S.A. Unipersonal</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Spain</w:t>
            </w:r>
          </w:p>
        </w:tc>
      </w:tr>
      <w:tr>
        <w:trPr>
          <w:trHeight w:val="256"/>
        </w:trPr>
        <w:tc>
          <w:tcPr>
            <w:tcW w:w="20" w:type="dxa"/>
            <w:vAlign w:val="bottom"/>
          </w:tcPr>
          <w:p>
            <w:pPr>
              <w:spacing w:after="0"/>
              <w:rPr>
                <w:sz w:val="22"/>
                <w:szCs w:val="22"/>
                <w:color w:val="auto"/>
              </w:rPr>
            </w:pPr>
          </w:p>
        </w:tc>
        <w:tc>
          <w:tcPr>
            <w:tcW w:w="6300" w:type="dxa"/>
            <w:vAlign w:val="bottom"/>
            <w:gridSpan w:val="2"/>
          </w:tcPr>
          <w:p>
            <w:pPr>
              <w:spacing w:after="0"/>
              <w:rPr>
                <w:sz w:val="20"/>
                <w:szCs w:val="20"/>
                <w:color w:val="auto"/>
              </w:rPr>
            </w:pPr>
            <w:r>
              <w:rPr>
                <w:rFonts w:ascii="Arial" w:cs="Arial" w:eastAsia="Arial" w:hAnsi="Arial"/>
                <w:sz w:val="18"/>
                <w:szCs w:val="18"/>
                <w:color w:val="auto"/>
              </w:rPr>
              <w:t>Texas Instruments Finland Oy</w:t>
            </w:r>
          </w:p>
        </w:tc>
        <w:tc>
          <w:tcPr>
            <w:tcW w:w="2380" w:type="dxa"/>
            <w:vAlign w:val="bottom"/>
            <w:gridSpan w:val="2"/>
          </w:tcPr>
          <w:p>
            <w:pPr>
              <w:ind w:left="1000"/>
              <w:spacing w:after="0"/>
              <w:rPr>
                <w:sz w:val="20"/>
                <w:szCs w:val="20"/>
                <w:color w:val="auto"/>
              </w:rPr>
            </w:pPr>
            <w:r>
              <w:rPr>
                <w:rFonts w:ascii="Arial" w:cs="Arial" w:eastAsia="Arial" w:hAnsi="Arial"/>
                <w:sz w:val="18"/>
                <w:szCs w:val="18"/>
                <w:color w:val="auto"/>
              </w:rPr>
              <w:t>Finland</w:t>
            </w:r>
          </w:p>
        </w:tc>
      </w:tr>
    </w:tbl>
    <w:p>
      <w:pPr>
        <w:sectPr>
          <w:pgSz w:w="11900" w:h="16838" w:orient="portrait"/>
          <w:cols w:equalWidth="0" w:num="1">
            <w:col w:w="11240"/>
          </w:cols>
          <w:pgMar w:left="320" w:top="895" w:right="339" w:bottom="1440" w:gutter="0" w:footer="0" w:header="0"/>
        </w:sectPr>
      </w:pPr>
    </w:p>
    <w:bookmarkStart w:id="67" w:name="page68"/>
    <w:bookmarkEnd w:id="6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80" w:type="dxa"/>
            <w:vAlign w:val="bottom"/>
          </w:tcPr>
          <w:p>
            <w:pPr>
              <w:spacing w:after="0"/>
              <w:rPr>
                <w:sz w:val="20"/>
                <w:szCs w:val="20"/>
                <w:color w:val="auto"/>
              </w:rPr>
            </w:pPr>
            <w:r>
              <w:rPr>
                <w:rFonts w:ascii="Arial" w:cs="Arial" w:eastAsia="Arial" w:hAnsi="Arial"/>
                <w:sz w:val="18"/>
                <w:szCs w:val="18"/>
                <w:b w:val="1"/>
                <w:bCs w:val="1"/>
                <w:color w:val="auto"/>
                <w:w w:val="89"/>
              </w:rPr>
              <w:t>Subsidiary and Name Under Which Business is Done</w:t>
            </w:r>
          </w:p>
        </w:tc>
        <w:tc>
          <w:tcPr>
            <w:tcW w:w="33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Arial" w:cs="Arial" w:eastAsia="Arial" w:hAnsi="Arial"/>
                <w:sz w:val="18"/>
                <w:szCs w:val="18"/>
                <w:b w:val="1"/>
                <w:bCs w:val="1"/>
                <w:color w:val="auto"/>
                <w:w w:val="91"/>
              </w:rPr>
              <w:t>Where Organized</w:t>
            </w:r>
          </w:p>
        </w:tc>
      </w:tr>
      <w:tr>
        <w:trPr>
          <w:trHeight w:val="277"/>
        </w:trPr>
        <w:tc>
          <w:tcPr>
            <w:tcW w:w="40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Texas Instruments France SAS</w:t>
            </w:r>
          </w:p>
        </w:tc>
        <w:tc>
          <w:tcPr>
            <w:tcW w:w="3300" w:type="dxa"/>
            <w:vAlign w:val="bottom"/>
          </w:tcPr>
          <w:p>
            <w:pPr>
              <w:spacing w:after="0"/>
              <w:rPr>
                <w:sz w:val="24"/>
                <w:szCs w:val="24"/>
                <w:color w:val="auto"/>
              </w:rPr>
            </w:pPr>
          </w:p>
        </w:tc>
        <w:tc>
          <w:tcPr>
            <w:tcW w:w="13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France</w:t>
            </w:r>
          </w:p>
        </w:tc>
        <w:tc>
          <w:tcPr>
            <w:tcW w:w="20" w:type="dxa"/>
            <w:vAlign w:val="bottom"/>
          </w:tcPr>
          <w:p>
            <w:pPr>
              <w:spacing w:after="0"/>
              <w:rPr>
                <w:sz w:val="24"/>
                <w:szCs w:val="24"/>
                <w:color w:val="auto"/>
              </w:rPr>
            </w:pP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Gesellschaft m.b.H.</w:t>
            </w:r>
          </w:p>
        </w:tc>
        <w:tc>
          <w:tcPr>
            <w:tcW w:w="1380" w:type="dxa"/>
            <w:vAlign w:val="bottom"/>
            <w:gridSpan w:val="2"/>
          </w:tcPr>
          <w:p>
            <w:pPr>
              <w:spacing w:after="0"/>
              <w:rPr>
                <w:sz w:val="20"/>
                <w:szCs w:val="20"/>
                <w:color w:val="auto"/>
              </w:rPr>
            </w:pPr>
            <w:r>
              <w:rPr>
                <w:rFonts w:ascii="Arial" w:cs="Arial" w:eastAsia="Arial" w:hAnsi="Arial"/>
                <w:sz w:val="18"/>
                <w:szCs w:val="18"/>
                <w:color w:val="auto"/>
              </w:rPr>
              <w:t>Austria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Holland B.V.</w:t>
            </w:r>
          </w:p>
        </w:tc>
        <w:tc>
          <w:tcPr>
            <w:tcW w:w="13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Hong Kong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Hong Kong</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Hungary Korlatolt Felelossegu Tarsasag</w:t>
            </w:r>
          </w:p>
        </w:tc>
        <w:tc>
          <w:tcPr>
            <w:tcW w:w="1380" w:type="dxa"/>
            <w:vAlign w:val="bottom"/>
            <w:gridSpan w:val="2"/>
          </w:tcPr>
          <w:p>
            <w:pPr>
              <w:spacing w:after="0"/>
              <w:rPr>
                <w:sz w:val="20"/>
                <w:szCs w:val="20"/>
                <w:color w:val="auto"/>
              </w:rPr>
            </w:pPr>
            <w:r>
              <w:rPr>
                <w:rFonts w:ascii="Arial" w:cs="Arial" w:eastAsia="Arial" w:hAnsi="Arial"/>
                <w:sz w:val="18"/>
                <w:szCs w:val="18"/>
                <w:color w:val="auto"/>
              </w:rPr>
              <w:t>Hungary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(U.S.A.) Inc.</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Capital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Management Company B.V.</w:t>
            </w:r>
          </w:p>
        </w:tc>
        <w:tc>
          <w:tcPr>
            <w:tcW w:w="13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International Trade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Ireland Trading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Ireland</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Israel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Israel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Italia S.r.l.</w:t>
            </w:r>
          </w:p>
        </w:tc>
        <w:tc>
          <w:tcPr>
            <w:tcW w:w="1380" w:type="dxa"/>
            <w:vAlign w:val="bottom"/>
            <w:gridSpan w:val="2"/>
          </w:tcPr>
          <w:p>
            <w:pPr>
              <w:spacing w:after="0"/>
              <w:rPr>
                <w:sz w:val="20"/>
                <w:szCs w:val="20"/>
                <w:color w:val="auto"/>
              </w:rPr>
            </w:pPr>
            <w:r>
              <w:rPr>
                <w:rFonts w:ascii="Arial" w:cs="Arial" w:eastAsia="Arial" w:hAnsi="Arial"/>
                <w:sz w:val="18"/>
                <w:szCs w:val="18"/>
                <w:color w:val="auto"/>
              </w:rPr>
              <w:t>Italy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Japan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Japan</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Korea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Korea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Lehigh Valley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United Kingdom</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Low Power Wireless San Diego LLC</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Malaysia Sdn. Bhd.</w:t>
            </w:r>
          </w:p>
        </w:tc>
        <w:tc>
          <w:tcPr>
            <w:tcW w:w="1380" w:type="dxa"/>
            <w:vAlign w:val="bottom"/>
            <w:gridSpan w:val="2"/>
          </w:tcPr>
          <w:p>
            <w:pPr>
              <w:spacing w:after="0"/>
              <w:rPr>
                <w:sz w:val="20"/>
                <w:szCs w:val="20"/>
                <w:color w:val="auto"/>
              </w:rPr>
            </w:pPr>
            <w:r>
              <w:rPr>
                <w:rFonts w:ascii="Arial" w:cs="Arial" w:eastAsia="Arial" w:hAnsi="Arial"/>
                <w:sz w:val="18"/>
                <w:szCs w:val="18"/>
                <w:color w:val="auto"/>
              </w:rPr>
              <w:t>Malaysia</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Management GmbH &amp; Co. KG</w:t>
            </w:r>
          </w:p>
        </w:tc>
        <w:tc>
          <w:tcPr>
            <w:tcW w:w="1380" w:type="dxa"/>
            <w:vAlign w:val="bottom"/>
            <w:gridSpan w:val="2"/>
          </w:tcPr>
          <w:p>
            <w:pPr>
              <w:spacing w:after="0"/>
              <w:rPr>
                <w:sz w:val="20"/>
                <w:szCs w:val="20"/>
                <w:color w:val="auto"/>
              </w:rPr>
            </w:pPr>
            <w:r>
              <w:rPr>
                <w:rFonts w:ascii="Arial" w:cs="Arial" w:eastAsia="Arial" w:hAnsi="Arial"/>
                <w:sz w:val="18"/>
                <w:szCs w:val="18"/>
                <w:color w:val="auto"/>
              </w:rPr>
              <w:t>Germany</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Northern Virginia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Norway AS</w:t>
            </w:r>
          </w:p>
        </w:tc>
        <w:tc>
          <w:tcPr>
            <w:tcW w:w="1380" w:type="dxa"/>
            <w:vAlign w:val="bottom"/>
            <w:gridSpan w:val="2"/>
          </w:tcPr>
          <w:p>
            <w:pPr>
              <w:spacing w:after="0"/>
              <w:rPr>
                <w:sz w:val="20"/>
                <w:szCs w:val="20"/>
                <w:color w:val="auto"/>
              </w:rPr>
            </w:pPr>
            <w:r>
              <w:rPr>
                <w:rFonts w:ascii="Arial" w:cs="Arial" w:eastAsia="Arial" w:hAnsi="Arial"/>
                <w:sz w:val="18"/>
                <w:szCs w:val="18"/>
                <w:color w:val="auto"/>
              </w:rPr>
              <w:t>Norway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Palo Alto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Richardson LLC</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Russia Sales Ooo</w:t>
            </w:r>
          </w:p>
        </w:tc>
        <w:tc>
          <w:tcPr>
            <w:tcW w:w="1380" w:type="dxa"/>
            <w:vAlign w:val="bottom"/>
            <w:gridSpan w:val="2"/>
          </w:tcPr>
          <w:p>
            <w:pPr>
              <w:spacing w:after="0"/>
              <w:rPr>
                <w:sz w:val="20"/>
                <w:szCs w:val="20"/>
                <w:color w:val="auto"/>
              </w:rPr>
            </w:pPr>
            <w:r>
              <w:rPr>
                <w:rFonts w:ascii="Arial" w:cs="Arial" w:eastAsia="Arial" w:hAnsi="Arial"/>
                <w:sz w:val="18"/>
                <w:szCs w:val="18"/>
                <w:color w:val="auto"/>
                <w:w w:val="87"/>
              </w:rPr>
              <w:t>Russian Federation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Santa Rosa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California</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Manufacturing (Chengdu) Co.,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Technologies (Shanghai) Co.,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PRC</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Semiconductor Trading Limited Company</w:t>
            </w:r>
          </w:p>
        </w:tc>
        <w:tc>
          <w:tcPr>
            <w:tcW w:w="1380" w:type="dxa"/>
            <w:vAlign w:val="bottom"/>
            <w:gridSpan w:val="2"/>
          </w:tcPr>
          <w:p>
            <w:pPr>
              <w:spacing w:after="0"/>
              <w:rPr>
                <w:sz w:val="20"/>
                <w:szCs w:val="20"/>
                <w:color w:val="auto"/>
              </w:rPr>
            </w:pPr>
            <w:r>
              <w:rPr>
                <w:rFonts w:ascii="Arial" w:cs="Arial" w:eastAsia="Arial" w:hAnsi="Arial"/>
                <w:sz w:val="18"/>
                <w:szCs w:val="18"/>
                <w:color w:val="auto"/>
              </w:rPr>
              <w:t>Turkey</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Semicondutores e Tecnologias Ltda.</w:t>
            </w:r>
          </w:p>
        </w:tc>
        <w:tc>
          <w:tcPr>
            <w:tcW w:w="1380" w:type="dxa"/>
            <w:vAlign w:val="bottom"/>
            <w:gridSpan w:val="2"/>
          </w:tcPr>
          <w:p>
            <w:pPr>
              <w:spacing w:after="0"/>
              <w:rPr>
                <w:sz w:val="20"/>
                <w:szCs w:val="20"/>
                <w:color w:val="auto"/>
              </w:rPr>
            </w:pPr>
            <w:r>
              <w:rPr>
                <w:rFonts w:ascii="Arial" w:cs="Arial" w:eastAsia="Arial" w:hAnsi="Arial"/>
                <w:sz w:val="18"/>
                <w:szCs w:val="18"/>
                <w:color w:val="auto"/>
              </w:rPr>
              <w:t>Brazil</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Singapore (Pte)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Southeast Asia Pte. Ltd.</w:t>
            </w:r>
          </w:p>
        </w:tc>
        <w:tc>
          <w:tcPr>
            <w:tcW w:w="1380" w:type="dxa"/>
            <w:vAlign w:val="bottom"/>
            <w:gridSpan w:val="2"/>
          </w:tcPr>
          <w:p>
            <w:pPr>
              <w:spacing w:after="0"/>
              <w:rPr>
                <w:sz w:val="20"/>
                <w:szCs w:val="20"/>
                <w:color w:val="auto"/>
              </w:rPr>
            </w:pPr>
            <w:r>
              <w:rPr>
                <w:rFonts w:ascii="Arial" w:cs="Arial" w:eastAsia="Arial" w:hAnsi="Arial"/>
                <w:sz w:val="18"/>
                <w:szCs w:val="18"/>
                <w:color w:val="auto"/>
              </w:rPr>
              <w:t>Singapore</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Sunnyvale Incorporated</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Sweden AB</w:t>
            </w:r>
          </w:p>
        </w:tc>
        <w:tc>
          <w:tcPr>
            <w:tcW w:w="1380" w:type="dxa"/>
            <w:vAlign w:val="bottom"/>
            <w:gridSpan w:val="2"/>
          </w:tcPr>
          <w:p>
            <w:pPr>
              <w:spacing w:after="0"/>
              <w:rPr>
                <w:sz w:val="20"/>
                <w:szCs w:val="20"/>
                <w:color w:val="auto"/>
              </w:rPr>
            </w:pPr>
            <w:r>
              <w:rPr>
                <w:rFonts w:ascii="Arial" w:cs="Arial" w:eastAsia="Arial" w:hAnsi="Arial"/>
                <w:sz w:val="18"/>
                <w:szCs w:val="18"/>
                <w:color w:val="auto"/>
              </w:rPr>
              <w:t>Sweden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Taiwan Limited</w:t>
            </w:r>
          </w:p>
        </w:tc>
        <w:tc>
          <w:tcPr>
            <w:tcW w:w="1380" w:type="dxa"/>
            <w:vAlign w:val="bottom"/>
            <w:gridSpan w:val="2"/>
          </w:tcPr>
          <w:p>
            <w:pPr>
              <w:spacing w:after="0"/>
              <w:rPr>
                <w:sz w:val="20"/>
                <w:szCs w:val="20"/>
                <w:color w:val="auto"/>
              </w:rPr>
            </w:pPr>
            <w:r>
              <w:rPr>
                <w:rFonts w:ascii="Arial" w:cs="Arial" w:eastAsia="Arial" w:hAnsi="Arial"/>
                <w:sz w:val="18"/>
                <w:szCs w:val="18"/>
                <w:color w:val="auto"/>
              </w:rPr>
              <w:t>Taiwan</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Texas Instruments Tucson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TI (Philippines), Inc.</w:t>
            </w:r>
          </w:p>
        </w:tc>
        <w:tc>
          <w:tcPr>
            <w:tcW w:w="1380" w:type="dxa"/>
            <w:vAlign w:val="bottom"/>
            <w:gridSpan w:val="2"/>
          </w:tcPr>
          <w:p>
            <w:pPr>
              <w:spacing w:after="0"/>
              <w:rPr>
                <w:sz w:val="20"/>
                <w:szCs w:val="20"/>
                <w:color w:val="auto"/>
              </w:rPr>
            </w:pPr>
            <w:r>
              <w:rPr>
                <w:rFonts w:ascii="Arial" w:cs="Arial" w:eastAsia="Arial" w:hAnsi="Arial"/>
                <w:sz w:val="18"/>
                <w:szCs w:val="18"/>
                <w:color w:val="auto"/>
              </w:rPr>
              <w:t>Philippines</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TI Europe B.V.</w:t>
            </w:r>
          </w:p>
        </w:tc>
        <w:tc>
          <w:tcPr>
            <w:tcW w:w="1380" w:type="dxa"/>
            <w:vAlign w:val="bottom"/>
            <w:gridSpan w:val="2"/>
          </w:tcPr>
          <w:p>
            <w:pPr>
              <w:spacing w:after="0"/>
              <w:rPr>
                <w:sz w:val="20"/>
                <w:szCs w:val="20"/>
                <w:color w:val="auto"/>
              </w:rPr>
            </w:pPr>
            <w:r>
              <w:rPr>
                <w:rFonts w:ascii="Arial" w:cs="Arial" w:eastAsia="Arial" w:hAnsi="Arial"/>
                <w:sz w:val="18"/>
                <w:szCs w:val="18"/>
                <w:color w:val="auto"/>
              </w:rPr>
              <w:t>Netherlands</w:t>
            </w:r>
          </w:p>
        </w:tc>
      </w:tr>
      <w:tr>
        <w:trPr>
          <w:trHeight w:val="256"/>
        </w:trPr>
        <w:tc>
          <w:tcPr>
            <w:tcW w:w="7380" w:type="dxa"/>
            <w:vAlign w:val="bottom"/>
            <w:gridSpan w:val="2"/>
          </w:tcPr>
          <w:p>
            <w:pPr>
              <w:spacing w:after="0"/>
              <w:rPr>
                <w:sz w:val="20"/>
                <w:szCs w:val="20"/>
                <w:color w:val="auto"/>
              </w:rPr>
            </w:pPr>
            <w:r>
              <w:rPr>
                <w:rFonts w:ascii="Arial" w:cs="Arial" w:eastAsia="Arial" w:hAnsi="Arial"/>
                <w:sz w:val="18"/>
                <w:szCs w:val="18"/>
                <w:color w:val="auto"/>
              </w:rPr>
              <w:t>Unitrode Corporation</w:t>
            </w:r>
          </w:p>
        </w:tc>
        <w:tc>
          <w:tcPr>
            <w:tcW w:w="1380" w:type="dxa"/>
            <w:vAlign w:val="bottom"/>
            <w:gridSpan w:val="2"/>
          </w:tcPr>
          <w:p>
            <w:pPr>
              <w:spacing w:after="0"/>
              <w:rPr>
                <w:sz w:val="20"/>
                <w:szCs w:val="20"/>
                <w:color w:val="auto"/>
              </w:rPr>
            </w:pPr>
            <w:r>
              <w:rPr>
                <w:rFonts w:ascii="Arial" w:cs="Arial" w:eastAsia="Arial" w:hAnsi="Arial"/>
                <w:sz w:val="18"/>
                <w:szCs w:val="18"/>
                <w:color w:val="auto"/>
              </w:rPr>
              <w:t>Maryland</w:t>
            </w:r>
          </w:p>
        </w:tc>
      </w:tr>
      <w:tr>
        <w:trPr>
          <w:trHeight w:val="257"/>
        </w:trPr>
        <w:tc>
          <w:tcPr>
            <w:tcW w:w="7380" w:type="dxa"/>
            <w:vAlign w:val="bottom"/>
            <w:gridSpan w:val="2"/>
          </w:tcPr>
          <w:p>
            <w:pPr>
              <w:spacing w:after="0"/>
              <w:rPr>
                <w:sz w:val="20"/>
                <w:szCs w:val="20"/>
                <w:color w:val="auto"/>
              </w:rPr>
            </w:pPr>
            <w:r>
              <w:rPr>
                <w:rFonts w:ascii="Arial" w:cs="Arial" w:eastAsia="Arial" w:hAnsi="Arial"/>
                <w:sz w:val="18"/>
                <w:szCs w:val="18"/>
                <w:color w:val="auto"/>
              </w:rPr>
              <w:t>Unitrode-Maine</w:t>
            </w:r>
          </w:p>
        </w:tc>
        <w:tc>
          <w:tcPr>
            <w:tcW w:w="1380" w:type="dxa"/>
            <w:vAlign w:val="bottom"/>
            <w:gridSpan w:val="2"/>
          </w:tcPr>
          <w:p>
            <w:pPr>
              <w:spacing w:after="0"/>
              <w:rPr>
                <w:sz w:val="20"/>
                <w:szCs w:val="20"/>
                <w:color w:val="auto"/>
              </w:rPr>
            </w:pPr>
            <w:r>
              <w:rPr>
                <w:rFonts w:ascii="Arial" w:cs="Arial" w:eastAsia="Arial" w:hAnsi="Arial"/>
                <w:sz w:val="18"/>
                <w:szCs w:val="18"/>
                <w:color w:val="auto"/>
              </w:rPr>
              <w:t>Maine</w:t>
            </w:r>
          </w:p>
        </w:tc>
      </w:tr>
    </w:tbl>
    <w:p>
      <w:pPr>
        <w:sectPr>
          <w:pgSz w:w="11900" w:h="16838" w:orient="portrait"/>
          <w:cols w:equalWidth="0" w:num="1">
            <w:col w:w="10119"/>
          </w:cols>
          <w:pgMar w:left="340" w:top="932"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u w:val="single" w:color="auto"/>
          <w:color w:val="auto"/>
        </w:rPr>
        <w:t>Exhibit 23</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1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We consent to the incorporation by reference in the following registration statements of Texas Instruments Incorporated and in the related prospectuses of our reports dated February 5, 2021, with respect to the consolidated financial statements of Texas Instruments Incorporated, and the effectiveness of internal control over financial reporting of Texas Instruments Incorporated, included in this Annual Report on Form 10-K for the year ended December 31, 2020: Registration Statements (Forms S-8) No. 333-158933, No. 333-158934, No. 33-42172, No. 33-54615, No. 33-61154, No. 333-07127 (as amended), No. 333-41913, No. 333-41919, No. 333-31321 (as amended), No. 333-31323, No. 333-48389, No. 333-44662, No. 333-107759, No. 333-107760, No. 333-107761, No. 333-127021, No. 333-177235, No. 333-195692, No. 333-211111 and No. 333-224639; Registration Statements (Forms S-3) No. 333-165045, No. 333-186803, No. 333-209678, and No. 333-229797; and Registration Statements (Forms S-4) No. 333-89433 (as amended), No. 333-87199, No. 333-80157 (as amended), and No. 333-41030 (as amended).</w:t>
      </w:r>
    </w:p>
    <w:p>
      <w:pPr>
        <w:spacing w:after="0" w:line="235"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/S/ ERNST &amp; YOUNG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23495</wp:posOffset>
            </wp:positionV>
            <wp:extent cx="2143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9">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4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ERNST &amp; YOUNG LLP</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February 5, 2021</w:t>
      </w:r>
    </w:p>
    <w:p>
      <w:pPr>
        <w:sectPr>
          <w:pgSz w:w="11900" w:h="16838" w:orient="portrait"/>
          <w:cols w:equalWidth="0" w:num="1">
            <w:col w:w="11240"/>
          </w:cols>
          <w:pgMar w:left="320" w:top="1421"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u w:val="single" w:color="auto"/>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Richard K. Templeton, certify that:</w:t>
      </w:r>
    </w:p>
    <w:p>
      <w:pPr>
        <w:spacing w:after="0" w:line="225" w:lineRule="exact"/>
        <w:rPr>
          <w:sz w:val="20"/>
          <w:szCs w:val="20"/>
          <w:color w:val="auto"/>
        </w:rPr>
      </w:pPr>
    </w:p>
    <w:p>
      <w:pPr>
        <w:ind w:left="500" w:hanging="492"/>
        <w:spacing w:after="0"/>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5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0">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ind w:left="8800"/>
        <w:spacing w:after="0" w:line="203" w:lineRule="auto"/>
        <w:rPr>
          <w:sz w:val="20"/>
          <w:szCs w:val="20"/>
          <w:color w:val="auto"/>
        </w:rPr>
      </w:pPr>
      <w:r>
        <w:rPr>
          <w:rFonts w:ascii="Arial" w:cs="Arial" w:eastAsia="Arial" w:hAnsi="Arial"/>
          <w:sz w:val="18"/>
          <w:szCs w:val="18"/>
          <w:color w:val="auto"/>
        </w:rPr>
        <w:t>Chairman, President and</w:t>
      </w:r>
    </w:p>
    <w:p>
      <w:pPr>
        <w:ind w:left="8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1"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u w:val="single" w:color="auto"/>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Rafael R. Lizardi, certify that:</w:t>
      </w:r>
    </w:p>
    <w:p>
      <w:pPr>
        <w:spacing w:after="0" w:line="225" w:lineRule="exact"/>
        <w:rPr>
          <w:sz w:val="20"/>
          <w:szCs w:val="20"/>
          <w:color w:val="auto"/>
        </w:rPr>
      </w:pPr>
    </w:p>
    <w:p>
      <w:pPr>
        <w:ind w:left="500" w:hanging="492"/>
        <w:spacing w:after="0"/>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report on Form 10-K of Texas Instruments Incorporated;</w:t>
      </w:r>
    </w:p>
    <w:p>
      <w:pPr>
        <w:spacing w:after="0" w:line="225" w:lineRule="exact"/>
        <w:rPr>
          <w:rFonts w:ascii="Arial" w:cs="Arial" w:eastAsia="Arial" w:hAnsi="Arial"/>
          <w:sz w:val="18"/>
          <w:szCs w:val="18"/>
          <w:color w:val="auto"/>
        </w:rPr>
      </w:pPr>
    </w:p>
    <w:p>
      <w:pPr>
        <w:jc w:val="both"/>
        <w:ind w:left="500" w:right="28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500" w:right="240" w:hanging="492"/>
        <w:spacing w:after="0" w:line="308" w:lineRule="auto"/>
        <w:tabs>
          <w:tab w:leader="none" w:pos="5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500" w:right="280" w:hanging="492"/>
        <w:spacing w:after="0" w:line="263" w:lineRule="auto"/>
        <w:tabs>
          <w:tab w:leader="none" w:pos="5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486"/>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486"/>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486"/>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486"/>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500" w:right="240" w:hanging="492"/>
        <w:spacing w:after="0" w:line="342" w:lineRule="auto"/>
        <w:tabs>
          <w:tab w:leader="none" w:pos="50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486"/>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486"/>
        <w:spacing w:after="0" w:line="277"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5, 2021</w:t>
      </w:r>
    </w:p>
    <w:p>
      <w:pPr>
        <w:spacing w:after="0" w:line="50"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1">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1111" w:right="3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u w:val="single" w:color="auto"/>
          <w:color w:val="auto"/>
        </w:rPr>
        <w:t>Exhibit 32(a)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Richard K.</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Templeton, chairman, president and chief executive officer of Texas Instruments Incorporated (the “Company”), hereby certifies that, to his knowledge:</w:t>
      </w:r>
    </w:p>
    <w:p>
      <w:pPr>
        <w:spacing w:after="0" w:line="234" w:lineRule="exact"/>
        <w:rPr>
          <w:sz w:val="20"/>
          <w:szCs w:val="20"/>
          <w:color w:val="auto"/>
        </w:rPr>
      </w:pPr>
    </w:p>
    <w:p>
      <w:pPr>
        <w:ind w:right="100" w:firstLine="494"/>
        <w:spacing w:after="0" w:line="342" w:lineRule="auto"/>
        <w:tabs>
          <w:tab w:leader="none" w:pos="701"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left="760" w:hanging="266"/>
        <w:spacing w:after="0"/>
        <w:tabs>
          <w:tab w:leader="none" w:pos="7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5, 2021</w:t>
      </w:r>
    </w:p>
    <w:p>
      <w:pPr>
        <w:spacing w:after="0" w:line="50" w:lineRule="exact"/>
        <w:rPr>
          <w:sz w:val="20"/>
          <w:szCs w:val="20"/>
          <w:color w:val="auto"/>
        </w:rPr>
      </w:pPr>
    </w:p>
    <w:p>
      <w:pPr>
        <w:ind w:left="8780"/>
        <w:spacing w:after="0"/>
        <w:rPr>
          <w:sz w:val="20"/>
          <w:szCs w:val="20"/>
          <w:color w:val="auto"/>
        </w:rPr>
      </w:pPr>
      <w:r>
        <w:rPr>
          <w:rFonts w:ascii="Arial" w:cs="Arial" w:eastAsia="Arial" w:hAnsi="Arial"/>
          <w:sz w:val="18"/>
          <w:szCs w:val="18"/>
          <w:color w:val="auto"/>
        </w:rPr>
        <w:t>/s/ Richard K. Templeton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2">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8900"/>
        <w:spacing w:after="0"/>
        <w:rPr>
          <w:sz w:val="20"/>
          <w:szCs w:val="20"/>
          <w:color w:val="auto"/>
        </w:rPr>
      </w:pPr>
      <w:r>
        <w:rPr>
          <w:rFonts w:ascii="Arial" w:cs="Arial" w:eastAsia="Arial" w:hAnsi="Arial"/>
          <w:sz w:val="18"/>
          <w:szCs w:val="18"/>
          <w:color w:val="auto"/>
        </w:rPr>
        <w:t>Richard K. Templeton</w:t>
      </w:r>
    </w:p>
    <w:p>
      <w:pPr>
        <w:ind w:left="8800"/>
        <w:spacing w:after="0" w:line="203" w:lineRule="auto"/>
        <w:rPr>
          <w:sz w:val="20"/>
          <w:szCs w:val="20"/>
          <w:color w:val="auto"/>
        </w:rPr>
      </w:pPr>
      <w:r>
        <w:rPr>
          <w:rFonts w:ascii="Arial" w:cs="Arial" w:eastAsia="Arial" w:hAnsi="Arial"/>
          <w:sz w:val="18"/>
          <w:szCs w:val="18"/>
          <w:color w:val="auto"/>
        </w:rPr>
        <w:t>Chairman, President and</w:t>
      </w:r>
    </w:p>
    <w:p>
      <w:pPr>
        <w:ind w:left="88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1111"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u w:val="single" w:color="auto"/>
          <w:color w:val="auto"/>
        </w:rPr>
        <w:t>Exhibit 32(b)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Periodic Report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211" w:lineRule="exact"/>
        <w:rPr>
          <w:sz w:val="20"/>
          <w:szCs w:val="20"/>
          <w:color w:val="auto"/>
        </w:rPr>
      </w:pPr>
    </w:p>
    <w:p>
      <w:pPr>
        <w:ind w:right="100" w:firstLine="486"/>
        <w:spacing w:after="0" w:line="308" w:lineRule="auto"/>
        <w:rPr>
          <w:sz w:val="20"/>
          <w:szCs w:val="20"/>
          <w:color w:val="auto"/>
        </w:rPr>
      </w:pPr>
      <w:r>
        <w:rPr>
          <w:rFonts w:ascii="Arial" w:cs="Arial" w:eastAsia="Arial" w:hAnsi="Arial"/>
          <w:sz w:val="17"/>
          <w:szCs w:val="17"/>
          <w:color w:val="auto"/>
        </w:rPr>
        <w:t>For purposes of 18 U.S.C. Section 1350, as adopted pursuant to Section 906 of the Sarbanes-Oxley Act of 2002, the undersigned, Rafael R. Lizardi, senior vice president and chief financial officer of Texas Instruments Incorporated (the “Company”), hereby certifies that, to his knowledge:</w:t>
      </w:r>
    </w:p>
    <w:p>
      <w:pPr>
        <w:spacing w:after="0" w:line="146" w:lineRule="exact"/>
        <w:rPr>
          <w:sz w:val="20"/>
          <w:szCs w:val="20"/>
          <w:color w:val="auto"/>
        </w:rPr>
      </w:pPr>
    </w:p>
    <w:p>
      <w:pPr>
        <w:ind w:right="100" w:firstLine="494"/>
        <w:spacing w:after="0" w:line="342" w:lineRule="auto"/>
        <w:tabs>
          <w:tab w:leader="none" w:pos="701"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Annual Report on Form 10-K of the Company for the year ended December 31, 2020, as filed with the Securities and Exchange Commission on the date hereof (the “Report”) fully complies with the requirements of Section 13(a) or 15(d) of the Securities Exchange Act of 1934; and</w:t>
      </w:r>
    </w:p>
    <w:p>
      <w:pPr>
        <w:spacing w:after="0" w:line="123" w:lineRule="exact"/>
        <w:rPr>
          <w:rFonts w:ascii="Arial" w:cs="Arial" w:eastAsia="Arial" w:hAnsi="Arial"/>
          <w:sz w:val="16"/>
          <w:szCs w:val="16"/>
          <w:color w:val="auto"/>
        </w:rPr>
      </w:pPr>
    </w:p>
    <w:p>
      <w:pPr>
        <w:ind w:right="100" w:firstLine="494"/>
        <w:spacing w:after="0" w:line="524" w:lineRule="auto"/>
        <w:tabs>
          <w:tab w:leader="none" w:pos="751"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Dated: February 5, 2021</w:t>
      </w:r>
    </w:p>
    <w:p>
      <w:pPr>
        <w:spacing w:after="0" w:line="1" w:lineRule="exact"/>
        <w:rPr>
          <w:sz w:val="20"/>
          <w:szCs w:val="20"/>
          <w:color w:val="auto"/>
        </w:rPr>
      </w:pPr>
    </w:p>
    <w:p>
      <w:pPr>
        <w:ind w:left="8960"/>
        <w:spacing w:after="0"/>
        <w:rPr>
          <w:sz w:val="20"/>
          <w:szCs w:val="20"/>
          <w:color w:val="auto"/>
        </w:rPr>
      </w:pPr>
      <w:r>
        <w:rPr>
          <w:rFonts w:ascii="Arial" w:cs="Arial" w:eastAsia="Arial" w:hAnsi="Arial"/>
          <w:sz w:val="18"/>
          <w:szCs w:val="18"/>
          <w:color w:val="auto"/>
        </w:rPr>
        <w:t>/s/ Rafael R. Lizardi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5173980</wp:posOffset>
            </wp:positionH>
            <wp:positionV relativeFrom="paragraph">
              <wp:posOffset>14605</wp:posOffset>
            </wp:positionV>
            <wp:extent cx="19627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3">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 w:lineRule="exact"/>
        <w:rPr>
          <w:sz w:val="20"/>
          <w:szCs w:val="20"/>
          <w:color w:val="auto"/>
        </w:rPr>
      </w:pPr>
    </w:p>
    <w:p>
      <w:pPr>
        <w:ind w:left="9080"/>
        <w:spacing w:after="0"/>
        <w:rPr>
          <w:sz w:val="20"/>
          <w:szCs w:val="20"/>
          <w:color w:val="auto"/>
        </w:rPr>
      </w:pPr>
      <w:r>
        <w:rPr>
          <w:rFonts w:ascii="Arial" w:cs="Arial" w:eastAsia="Arial" w:hAnsi="Arial"/>
          <w:sz w:val="18"/>
          <w:szCs w:val="18"/>
          <w:color w:val="auto"/>
        </w:rPr>
        <w:t>Rafael R. Lizardi</w:t>
      </w:r>
    </w:p>
    <w:p>
      <w:pPr>
        <w:jc w:val="center"/>
        <w:ind w:left="8120"/>
        <w:spacing w:after="0" w:line="203" w:lineRule="auto"/>
        <w:rPr>
          <w:sz w:val="20"/>
          <w:szCs w:val="20"/>
          <w:color w:val="auto"/>
        </w:rPr>
      </w:pPr>
      <w:r>
        <w:rPr>
          <w:rFonts w:ascii="Arial" w:cs="Arial" w:eastAsia="Arial" w:hAnsi="Arial"/>
          <w:sz w:val="18"/>
          <w:szCs w:val="18"/>
          <w:color w:val="auto"/>
        </w:rPr>
        <w:t>Senior Vice President and</w:t>
      </w:r>
    </w:p>
    <w:p>
      <w:pPr>
        <w:jc w:val="center"/>
        <w:ind w:left="81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1)"/>
      <w:numFmt w:val="lowerLetter"/>
      <w:start w:val="1"/>
    </w:lvl>
  </w:abstractNum>
  <w:abstractNum w:abstractNumId="3">
    <w:nsid w:val="333AB105"/>
    <w:multiLevelType w:val="hybridMultilevel"/>
    <w:lvl w:ilvl="0">
      <w:lvlJc w:val="left"/>
      <w:lvlText w:val="%1."/>
      <w:numFmt w:val="decimal"/>
      <w:start w:val="1"/>
    </w:lvl>
    <w:lvl w:ilvl="1">
      <w:lvlJc w:val="left"/>
      <w:lvlText w:val="%2."/>
      <w:numFmt w:val="lowerRoman"/>
      <w:start w:val="1"/>
    </w:lvl>
  </w:abstractNum>
  <w:abstractNum w:abstractNumId="4">
    <w:nsid w:val="721DA317"/>
    <w:multiLevelType w:val="hybridMultilevel"/>
    <w:lvl w:ilvl="0">
      <w:lvlJc w:val="left"/>
      <w:lvlText w:val="%1."/>
      <w:numFmt w:val="decimal"/>
      <w:start w:val="2"/>
    </w:lvl>
  </w:abstractNum>
  <w:abstractNum w:abstractNumId="5">
    <w:nsid w:val="2443A858"/>
    <w:multiLevelType w:val="hybridMultilevel"/>
    <w:lvl w:ilvl="0">
      <w:lvlJc w:val="left"/>
      <w:lvlText w:val="•"/>
      <w:numFmt w:val="bullet"/>
      <w:start w:val="1"/>
    </w:lvl>
    <w:lvl w:ilvl="1">
      <w:lvlJc w:val="left"/>
      <w:lvlText w:val="◦"/>
      <w:numFmt w:val="bullet"/>
      <w:start w:val="1"/>
    </w:lvl>
  </w:abstractNum>
  <w:abstractNum w:abstractNumId="6">
    <w:nsid w:val="2D1D5AE9"/>
    <w:multiLevelType w:val="hybridMultilevel"/>
    <w:lvl w:ilvl="0">
      <w:lvlJc w:val="left"/>
      <w:lvlText w:val="•"/>
      <w:numFmt w:val="bullet"/>
      <w:start w:val="1"/>
    </w:lvl>
    <w:lvl w:ilvl="1">
      <w:lvlJc w:val="left"/>
      <w:lvlText w:val="◦"/>
      <w:numFmt w:val="bullet"/>
      <w:start w:val="1"/>
    </w:lvl>
  </w:abstractNum>
  <w:abstractNum w:abstractNumId="7">
    <w:nsid w:val="6763845E"/>
    <w:multiLevelType w:val="hybridMultilevel"/>
    <w:lvl w:ilvl="0">
      <w:lvlJc w:val="left"/>
      <w:lvlText w:val="(%1)"/>
      <w:numFmt w:val="lowerLetter"/>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1."/>
      <w:numFmt w:val="decimal"/>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1)"/>
      <w:numFmt w:val="lowerLetter"/>
      <w:start w:val="1"/>
    </w:lvl>
  </w:abstractNum>
  <w:abstractNum w:abstractNumId="13">
    <w:nsid w:val="189A769B"/>
    <w:multiLevelType w:val="hybridMultilevel"/>
    <w:lvl w:ilvl="0">
      <w:lvlJc w:val="left"/>
      <w:lvlText w:val="(%1)"/>
      <w:numFmt w:val="lowerLetter"/>
      <w:start w:val="1"/>
    </w:lvl>
  </w:abstractNum>
  <w:abstractNum w:abstractNumId="14">
    <w:nsid w:val="54E49EB4"/>
    <w:multiLevelType w:val="hybridMultilevel"/>
    <w:lvl w:ilvl="0">
      <w:lvlJc w:val="left"/>
      <w:lvlText w:val="%1."/>
      <w:numFmt w:val="decimal"/>
      <w:start w:val="2"/>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1."/>
      <w:numFmt w:val="decimal"/>
      <w:start w:val="3"/>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decimal"/>
      <w:start w:val="5"/>
    </w:lvl>
  </w:abstractNum>
  <w:abstractNum w:abstractNumId="21">
    <w:nsid w:val="1E7FF521"/>
    <w:multiLevelType w:val="hybridMultilevel"/>
    <w:lvl w:ilvl="0">
      <w:lvlJc w:val="left"/>
      <w:lvlText w:val="%1."/>
      <w:numFmt w:val="decimal"/>
      <w:start w:val="6"/>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8"/>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decimal"/>
      <w:start w:val="9"/>
    </w:lvl>
  </w:abstractNum>
  <w:abstractNum w:abstractNumId="26">
    <w:nsid w:val="4516DDE9"/>
    <w:multiLevelType w:val="hybridMultilevel"/>
    <w:lvl w:ilvl="0">
      <w:lvlJc w:val="left"/>
      <w:lvlText w:val="%1."/>
      <w:numFmt w:val="decimal"/>
      <w:start w:val="10"/>
    </w:lvl>
  </w:abstractNum>
  <w:abstractNum w:abstractNumId="27">
    <w:nsid w:val="3006C83E"/>
    <w:multiLevelType w:val="hybridMultilevel"/>
    <w:lvl w:ilvl="0">
      <w:lvlJc w:val="left"/>
      <w:lvlText w:val="%1."/>
      <w:numFmt w:val="decimal"/>
      <w:start w:val="11"/>
    </w:lvl>
  </w:abstractNum>
  <w:abstractNum w:abstractNumId="28">
    <w:nsid w:val="614FD4A1"/>
    <w:multiLevelType w:val="hybridMultilevel"/>
    <w:lvl w:ilvl="0">
      <w:lvlJc w:val="left"/>
      <w:lvlText w:val="%1."/>
      <w:numFmt w:val="decimal"/>
      <w:start w:val="12"/>
    </w:lvl>
  </w:abstractNum>
  <w:abstractNum w:abstractNumId="29">
    <w:nsid w:val="419AC241"/>
    <w:multiLevelType w:val="hybridMultilevel"/>
    <w:lvl w:ilvl="0">
      <w:lvlJc w:val="left"/>
      <w:lvlText w:val="(%1)"/>
      <w:numFmt w:val="lowerLetter"/>
      <w:start w:val="1"/>
    </w:lvl>
  </w:abstractNum>
  <w:abstractNum w:abstractNumId="30">
    <w:nsid w:val="5577F8E1"/>
    <w:multiLevelType w:val="hybridMultilevel"/>
    <w:lvl w:ilvl="0">
      <w:lvlJc w:val="left"/>
      <w:lvlText w:val="%1."/>
      <w:numFmt w:val="decimal"/>
      <w:start w:val="13"/>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1."/>
      <w:numFmt w:val="decimal"/>
      <w:start w:val="1"/>
    </w:lvl>
    <w:lvl w:ilvl="1">
      <w:lvlJc w:val="left"/>
      <w:lvlText w:val="(%2)"/>
      <w:numFmt w:val="lowerLetter"/>
      <w:start w:val="1"/>
    </w:lvl>
  </w:abstractNum>
  <w:abstractNum w:abstractNumId="36">
    <w:nsid w:val="5C482A97"/>
    <w:multiLevelType w:val="hybridMultilevel"/>
    <w:lvl w:ilvl="0">
      <w:lvlJc w:val="left"/>
      <w:lvlText w:val="%1."/>
      <w:numFmt w:val="decimal"/>
      <w:start w:val="1"/>
    </w:lvl>
    <w:lvl w:ilvl="1">
      <w:lvlJc w:val="left"/>
      <w:lvlText w:val="(%2)"/>
      <w:numFmt w:val="lowerLetter"/>
      <w:start w:val="1"/>
    </w:lvl>
  </w:abstractNum>
  <w:abstractNum w:abstractNumId="37">
    <w:nsid w:val="2463B9EA"/>
    <w:multiLevelType w:val="hybridMultilevel"/>
    <w:lvl w:ilvl="0">
      <w:lvlJc w:val="left"/>
      <w:lvlText w:val="(%1)"/>
      <w:numFmt w:val="lowerRoman"/>
      <w:start w:val="1"/>
    </w:lvl>
  </w:abstractNum>
  <w:abstractNum w:abstractNumId="38">
    <w:nsid w:val="5E884ADC"/>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104" Type="http://schemas.openxmlformats.org/officeDocument/2006/relationships/image" Target="media/image72.png"/><Relationship Id="rId105" Type="http://schemas.openxmlformats.org/officeDocument/2006/relationships/image" Target="media/image73.png"/><Relationship Id="rId106" Type="http://schemas.openxmlformats.org/officeDocument/2006/relationships/image" Target="media/image74.png"/><Relationship Id="rId107" Type="http://schemas.openxmlformats.org/officeDocument/2006/relationships/image" Target="media/image75.png"/><Relationship Id="rId108" Type="http://schemas.openxmlformats.org/officeDocument/2006/relationships/image" Target="media/image76.png"/><Relationship Id="rId109" Type="http://schemas.openxmlformats.org/officeDocument/2006/relationships/image" Target="media/image77.png"/><Relationship Id="rId110" Type="http://schemas.openxmlformats.org/officeDocument/2006/relationships/image" Target="media/image78.png"/><Relationship Id="rId111" Type="http://schemas.openxmlformats.org/officeDocument/2006/relationships/image" Target="media/image79.png"/><Relationship Id="rId112" Type="http://schemas.openxmlformats.org/officeDocument/2006/relationships/image" Target="media/image80.png"/><Relationship Id="rId113" Type="http://schemas.openxmlformats.org/officeDocument/2006/relationships/image" Target="media/image81.png"/><Relationship Id="rId79" Type="http://schemas.openxmlformats.org/officeDocument/2006/relationships/hyperlink" Target="http://www.sec.gov/Archives/edgar/data/97476/000009747615000003/txn-12312014xexhibit3a.htm" TargetMode="External"/><Relationship Id="rId80" Type="http://schemas.openxmlformats.org/officeDocument/2006/relationships/hyperlink" Target="http://www.sec.gov/Archives/edgar/data/97476/000119312520194080/d949258dex3.htm" TargetMode="External"/><Relationship Id="rId81" Type="http://schemas.openxmlformats.org/officeDocument/2006/relationships/hyperlink" Target="http://www.sec.gov/Archives/edgar/data/97476/000119312511147104/dex42.htm" TargetMode="External"/><Relationship Id="rId82" Type="http://schemas.openxmlformats.org/officeDocument/2006/relationships/hyperlink" Target="http://www.sec.gov/Archives/edgar/data/97476/000119312513206195/d533359dex42.htm" TargetMode="External"/><Relationship Id="rId83" Type="http://schemas.openxmlformats.org/officeDocument/2006/relationships/hyperlink" Target="http://www.sec.gov/Archives/edgar/data/97476/000119312514094885/d691140dex42.htm" TargetMode="External"/><Relationship Id="rId84" Type="http://schemas.openxmlformats.org/officeDocument/2006/relationships/hyperlink" Target="http://www.sec.gov/Archives/edgar/data/97476/000119312516581435/d194090dex41.htm" TargetMode="External"/><Relationship Id="rId85" Type="http://schemas.openxmlformats.org/officeDocument/2006/relationships/hyperlink" Target="http://www.sec.gov/Archives/edgar/data/97476/000119312517158011/d582525dex41.htm" TargetMode="External"/><Relationship Id="rId86" Type="http://schemas.openxmlformats.org/officeDocument/2006/relationships/hyperlink" Target="http://www.sec.gov/Archives/edgar/data/97476/000119312517332507/d482992dex41.htm" TargetMode="External"/><Relationship Id="rId87" Type="http://schemas.openxmlformats.org/officeDocument/2006/relationships/hyperlink" Target="http://www.sec.gov/Archives/edgar/data/97476/000119312518154669/d579571dex41.htm" TargetMode="External"/><Relationship Id="rId88" Type="http://schemas.openxmlformats.org/officeDocument/2006/relationships/hyperlink" Target="http://www.sec.gov/Archives/edgar/data/97476/000119312518187735/d603255dex41.htm" TargetMode="External"/><Relationship Id="rId89" Type="http://schemas.openxmlformats.org/officeDocument/2006/relationships/hyperlink" Target="http://www.sec.gov/Archives/edgar/data/97476/000119312519070297/d713107dex41.htm" TargetMode="External"/><Relationship Id="rId90" Type="http://schemas.openxmlformats.org/officeDocument/2006/relationships/hyperlink" Target="http://www.sec.gov/Archives/edgar/data/97476/000119312519237540/d783480dex41.htm" TargetMode="External"/><Relationship Id="rId91" Type="http://schemas.openxmlformats.org/officeDocument/2006/relationships/hyperlink" Target="http://www.sec.gov/Archives/edgar/data/97476/000119312520071568/d883949dex41.htm" TargetMode="External"/><Relationship Id="rId92" Type="http://schemas.openxmlformats.org/officeDocument/2006/relationships/hyperlink" Target="http://www.sec.gov/Archives/edgar/data/97476/000156459020020837/txn-ex41_7.htm" TargetMode="External"/><Relationship Id="rId93" Type="http://schemas.openxmlformats.org/officeDocument/2006/relationships/hyperlink" Target="http://www.sec.gov/Archives/edgar/data/97476/000009747620000009/q42019txnex4l.htm" TargetMode="External"/><Relationship Id="rId94" Type="http://schemas.openxmlformats.org/officeDocument/2006/relationships/hyperlink" Target="http://www.sec.gov/Archives/edgar/data/97476/000156459016013126/txn-ex10a_325.htm" TargetMode="External"/><Relationship Id="rId95" Type="http://schemas.openxmlformats.org/officeDocument/2006/relationships/hyperlink" Target="http://www.sec.gov/Archives/edgar/data/97476/000156459016013126/txn-ex10b_263.htm" TargetMode="External"/><Relationship Id="rId96" Type="http://schemas.openxmlformats.org/officeDocument/2006/relationships/hyperlink" Target="http://www.sec.gov/Archives/edgar/data/97476/000156459016013126/txn-ex10c_264.htm" TargetMode="External"/><Relationship Id="rId97" Type="http://schemas.openxmlformats.org/officeDocument/2006/relationships/hyperlink" Target="http://www.sec.gov/Archives/edgar/data/97476/000009747612000010/txn-12312011xexhibit10c.htm" TargetMode="External"/><Relationship Id="rId98" Type="http://schemas.openxmlformats.org/officeDocument/2006/relationships/hyperlink" Target="http://www.sec.gov/Archives/edgar/data/97476/000009747615000003/txn-12312014xexhibit10j.htm" TargetMode="External"/><Relationship Id="rId99" Type="http://schemas.openxmlformats.org/officeDocument/2006/relationships/hyperlink" Target="http://www.sec.gov/Archives/edgar/data/97476/000156459017002142/txn-ex10k_1019.htm" TargetMode="External"/><Relationship Id="rId100" Type="http://schemas.openxmlformats.org/officeDocument/2006/relationships/hyperlink" Target="http://www.sec.gov/Archives/edgar/data/97476/000156459017002142/txn-ex10l_1018.htm" TargetMode="External"/><Relationship Id="rId101" Type="http://schemas.openxmlformats.org/officeDocument/2006/relationships/hyperlink" Target="http://www.sec.gov/Archives/edgar/data/97476/000119312516497866/d117862ddef14a.htm" TargetMode="External"/><Relationship Id="rId102" Type="http://schemas.openxmlformats.org/officeDocument/2006/relationships/hyperlink" Target="http://www.sec.gov/Archives/edgar/data/97476/000156459017002142/txn-ex10n_1020.htm" TargetMode="External"/><Relationship Id="rId103" Type="http://schemas.openxmlformats.org/officeDocument/2006/relationships/hyperlink" Target="http://www.sec.gov/Archives/edgar/data/97476/000009747620000009/q42019txne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2021-02-05T15:46:38Z</dcterms:created>
  <dcterms:modified xsi:type="dcterms:W3CDTF">2021-02-05T15:46:38Z</dcterms:modified>
</cp:coreProperties>
</file>