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ind w:left="7940"/>
        <w:spacing w:after="0"/>
        <w:rPr>
          <w:sz w:val="20"/>
          <w:szCs w:val="20"/>
          <w:color w:val="auto"/>
        </w:rPr>
      </w:pPr>
      <w:r>
        <w:rPr>
          <w:rFonts w:ascii="Arial" w:cs="Arial" w:eastAsia="Arial" w:hAnsi="Arial"/>
          <w:sz w:val="18"/>
          <w:szCs w:val="18"/>
          <w:b w:val="1"/>
          <w:bCs w:val="1"/>
          <w:color w:val="auto"/>
        </w:rPr>
        <w:t>Registration No. 333-262523</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(To Prospectus Dated February 4, 2022)</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$800,000,000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2139315</wp:posOffset>
            </wp:positionH>
            <wp:positionV relativeFrom="paragraph">
              <wp:posOffset>178435</wp:posOffset>
            </wp:positionV>
            <wp:extent cx="287147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3640"/>
        <w:spacing w:after="0"/>
        <w:rPr>
          <w:sz w:val="20"/>
          <w:szCs w:val="20"/>
          <w:color w:val="auto"/>
        </w:rPr>
      </w:pPr>
      <w:r>
        <w:rPr>
          <w:rFonts w:ascii="Arial" w:cs="Arial" w:eastAsia="Arial" w:hAnsi="Arial"/>
          <w:sz w:val="25"/>
          <w:szCs w:val="25"/>
          <w:b w:val="1"/>
          <w:bCs w:val="1"/>
          <w:color w:val="auto"/>
        </w:rPr>
        <w:t>$300,000,000 4.700% Notes due 2024</w:t>
      </w:r>
    </w:p>
    <w:p>
      <w:pPr>
        <w:spacing w:after="0" w:line="38" w:lineRule="exact"/>
        <w:rPr>
          <w:sz w:val="24"/>
          <w:szCs w:val="24"/>
          <w:color w:val="auto"/>
        </w:rPr>
      </w:pPr>
    </w:p>
    <w:p>
      <w:pPr>
        <w:ind w:left="3640"/>
        <w:spacing w:after="0"/>
        <w:rPr>
          <w:sz w:val="20"/>
          <w:szCs w:val="20"/>
          <w:color w:val="auto"/>
        </w:rPr>
      </w:pPr>
      <w:r>
        <w:rPr>
          <w:rFonts w:ascii="Arial" w:cs="Arial" w:eastAsia="Arial" w:hAnsi="Arial"/>
          <w:sz w:val="25"/>
          <w:szCs w:val="25"/>
          <w:b w:val="1"/>
          <w:bCs w:val="1"/>
          <w:color w:val="auto"/>
        </w:rPr>
        <w:t>$500,000,000 4.600% Notes due 2028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ind w:left="120"/>
        <w:spacing w:after="0"/>
        <w:rPr>
          <w:sz w:val="20"/>
          <w:szCs w:val="20"/>
          <w:color w:val="auto"/>
        </w:rPr>
      </w:pPr>
      <w:r>
        <w:rPr>
          <w:rFonts w:ascii="Arial" w:cs="Arial" w:eastAsia="Arial" w:hAnsi="Arial"/>
          <w:sz w:val="17"/>
          <w:szCs w:val="17"/>
          <w:color w:val="auto"/>
        </w:rPr>
        <w:t>Texas Instruments Incorporated is offering $300,000,000 aggregate principal amount of its 4.700% Notes due 2024 (the “2024 Notes”) and</w:t>
      </w:r>
    </w:p>
    <w:p>
      <w:pPr>
        <w:spacing w:after="0" w:line="35" w:lineRule="exact"/>
        <w:rPr>
          <w:sz w:val="24"/>
          <w:szCs w:val="24"/>
          <w:color w:val="auto"/>
        </w:rPr>
      </w:pPr>
    </w:p>
    <w:p>
      <w:pPr>
        <w:ind w:left="120" w:right="80"/>
        <w:spacing w:after="0" w:line="253" w:lineRule="auto"/>
        <w:rPr>
          <w:sz w:val="20"/>
          <w:szCs w:val="20"/>
          <w:color w:val="auto"/>
        </w:rPr>
      </w:pPr>
      <w:r>
        <w:rPr>
          <w:rFonts w:ascii="Arial" w:cs="Arial" w:eastAsia="Arial" w:hAnsi="Arial"/>
          <w:sz w:val="18"/>
          <w:szCs w:val="18"/>
          <w:color w:val="auto"/>
        </w:rPr>
        <w:t>$500,000,000 aggregate principal amount of its 4.600% Notes due 2028 (the “2028 Notes” and together with the 2024 Notes, the “Notes”), which will bear interest at the applicable rate per year for each series as set forth above. Interest on the 2024 Notes will be payable semi-annually in arrears on May 18 and November 18 of each year, beginning on May 18, 2023. Interest on the 2028 Notes will be payable semi-annually in arrears on February 15 and August 15 of each year, beginning on February 15, 2023.</w:t>
      </w:r>
    </w:p>
    <w:p>
      <w:pPr>
        <w:spacing w:after="0" w:line="19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The 2024 Notes will mature on November 18, 2024 and the 2028 Notes will mature on February 15, 2028.</w:t>
      </w:r>
    </w:p>
    <w:p>
      <w:pPr>
        <w:spacing w:after="0" w:line="225" w:lineRule="exact"/>
        <w:rPr>
          <w:sz w:val="24"/>
          <w:szCs w:val="24"/>
          <w:color w:val="auto"/>
        </w:rPr>
      </w:pPr>
    </w:p>
    <w:p>
      <w:pPr>
        <w:ind w:left="120" w:right="100"/>
        <w:spacing w:after="0" w:line="277" w:lineRule="auto"/>
        <w:rPr>
          <w:sz w:val="20"/>
          <w:szCs w:val="20"/>
          <w:color w:val="auto"/>
        </w:rPr>
      </w:pPr>
      <w:r>
        <w:rPr>
          <w:rFonts w:ascii="Arial" w:cs="Arial" w:eastAsia="Arial" w:hAnsi="Arial"/>
          <w:sz w:val="18"/>
          <w:szCs w:val="18"/>
          <w:color w:val="auto"/>
        </w:rPr>
        <w:t>We may redeem some or all of the Notes at any time and from time to time at the applicable redemption prices indicated under the caption “Description of the Notes—Optional Redemption.”</w:t>
      </w:r>
    </w:p>
    <w:p>
      <w:pPr>
        <w:spacing w:after="0" w:line="170" w:lineRule="exact"/>
        <w:rPr>
          <w:sz w:val="24"/>
          <w:szCs w:val="24"/>
          <w:color w:val="auto"/>
        </w:rPr>
      </w:pPr>
    </w:p>
    <w:p>
      <w:pPr>
        <w:ind w:left="120" w:right="680"/>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120"/>
        <w:spacing w:after="0"/>
        <w:rPr>
          <w:sz w:val="20"/>
          <w:szCs w:val="20"/>
          <w:color w:val="auto"/>
        </w:rPr>
      </w:pPr>
      <w:r>
        <w:rPr>
          <w:rFonts w:ascii="Arial" w:cs="Arial" w:eastAsia="Arial" w:hAnsi="Arial"/>
          <w:sz w:val="22"/>
          <w:szCs w:val="22"/>
          <w:b w:val="1"/>
          <w:bCs w:val="1"/>
          <w:color w:val="auto"/>
        </w:rPr>
        <w:t>Investing in the Notes involves risks. See “</w:t>
      </w:r>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186055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 2024</w:t>
            </w:r>
          </w:p>
        </w:tc>
        <w:tc>
          <w:tcPr>
            <w:tcW w:w="12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7"/>
              </w:rPr>
              <w:t>2024 Notes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Per 2028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2028 Notes</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Notes</w:t>
            </w:r>
          </w:p>
        </w:tc>
      </w:tr>
      <w:tr>
        <w:trPr>
          <w:trHeight w:val="171"/>
        </w:trPr>
        <w:tc>
          <w:tcPr>
            <w:tcW w:w="3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Note</w:t>
            </w:r>
          </w:p>
        </w:tc>
        <w:tc>
          <w:tcPr>
            <w:tcW w:w="12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17"/>
              <w:spacing w:after="0"/>
              <w:rPr>
                <w:sz w:val="20"/>
                <w:szCs w:val="20"/>
                <w:color w:val="auto"/>
              </w:rPr>
            </w:pPr>
            <w:r>
              <w:rPr>
                <w:rFonts w:ascii="Arial" w:cs="Arial" w:eastAsia="Arial" w:hAnsi="Arial"/>
                <w:sz w:val="14"/>
                <w:szCs w:val="14"/>
                <w:b w:val="1"/>
                <w:bCs w:val="1"/>
                <w:color w:val="auto"/>
              </w:rPr>
              <w:t>Note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99.955%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299,865,000</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99.827%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499,135,000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799,000,000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Underwriting discounts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0.200%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600,000</w:t>
            </w:r>
          </w:p>
        </w:tc>
        <w:tc>
          <w:tcPr>
            <w:tcW w:w="700" w:type="dxa"/>
            <w:vAlign w:val="bottom"/>
          </w:tcPr>
          <w:p>
            <w:pPr>
              <w:jc w:val="right"/>
              <w:spacing w:after="0"/>
              <w:rPr>
                <w:sz w:val="20"/>
                <w:szCs w:val="20"/>
                <w:color w:val="auto"/>
              </w:rPr>
            </w:pPr>
            <w:r>
              <w:rPr>
                <w:rFonts w:ascii="Arial" w:cs="Arial" w:eastAsia="Arial" w:hAnsi="Arial"/>
                <w:sz w:val="18"/>
                <w:szCs w:val="18"/>
                <w:color w:val="auto"/>
              </w:rPr>
              <w:t>0.300%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1,500,000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2,100,000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299,265,000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99.527%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497,635,000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796,900,000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Interest on the Notes will accrue from November 18, 2022 to the date of delivery.</w:t>
      </w:r>
    </w:p>
    <w:p>
      <w:pPr>
        <w:spacing w:after="0" w:line="225" w:lineRule="exact"/>
        <w:rPr>
          <w:sz w:val="24"/>
          <w:szCs w:val="24"/>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and its participants, including Euroclear Bank S.A./N.V. and Clearstream Banking, S.A., on or about November 18, 2022, which is the third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34" w:lineRule="exact"/>
        <w:rPr>
          <w:sz w:val="24"/>
          <w:szCs w:val="24"/>
          <w:color w:val="auto"/>
        </w:rPr>
      </w:pPr>
    </w:p>
    <w:p>
      <w:pPr>
        <w:ind w:left="120"/>
        <w:spacing w:after="0"/>
        <w:tabs>
          <w:tab w:leader="none" w:pos="5200" w:val="left"/>
          <w:tab w:leader="none" w:pos="914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Mizuho</w:t>
      </w:r>
      <w:r>
        <w:rPr>
          <w:sz w:val="20"/>
          <w:szCs w:val="20"/>
          <w:color w:val="auto"/>
        </w:rPr>
        <w:tab/>
      </w:r>
      <w:r>
        <w:rPr>
          <w:rFonts w:ascii="Arial" w:cs="Arial" w:eastAsia="Arial" w:hAnsi="Arial"/>
          <w:sz w:val="26"/>
          <w:szCs w:val="26"/>
          <w:b w:val="1"/>
          <w:bCs w:val="1"/>
          <w:color w:val="auto"/>
        </w:rPr>
        <w:t>Morgan Stanley</w:t>
      </w:r>
    </w:p>
    <w:p>
      <w:pPr>
        <w:sectPr>
          <w:pgSz w:w="11900" w:h="16838" w:orient="portrait"/>
          <w:cols w:equalWidth="0" w:num="1">
            <w:col w:w="11140"/>
          </w:cols>
          <w:pgMar w:left="320" w:top="230" w:right="439" w:bottom="1440" w:gutter="0" w:footer="0" w:header="0"/>
        </w:sectPr>
      </w:pP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November 15, 2022</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20" w:type="dxa"/>
            <w:vAlign w:val="bottom"/>
            <w:gridSpan w:val="3"/>
          </w:tcPr>
          <w:p>
            <w:pPr>
              <w:jc w:val="right"/>
              <w:ind w:right="4411"/>
              <w:spacing w:after="0"/>
              <w:rPr>
                <w:sz w:val="20"/>
                <w:szCs w:val="20"/>
                <w:color w:val="auto"/>
              </w:rPr>
            </w:pPr>
            <w:r>
              <w:rPr>
                <w:rFonts w:ascii="Arial" w:cs="Arial" w:eastAsia="Arial" w:hAnsi="Arial"/>
                <w:sz w:val="18"/>
                <w:szCs w:val="18"/>
                <w:b w:val="1"/>
                <w:bCs w:val="1"/>
                <w:color w:val="auto"/>
                <w:w w:val="97"/>
              </w:rPr>
              <w:t>TABLE OF CONTENTS</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88"/>
              </w:rPr>
              <w:t>Prospectus Supplement</w:t>
            </w:r>
          </w:p>
        </w:tc>
        <w:tc>
          <w:tcPr>
            <w:tcW w:w="4100" w:type="dxa"/>
            <w:vAlign w:val="bottom"/>
            <w:vMerge w:val="restart"/>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96"/>
        </w:trPr>
        <w:tc>
          <w:tcPr>
            <w:tcW w:w="3520" w:type="dxa"/>
            <w:vAlign w:val="bottom"/>
            <w:gridSpan w:val="19"/>
            <w:vMerge w:val="restart"/>
          </w:tcPr>
          <w:p>
            <w:pPr>
              <w:spacing w:after="0"/>
              <w:rPr>
                <w:sz w:val="20"/>
                <w:szCs w:val="20"/>
                <w:color w:val="auto"/>
              </w:rPr>
            </w:pPr>
            <w:r>
              <w:rPr>
                <w:rFonts w:ascii="Arial" w:cs="Arial" w:eastAsia="Arial" w:hAnsi="Arial"/>
                <w:sz w:val="18"/>
                <w:szCs w:val="18"/>
                <w:color w:val="0000EE"/>
                <w:w w:val="93"/>
              </w:rPr>
              <w:t>Notice Regarding Forward-Looking Statements</w:t>
            </w:r>
          </w:p>
        </w:tc>
        <w:tc>
          <w:tcPr>
            <w:tcW w:w="1020" w:type="dxa"/>
            <w:vAlign w:val="bottom"/>
          </w:tcPr>
          <w:p>
            <w:pPr>
              <w:spacing w:after="0"/>
              <w:rPr>
                <w:sz w:val="17"/>
                <w:szCs w:val="17"/>
                <w:color w:val="auto"/>
              </w:rPr>
            </w:pPr>
          </w:p>
        </w:tc>
        <w:tc>
          <w:tcPr>
            <w:tcW w:w="1920" w:type="dxa"/>
            <w:vAlign w:val="bottom"/>
            <w:vMerge w:val="continue"/>
          </w:tcPr>
          <w:p>
            <w:pPr>
              <w:spacing w:after="0"/>
              <w:rPr>
                <w:sz w:val="17"/>
                <w:szCs w:val="17"/>
                <w:color w:val="auto"/>
              </w:rPr>
            </w:pPr>
          </w:p>
        </w:tc>
        <w:tc>
          <w:tcPr>
            <w:tcW w:w="4100" w:type="dxa"/>
            <w:vAlign w:val="bottom"/>
            <w:vMerge w:val="continue"/>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3"/>
        </w:trPr>
        <w:tc>
          <w:tcPr>
            <w:tcW w:w="3520" w:type="dxa"/>
            <w:vAlign w:val="bottom"/>
            <w:gridSpan w:val="19"/>
            <w:vMerge w:val="continue"/>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89"/>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Summary</w:t>
            </w:r>
          </w:p>
        </w:tc>
        <w:tc>
          <w:tcPr>
            <w:tcW w:w="282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Risk Factors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Use of Proceeds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Capitalization</w:t>
            </w:r>
          </w:p>
        </w:tc>
        <w:tc>
          <w:tcPr>
            <w:tcW w:w="2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0"/>
              </w:rPr>
              <w:t>Description of the Notes</w:t>
            </w:r>
          </w:p>
        </w:tc>
        <w:tc>
          <w:tcPr>
            <w:tcW w:w="17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8"/>
              </w:rPr>
              <w:t>Material U.S. Federal Income Tax Consequences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Underwriting</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0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Experts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w w:val="99"/>
              </w:rPr>
              <w:t>S-27</w:t>
            </w:r>
          </w:p>
        </w:tc>
        <w:tc>
          <w:tcPr>
            <w:tcW w:w="0" w:type="dxa"/>
            <w:vAlign w:val="bottom"/>
          </w:tcPr>
          <w:p>
            <w:pPr>
              <w:spacing w:after="0"/>
              <w:rPr>
                <w:sz w:val="1"/>
                <w:szCs w:val="1"/>
                <w:color w:val="auto"/>
              </w:rPr>
            </w:pPr>
          </w:p>
        </w:tc>
      </w:tr>
      <w:tr>
        <w:trPr>
          <w:trHeight w:val="453"/>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20" w:type="dxa"/>
            <w:vAlign w:val="bottom"/>
            <w:gridSpan w:val="3"/>
          </w:tcPr>
          <w:p>
            <w:pPr>
              <w:jc w:val="right"/>
              <w:ind w:right="4951"/>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297"/>
        </w:trPr>
        <w:tc>
          <w:tcPr>
            <w:tcW w:w="3520" w:type="dxa"/>
            <w:vAlign w:val="bottom"/>
            <w:gridSpan w:val="19"/>
          </w:tcPr>
          <w:p>
            <w:pPr>
              <w:spacing w:after="0"/>
              <w:rPr>
                <w:sz w:val="20"/>
                <w:szCs w:val="20"/>
                <w:color w:val="auto"/>
              </w:rPr>
            </w:pPr>
            <w:r>
              <w:rPr>
                <w:rFonts w:ascii="Arial" w:cs="Arial" w:eastAsia="Arial" w:hAnsi="Arial"/>
                <w:sz w:val="18"/>
                <w:szCs w:val="18"/>
                <w:color w:val="0000EE"/>
              </w:rPr>
              <w:t>The Company</w:t>
            </w:r>
          </w:p>
        </w:tc>
        <w:tc>
          <w:tcPr>
            <w:tcW w:w="744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9"/>
              </w:rPr>
              <w:t>About this Prospectus</w:t>
            </w:r>
          </w:p>
        </w:tc>
        <w:tc>
          <w:tcPr>
            <w:tcW w:w="1940" w:type="dxa"/>
            <w:vAlign w:val="bottom"/>
            <w:gridSpan w:val="8"/>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w w:val="93"/>
              </w:rPr>
              <w:t>Notice Regarding Forward-Looking Statements</w:t>
            </w: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100" w:type="dxa"/>
            <w:vAlign w:val="bottom"/>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1340" w:type="dxa"/>
            <w:vAlign w:val="bottom"/>
            <w:gridSpan w:val="4"/>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Description of Warrants</w:t>
            </w: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Description of Units</w:t>
            </w:r>
          </w:p>
        </w:tc>
        <w:tc>
          <w:tcPr>
            <w:tcW w:w="1800" w:type="dxa"/>
            <w:vAlign w:val="bottom"/>
            <w:gridSpan w:val="7"/>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2060" w:type="dxa"/>
            <w:vAlign w:val="bottom"/>
            <w:gridSpan w:val="10"/>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Plan of Distribution</w:t>
            </w: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000" w:type="dxa"/>
            <w:vAlign w:val="bottom"/>
            <w:gridSpan w:val="9"/>
          </w:tcPr>
          <w:p>
            <w:pPr>
              <w:spacing w:after="0"/>
              <w:rPr>
                <w:sz w:val="17"/>
                <w:szCs w:val="17"/>
                <w:color w:val="auto"/>
              </w:rPr>
            </w:pP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Arial" w:cs="Arial" w:eastAsia="Arial" w:hAnsi="Arial"/>
                <w:sz w:val="18"/>
                <w:szCs w:val="18"/>
                <w:color w:val="0000EE"/>
              </w:rPr>
              <w:t>Experts</w:t>
            </w:r>
          </w:p>
        </w:tc>
        <w:tc>
          <w:tcPr>
            <w:tcW w:w="744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1080" w:right="1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040"/>
          </w:cols>
          <w:pgMar w:left="320" w:top="459" w:right="5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100"/>
          </w:cols>
          <w:pgMar w:left="320" w:top="459"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978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29787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280" w:firstLine="426"/>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84"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00"/>
          </w:cols>
          <w:pgMar w:left="320" w:top="459" w:right="6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6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4674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jc w:val="both"/>
        <w:ind w:left="300" w:right="280" w:firstLine="426"/>
        <w:spacing w:after="0" w:line="286" w:lineRule="auto"/>
        <w:rPr>
          <w:sz w:val="20"/>
          <w:szCs w:val="20"/>
          <w:color w:val="auto"/>
        </w:rPr>
      </w:pPr>
      <w:r>
        <w:rPr>
          <w:rFonts w:ascii="Arial" w:cs="Arial" w:eastAsia="Arial" w:hAnsi="Arial"/>
          <w:sz w:val="17"/>
          <w:szCs w:val="17"/>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80" w:type="dxa"/>
            <w:vAlign w:val="bottom"/>
          </w:tcPr>
          <w:p>
            <w:pPr>
              <w:ind w:left="180"/>
              <w:spacing w:after="0"/>
              <w:rPr>
                <w:sz w:val="20"/>
                <w:szCs w:val="20"/>
                <w:color w:val="auto"/>
              </w:rPr>
            </w:pPr>
            <w:r>
              <w:rPr>
                <w:rFonts w:ascii="Arial" w:cs="Arial" w:eastAsia="Arial" w:hAnsi="Arial"/>
                <w:sz w:val="18"/>
                <w:szCs w:val="18"/>
                <w:color w:val="auto"/>
              </w:rPr>
              <w:t>Issuer</w:t>
            </w:r>
          </w:p>
        </w:tc>
        <w:tc>
          <w:tcPr>
            <w:tcW w:w="7940" w:type="dxa"/>
            <w:vAlign w:val="bottom"/>
          </w:tcPr>
          <w:p>
            <w:pPr>
              <w:ind w:left="1140"/>
              <w:spacing w:after="0"/>
              <w:rPr>
                <w:sz w:val="20"/>
                <w:szCs w:val="20"/>
                <w:color w:val="auto"/>
              </w:rPr>
            </w:pPr>
            <w:r>
              <w:rPr>
                <w:rFonts w:ascii="Arial" w:cs="Arial" w:eastAsia="Arial" w:hAnsi="Arial"/>
                <w:sz w:val="18"/>
                <w:szCs w:val="18"/>
                <w:color w:val="auto"/>
              </w:rPr>
              <w:t>Texas Instruments Incorporated.</w:t>
            </w:r>
          </w:p>
        </w:tc>
      </w:tr>
      <w:tr>
        <w:trPr>
          <w:trHeight w:val="472"/>
        </w:trPr>
        <w:tc>
          <w:tcPr>
            <w:tcW w:w="3080" w:type="dxa"/>
            <w:vAlign w:val="bottom"/>
          </w:tcPr>
          <w:p>
            <w:pPr>
              <w:ind w:left="18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1140"/>
              <w:spacing w:after="0"/>
              <w:rPr>
                <w:sz w:val="20"/>
                <w:szCs w:val="20"/>
                <w:color w:val="auto"/>
              </w:rPr>
            </w:pPr>
            <w:r>
              <w:rPr>
                <w:rFonts w:ascii="Arial" w:cs="Arial" w:eastAsia="Arial" w:hAnsi="Arial"/>
                <w:sz w:val="18"/>
                <w:szCs w:val="18"/>
                <w:color w:val="auto"/>
              </w:rPr>
              <w:t>$300,000,000 aggregate principal amount of the 4.700% Notes due 2024.</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$500,000,000 aggregate principal amount of the 4.600% Notes due 2028.</w:t>
            </w:r>
          </w:p>
        </w:tc>
      </w:tr>
      <w:tr>
        <w:trPr>
          <w:trHeight w:val="458"/>
        </w:trPr>
        <w:tc>
          <w:tcPr>
            <w:tcW w:w="3080" w:type="dxa"/>
            <w:vAlign w:val="bottom"/>
          </w:tcPr>
          <w:p>
            <w:pPr>
              <w:ind w:left="180"/>
              <w:spacing w:after="0"/>
              <w:rPr>
                <w:sz w:val="20"/>
                <w:szCs w:val="20"/>
                <w:color w:val="auto"/>
              </w:rPr>
            </w:pPr>
            <w:r>
              <w:rPr>
                <w:rFonts w:ascii="Arial" w:cs="Arial" w:eastAsia="Arial" w:hAnsi="Arial"/>
                <w:sz w:val="18"/>
                <w:szCs w:val="18"/>
                <w:color w:val="auto"/>
              </w:rPr>
              <w:t>Maturity Date</w:t>
            </w:r>
          </w:p>
        </w:tc>
        <w:tc>
          <w:tcPr>
            <w:tcW w:w="7940" w:type="dxa"/>
            <w:vAlign w:val="bottom"/>
          </w:tcPr>
          <w:p>
            <w:pPr>
              <w:ind w:left="1140"/>
              <w:spacing w:after="0"/>
              <w:rPr>
                <w:sz w:val="20"/>
                <w:szCs w:val="20"/>
                <w:color w:val="auto"/>
              </w:rPr>
            </w:pPr>
            <w:r>
              <w:rPr>
                <w:rFonts w:ascii="Arial" w:cs="Arial" w:eastAsia="Arial" w:hAnsi="Arial"/>
                <w:sz w:val="18"/>
                <w:szCs w:val="18"/>
                <w:color w:val="auto"/>
              </w:rPr>
              <w:t>November 18, 2024 for the 4.700% Notes due 2024.</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February 15, 2028 for the 4.600% Notes due 2028.</w:t>
            </w:r>
          </w:p>
        </w:tc>
      </w:tr>
      <w:tr>
        <w:trPr>
          <w:trHeight w:val="459"/>
        </w:trPr>
        <w:tc>
          <w:tcPr>
            <w:tcW w:w="308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940" w:type="dxa"/>
            <w:vAlign w:val="bottom"/>
          </w:tcPr>
          <w:p>
            <w:pPr>
              <w:ind w:left="1140"/>
              <w:spacing w:after="0"/>
              <w:rPr>
                <w:sz w:val="20"/>
                <w:szCs w:val="20"/>
                <w:color w:val="auto"/>
              </w:rPr>
            </w:pPr>
            <w:r>
              <w:rPr>
                <w:rFonts w:ascii="Arial" w:cs="Arial" w:eastAsia="Arial" w:hAnsi="Arial"/>
                <w:sz w:val="18"/>
                <w:szCs w:val="18"/>
                <w:color w:val="auto"/>
              </w:rPr>
              <w:t>November 18, 2022.</w:t>
            </w:r>
          </w:p>
        </w:tc>
      </w:tr>
      <w:tr>
        <w:trPr>
          <w:trHeight w:val="472"/>
        </w:trPr>
        <w:tc>
          <w:tcPr>
            <w:tcW w:w="308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940" w:type="dxa"/>
            <w:vAlign w:val="bottom"/>
          </w:tcPr>
          <w:p>
            <w:pPr>
              <w:ind w:left="1140"/>
              <w:spacing w:after="0"/>
              <w:rPr>
                <w:sz w:val="20"/>
                <w:szCs w:val="20"/>
                <w:color w:val="auto"/>
              </w:rPr>
            </w:pPr>
            <w:r>
              <w:rPr>
                <w:rFonts w:ascii="Arial" w:cs="Arial" w:eastAsia="Arial" w:hAnsi="Arial"/>
                <w:sz w:val="18"/>
                <w:szCs w:val="18"/>
                <w:color w:val="auto"/>
              </w:rPr>
              <w:t>Fixed rate of 4.700% for the 4.700% Notes due 2024.</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Fixed rate of 4.600% for the 4.600% Notes due 2028.</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Each May 18 and November 18, beginning on May 18, 2023, and on the maturity date, for</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the 2024 Notes.</w:t>
            </w:r>
          </w:p>
        </w:tc>
      </w:tr>
      <w:tr>
        <w:trPr>
          <w:trHeight w:val="310"/>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7"/>
              </w:rPr>
              <w:t>Each February 15 and August 15, beginning on February 15, 2023, and on the maturity</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date, for the 2028 Notes.</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Ranking</w:t>
            </w: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8"/>
              </w:rPr>
              <w:t>will rank equally with all of its existing and future senior indebtedness from time to time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080" w:type="dxa"/>
            <w:vAlign w:val="bottom"/>
          </w:tcPr>
          <w:p>
            <w:pPr>
              <w:spacing w:after="0"/>
              <w:rPr>
                <w:sz w:val="24"/>
                <w:szCs w:val="24"/>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4"/>
              </w:rPr>
              <w:t>As of September 30, 2022, Texas Instruments Incorporated had approximately $8.0 billion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principal amount of outstanding indebtedness. As of September 30, 2022, Texas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Instruments Incorporated had approximately $11.6 billion of total liabilities on a</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consolidated basis. Of the $11.6 billion of consolidated total liabilities, approximately</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6"/>
              </w:rPr>
              <w:t>$1.1 billion of liabilities (including trade payables and excluding intercompany debt) were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held by subsidiaries of Texas Instruments Incorporated to which the Notes will be</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effectively subordinated.</w:t>
            </w:r>
          </w:p>
        </w:tc>
      </w:tr>
      <w:tr>
        <w:trPr>
          <w:trHeight w:val="445"/>
        </w:trPr>
        <w:tc>
          <w:tcPr>
            <w:tcW w:w="3080" w:type="dxa"/>
            <w:vAlign w:val="bottom"/>
          </w:tcPr>
          <w:p>
            <w:pPr>
              <w:ind w:left="180"/>
              <w:spacing w:after="0"/>
              <w:rPr>
                <w:sz w:val="20"/>
                <w:szCs w:val="20"/>
                <w:color w:val="auto"/>
              </w:rPr>
            </w:pPr>
            <w:r>
              <w:rPr>
                <w:rFonts w:ascii="Arial" w:cs="Arial" w:eastAsia="Arial" w:hAnsi="Arial"/>
                <w:sz w:val="18"/>
                <w:szCs w:val="18"/>
                <w:color w:val="auto"/>
              </w:rPr>
              <w:t>Form and Denomination</w:t>
            </w:r>
          </w:p>
        </w:tc>
        <w:tc>
          <w:tcPr>
            <w:tcW w:w="7940" w:type="dxa"/>
            <w:vAlign w:val="bottom"/>
          </w:tcPr>
          <w:p>
            <w:pPr>
              <w:ind w:left="1140"/>
              <w:spacing w:after="0"/>
              <w:rPr>
                <w:sz w:val="20"/>
                <w:szCs w:val="20"/>
                <w:color w:val="auto"/>
              </w:rPr>
            </w:pPr>
            <w:r>
              <w:rPr>
                <w:rFonts w:ascii="Arial" w:cs="Arial" w:eastAsia="Arial" w:hAnsi="Arial"/>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2"/>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5"/>
              </w:rPr>
              <w:t>for, and registered in the name of, a nominee of The Depository Trust Company, or DTC.</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Except in the limited circumstances described under “Description of the Notes—Book-</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w w:val="99"/>
              </w:rPr>
              <w:t>Entry; Delivery and Form; Global Note,” Notes in certificated form will not be issued or</w:t>
            </w:r>
          </w:p>
        </w:tc>
      </w:tr>
      <w:tr>
        <w:trPr>
          <w:trHeight w:val="230"/>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Arial" w:cs="Arial" w:eastAsia="Arial" w:hAnsi="Arial"/>
                <w:sz w:val="18"/>
                <w:szCs w:val="18"/>
                <w:color w:val="auto"/>
              </w:rPr>
              <w:t>exchanged for interests in global securities.</w:t>
            </w:r>
          </w:p>
        </w:tc>
      </w:tr>
      <w:tr>
        <w:trPr>
          <w:trHeight w:val="159"/>
        </w:trPr>
        <w:tc>
          <w:tcPr>
            <w:tcW w:w="308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Governing Law</w:t>
            </w:r>
          </w:p>
        </w:tc>
        <w:tc>
          <w:tcPr>
            <w:tcW w:w="804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swap agreements with financial institutions, which may include one or more of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underwriters or their affiliates.</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8"/>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2"/>
              </w:rPr>
              <w:t>all respects, so that such further notes will be consolidated and form a single series with the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None.</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time and from time to time at the applicable redemption prices indicated under the heading</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“Description of the Notes—Optional Redemption.”</w:t>
            </w:r>
          </w:p>
        </w:tc>
      </w:tr>
      <w:tr>
        <w:trPr>
          <w:trHeight w:val="445"/>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Each series of Notes are a new issue of securities with no established trading market. We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3"/>
              </w:rPr>
              <w:t>do not intend to apply for listing of the Notes on any securities exchange. The underwriters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have advised us that they intend to make a market in the Notes, but they are not obligated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to do so and may discontinue market-making at any time without notice.</w:t>
            </w:r>
          </w:p>
        </w:tc>
      </w:tr>
      <w:tr>
        <w:trPr>
          <w:trHeight w:val="445"/>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9"/>
              </w:rPr>
              <w:t>See “Underwriting” in this prospectus supplement for more information about possible</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U.S. Bank Trust Company, National Association.</w:t>
            </w:r>
          </w:p>
        </w:tc>
      </w:tr>
      <w:tr>
        <w:trPr>
          <w:trHeight w:val="458"/>
        </w:trPr>
        <w:tc>
          <w:tcPr>
            <w:tcW w:w="29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5"/>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4"/>
              </w:rPr>
              <w:t>particular, you should evaluate the information set forth under “Notice Regarding Forward-</w:t>
            </w:r>
          </w:p>
        </w:tc>
      </w:tr>
      <w:tr>
        <w:trPr>
          <w:trHeight w:val="230"/>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w w:val="97"/>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hereby incorporate by reference risk factors in Item 1A of our Annual Report on Form 10-K for the year ended December 31, 2021.</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trading markets for each series of Notes may not develop.</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currently no public markets for any series of Notes, and we do not currently plan to list any series of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72" w:lineRule="exact"/>
        <w:rPr>
          <w:sz w:val="20"/>
          <w:szCs w:val="20"/>
          <w:color w:val="auto"/>
        </w:rPr>
      </w:pPr>
    </w:p>
    <w:p>
      <w:pPr>
        <w:ind w:left="340" w:right="180"/>
        <w:spacing w:after="0" w:line="263"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September 30, 2022, we had approximately $11.6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64"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89"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63"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left="120" w:right="600" w:firstLine="440"/>
        <w:spacing w:after="0" w:line="263" w:lineRule="auto"/>
        <w:rPr>
          <w:sz w:val="20"/>
          <w:szCs w:val="20"/>
          <w:color w:val="auto"/>
        </w:rPr>
      </w:pPr>
      <w:r>
        <w:rPr>
          <w:rFonts w:ascii="Arial" w:cs="Arial" w:eastAsia="Arial" w:hAnsi="Arial"/>
          <w:sz w:val="18"/>
          <w:szCs w:val="18"/>
          <w:color w:val="auto"/>
        </w:rPr>
        <w:t>On an as adjusted basis after giving effect to this offering, as of September 30, 2022, Texas Instruments Incorporated would have had approximately $8.3 billion principal amount of total long-term indebtedness (including the Notes, but excluding the current portion of long-term indebtedness), all of which would have been unsecured and unsubordinated.</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9" w:lineRule="exact"/>
        <w:rPr>
          <w:sz w:val="20"/>
          <w:szCs w:val="20"/>
          <w:color w:val="auto"/>
        </w:rPr>
      </w:pPr>
    </w:p>
    <w:p>
      <w:pPr>
        <w:ind w:left="1080" w:right="5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Texas Instruments Incorporated will have additional cash requirements in order to support the payment of interest on its outstanding indebtedness;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00"/>
          </w:cols>
          <w:pgMar w:left="320" w:top="459" w:right="4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prices and marketability of the Notes.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060"/>
          </w:cols>
          <w:pgMar w:left="320" w:top="459" w:right="5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anticipate that we will receive net proceeds of approximately $796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060"/>
          </w:cols>
          <w:pgMar w:left="320" w:top="459" w:right="5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September 30, 2022.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par value)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9"/>
              </w:rPr>
              <w:t>As of September 30, 2022</w:t>
            </w:r>
          </w:p>
        </w:tc>
        <w:tc>
          <w:tcPr>
            <w:tcW w:w="0" w:type="dxa"/>
            <w:vAlign w:val="bottom"/>
          </w:tcPr>
          <w:p>
            <w:pPr>
              <w:spacing w:after="0"/>
              <w:rPr>
                <w:sz w:val="1"/>
                <w:szCs w:val="1"/>
                <w:color w:val="auto"/>
              </w:rPr>
            </w:pPr>
          </w:p>
        </w:tc>
      </w:tr>
      <w:tr>
        <w:trPr>
          <w:trHeight w:val="142"/>
        </w:trPr>
        <w:tc>
          <w:tcPr>
            <w:tcW w:w="8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98"/>
              </w:rPr>
              <w:t>Actual</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0"/>
                <w:szCs w:val="10"/>
                <w:b w:val="1"/>
                <w:bCs w:val="1"/>
                <w:color w:val="auto"/>
                <w:w w:val="91"/>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2024 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2028 Notes offered hereby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Other long-term debt</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30"/>
        </w:trPr>
        <w:tc>
          <w:tcPr>
            <w:tcW w:w="884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Preferred stock, $25 par value. Shares authorized—10;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$1 par value. Shares authorized—2,400;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40" w:type="dxa"/>
            <w:vAlign w:val="bottom"/>
          </w:tcPr>
          <w:p>
            <w:pPr>
              <w:ind w:left="1080"/>
              <w:spacing w:after="0"/>
              <w:rPr>
                <w:sz w:val="20"/>
                <w:szCs w:val="20"/>
                <w:color w:val="auto"/>
              </w:rPr>
            </w:pPr>
            <w:r>
              <w:rPr>
                <w:rFonts w:ascii="Arial" w:cs="Arial" w:eastAsia="Arial" w:hAnsi="Arial"/>
                <w:sz w:val="18"/>
                <w:szCs w:val="18"/>
                <w:color w:val="auto"/>
              </w:rPr>
              <w:t>shares issued—1,741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2,877</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49,519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49,519</w:t>
            </w:r>
          </w:p>
        </w:tc>
        <w:tc>
          <w:tcPr>
            <w:tcW w:w="0" w:type="dxa"/>
            <w:vAlign w:val="bottom"/>
          </w:tcPr>
          <w:p>
            <w:pPr>
              <w:spacing w:after="0"/>
              <w:rPr>
                <w:sz w:val="1"/>
                <w:szCs w:val="1"/>
                <w:color w:val="auto"/>
              </w:rPr>
            </w:pPr>
          </w:p>
        </w:tc>
      </w:tr>
      <w:tr>
        <w:trPr>
          <w:trHeight w:val="216"/>
        </w:trPr>
        <w:tc>
          <w:tcPr>
            <w:tcW w:w="8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(831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89"/>
              </w:rPr>
              <w:t>(39,476)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(39,476)</w:t>
            </w:r>
          </w:p>
        </w:tc>
        <w:tc>
          <w:tcPr>
            <w:tcW w:w="0" w:type="dxa"/>
            <w:vAlign w:val="bottom"/>
          </w:tcPr>
          <w:p>
            <w:pPr>
              <w:spacing w:after="0"/>
              <w:rPr>
                <w:sz w:val="1"/>
                <w:szCs w:val="1"/>
                <w:color w:val="auto"/>
              </w:rPr>
            </w:pPr>
          </w:p>
        </w:tc>
      </w:tr>
      <w:tr>
        <w:trPr>
          <w:trHeight w:val="216"/>
        </w:trPr>
        <w:tc>
          <w:tcPr>
            <w:tcW w:w="88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23"/>
        </w:trPr>
        <w:tc>
          <w:tcPr>
            <w:tcW w:w="884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21,945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Notes offered hereby are shown at the amount of the public offering price, less offering expenses (including underwriting discounts).</w:t>
      </w:r>
    </w:p>
    <w:p>
      <w:pPr>
        <w:spacing w:after="0" w:line="34" w:lineRule="exact"/>
        <w:rPr>
          <w:rFonts w:ascii="Arial" w:cs="Arial" w:eastAsia="Arial" w:hAnsi="Arial"/>
          <w:sz w:val="17"/>
          <w:szCs w:val="17"/>
          <w:color w:val="auto"/>
        </w:rPr>
      </w:pPr>
    </w:p>
    <w:p>
      <w:pPr>
        <w:ind w:left="540" w:right="260" w:hanging="424"/>
        <w:spacing w:after="0" w:line="26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$8.0 billion principal amount of our existing outstanding notes less net unamortized discounts, premiums and debt issuance costs of $63.0 million, less $499.0 million representing the current portion of long-term debt.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2024 Notes will mature on November 18, 2024 and the 2028 Notes will mature on February 15, 2028. The Notes will be issued in book-entry form only, in denominations of $2,000 and multiples of $1,000 in excess thereof. Interest on each series of the Notes will accrue from November 18, 2022 at the rate per annum shown on the cover of this prospectus supplement. Interest on the 2024 Notes will be payable semi-annually in arrears on May 18 and November 18 of each year, commencing on May 18, 2023 to the persons in whose names the 2024 Notes are registered at the close of business on the preceding May 3 or August 3, as the case may be. Interest on the 2028 Notes will be payable semi-annually in arrears on February 15 and August 15 of each year, commencing on February 15, 2023 to the persons in whose names the 2028 Notes are registered at the close of business on the preceding February 1 or August 1, as the case may be. Interest on the Notes will be paid to but excluding the relevant interest payment date. Interest on the Notes will be calculated on the basis of a 360-day year comprised of twelve 30-day months.</w:t>
      </w:r>
    </w:p>
    <w:p>
      <w:pPr>
        <w:spacing w:after="0" w:line="165"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7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September 30, 2022, Texas Instruments Incorporated had approximately $8.0 billion principal amount of outstanding indebtedness. As of September 30, 2022, Texas Instruments Incorporated had approximately $11.6 billion of total liabilities on a consolidated basis. Of the $11.6 billion of consolidated total liabilities, approximately $1.1 billion of liabilities (including trade payables and excluding intercompany debt) were held by subsidiaries of Texas Instruments Incorporated to which the Notes will be effectively subordinated.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an as adjusted basis after giving effect to this offering, as of September 30, 2022:</w:t>
      </w:r>
    </w:p>
    <w:p>
      <w:pPr>
        <w:spacing w:after="0" w:line="131" w:lineRule="exact"/>
        <w:rPr>
          <w:sz w:val="20"/>
          <w:szCs w:val="20"/>
          <w:color w:val="auto"/>
        </w:rPr>
      </w:pPr>
    </w:p>
    <w:p>
      <w:pPr>
        <w:jc w:val="both"/>
        <w:ind w:left="1080" w:right="2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Texas Instruments Incorporated would have had approximately $8.3 billion principal amount of total long-term indebtedness (including the Notes, but excluding the current portion of long-term indebtedness), all of which would constitute senior and unsubordinated indebtedness;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$12.3 billion of total liabilities on a consolidated basis;</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 would not have had any secured indebtedness to which the Notes would have been effectively subordinated;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$1.1 billion of liabilities (including trade payables but excluding intercompany debt) to which the Notes would have been structurally subordinated.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40"/>
          </w:cols>
          <w:pgMar w:left="320" w:top="45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Texas Instruments Incorporated may, without the consent of the holders, increase the principal amount of Notes of either series by issuing additional Notes of such series in the future on the same terms and conditions, except for any differences in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two series of Notes offered hereby.</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(i) November 18, 2024, with respect to the 2024 Notes (their maturity date) and (ii) January 15, 2028, with respect to the 2028 Notes (one month prior to their maturity date, such date the “Par Call Date”), we may redeem each such series of Notes at our option, in whole or in part, at any time and from time to time, at a redemption price (expressed as a percentage of principal amount and rounded to three decimal places) equal to the greater of:</w:t>
      </w:r>
    </w:p>
    <w:p>
      <w:pPr>
        <w:spacing w:after="0" w:line="79" w:lineRule="exact"/>
        <w:rPr>
          <w:sz w:val="20"/>
          <w:szCs w:val="20"/>
          <w:color w:val="auto"/>
        </w:rPr>
      </w:pPr>
    </w:p>
    <w:p>
      <w:pPr>
        <w:ind w:left="120" w:right="260" w:firstLine="436"/>
        <w:spacing w:after="0" w:line="279"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(a) the sum of the present values of the remaining scheduled payments of principal and interest thereon in each case discounted to the redemption date (assuming, in the case of the 2028 Notes, that such Notes matured on the Par Call Date) on a semi-annual basis (assuming a 360-day year consisting of twelve 30-day months) at the applicable Treasury Rate (as defined below) </w:t>
      </w:r>
      <w:r>
        <w:rPr>
          <w:rFonts w:ascii="Arial" w:cs="Arial" w:eastAsia="Arial" w:hAnsi="Arial"/>
          <w:sz w:val="17"/>
          <w:szCs w:val="17"/>
          <w:i w:val="1"/>
          <w:iCs w:val="1"/>
          <w:color w:val="auto"/>
        </w:rPr>
        <w:t>plus</w:t>
      </w:r>
      <w:r>
        <w:rPr>
          <w:rFonts w:ascii="Arial" w:cs="Arial" w:eastAsia="Arial" w:hAnsi="Arial"/>
          <w:sz w:val="17"/>
          <w:szCs w:val="17"/>
          <w:color w:val="auto"/>
        </w:rPr>
        <w:t xml:space="preserve"> 7.5 basis points with respect to the 2024 Notes and 12.5 basis points with respect to the 2028 Notes </w:t>
      </w:r>
      <w:r>
        <w:rPr>
          <w:rFonts w:ascii="Arial" w:cs="Arial" w:eastAsia="Arial" w:hAnsi="Arial"/>
          <w:sz w:val="17"/>
          <w:szCs w:val="17"/>
          <w:i w:val="1"/>
          <w:iCs w:val="1"/>
          <w:color w:val="auto"/>
        </w:rPr>
        <w:t>less</w:t>
      </w:r>
      <w:r>
        <w:rPr>
          <w:rFonts w:ascii="Arial" w:cs="Arial" w:eastAsia="Arial" w:hAnsi="Arial"/>
          <w:sz w:val="17"/>
          <w:szCs w:val="17"/>
          <w:color w:val="auto"/>
        </w:rPr>
        <w:t xml:space="preserve"> (b) interest accrued to the date of redemption, and</w:t>
      </w:r>
    </w:p>
    <w:p>
      <w:pPr>
        <w:spacing w:after="0" w:line="171" w:lineRule="exact"/>
        <w:rPr>
          <w:rFonts w:ascii="Arial" w:cs="Arial" w:eastAsia="Arial" w:hAnsi="Arial"/>
          <w:sz w:val="17"/>
          <w:szCs w:val="17"/>
          <w:color w:val="auto"/>
        </w:rPr>
      </w:pPr>
    </w:p>
    <w:p>
      <w:pPr>
        <w:ind w:left="820" w:hanging="264"/>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plus</w:t>
      </w:r>
      <w:r>
        <w:rPr>
          <w:rFonts w:ascii="Arial" w:cs="Arial" w:eastAsia="Arial" w:hAnsi="Arial"/>
          <w:sz w:val="18"/>
          <w:szCs w:val="18"/>
          <w:color w:val="auto"/>
        </w:rPr>
        <w:t>, in either case, accrued and unpaid interest thereon to the redemption date.</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or after the Par Call Date, Texas Instruments Incorporated may redeem the 2028 Notes, in whole or in part, at any time and from time to time, at a redemption price equal to 100% of the principal amount of the 2028 Notes being redeemed plus accrued and unpaid interest thereon to the redemption date.</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Treasury Rate</w:t>
      </w:r>
      <w:r>
        <w:rPr>
          <w:rFonts w:ascii="Arial" w:cs="Arial" w:eastAsia="Arial" w:hAnsi="Arial"/>
          <w:sz w:val="18"/>
          <w:szCs w:val="18"/>
          <w:color w:val="auto"/>
        </w:rPr>
        <w:t>” means, with respect to any redemption date, the yield determined by Texas Instruments Incorporated in accordance with the following two paragraphs.</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maturity date, in the case of the 2024 Notes, and exactly equal to the period from the redemption date to the Par Call Date, in the case of the 2028 Notes (each such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maturity date, in the case of the 2024 Notes, or the Par Call Date, in the case of the 2028 Notes, on a straight-line basis (using the actual number of days) using such yields and rounding the result to three decimal places; or (3) if there is no such</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maturity date, in the case of the 2024 Notes, or the Par Call Date, in the case of the 2028 Notes, as applicable. If there is no United States Treasury security maturing on such maturity date or the Par Call Date, as applicable, but there are two or more United States Treasury securities with a maturity date equally distant from such maturity date or the Par Call Date, one with a maturity date preceding such maturity date or the Par Call Date and one with a maturity date following such maturity date or the Par Call Date, Texas Instruments Incorporated shall select the United States Treasury security with a maturity date preceding such maturity date or the Par Call Date, as applicable. If there are two or more United States Treasury securities maturing on such maturity date or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Texas Instruments Incorporated’s actions and determinations in determining the redemption price shall be conclusive and binding for all purposes, absent manifest error.</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7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92"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 series of Notes is defined under the indenture as being:</w:t>
      </w:r>
    </w:p>
    <w:p>
      <w:pPr>
        <w:spacing w:after="0" w:line="131" w:lineRule="exact"/>
        <w:rPr>
          <w:sz w:val="20"/>
          <w:szCs w:val="20"/>
          <w:color w:val="auto"/>
        </w:rPr>
      </w:pPr>
    </w:p>
    <w:p>
      <w:pPr>
        <w:ind w:left="1080" w:right="6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such series of Notes when due and payable, if that default continues for a period of 30 days;</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00" w:hanging="439"/>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7"/>
          <w:szCs w:val="17"/>
          <w:color w:val="auto"/>
        </w:rPr>
      </w:pPr>
      <w:r>
        <w:rPr>
          <w:rFonts w:ascii="Arial" w:cs="Arial" w:eastAsia="Arial" w:hAnsi="Arial"/>
          <w:sz w:val="17"/>
          <w:szCs w:val="17"/>
          <w:color w:val="auto"/>
        </w:rPr>
        <w:t>commences a voluntary case under any applicable bankruptcy, insolvency, or other similar law now or hereafter in effect,</w:t>
      </w:r>
    </w:p>
    <w:p>
      <w:pPr>
        <w:spacing w:after="0" w:line="142" w:lineRule="exact"/>
        <w:rPr>
          <w:rFonts w:ascii="Arial" w:cs="Arial" w:eastAsia="Arial" w:hAnsi="Arial"/>
          <w:sz w:val="17"/>
          <w:szCs w:val="17"/>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540" w:right="34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Notes, will automatically become due immediately and payable without any declaration or other act on the part of the trustee or any holder.</w:t>
      </w:r>
    </w:p>
    <w:p>
      <w:pPr>
        <w:spacing w:after="0" w:line="23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w:t>
      </w:r>
    </w:p>
    <w:p>
      <w:pPr>
        <w:spacing w:after="0" w:line="17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66"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70"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Notes do not give the trustee a direction that is inconsistent with the request.</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00"/>
          </w:cols>
          <w:pgMar w:left="320" w:top="45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8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70"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77" w:lineRule="exact"/>
        <w:rPr>
          <w:sz w:val="20"/>
          <w:szCs w:val="20"/>
          <w:color w:val="auto"/>
        </w:rPr>
      </w:pPr>
    </w:p>
    <w:p>
      <w:pPr>
        <w:jc w:val="both"/>
        <w:ind w:left="120" w:right="360" w:firstLine="440"/>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6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7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40"/>
          </w:cols>
          <w:pgMar w:left="320" w:top="459" w:right="4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85"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Notices to holders of each series of the Notes will be made by first class mail, postage prepaid, to the addresses that appear on the security register for such series of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84"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5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dealer or trader in securities that uses a mark-to-market method of 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jc w:val="both"/>
        <w:ind w:left="120" w:right="160" w:firstLine="440"/>
        <w:spacing w:after="0" w:line="342" w:lineRule="auto"/>
        <w:rPr>
          <w:sz w:val="20"/>
          <w:szCs w:val="20"/>
          <w:color w:val="auto"/>
        </w:rPr>
      </w:pPr>
      <w:r>
        <w:rPr>
          <w:rFonts w:ascii="Arial" w:cs="Arial" w:eastAsia="Arial" w:hAnsi="Arial"/>
          <w:sz w:val="16"/>
          <w:szCs w:val="16"/>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section applies to you if you are a U.S. Holder. You are a U.S. Holder if for U.S. federal income tax purposes you are a beneficial owner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This section applies to you if are a Non-U.S. Holder. You are a Non-U.S. Holder if for U.S. federal income tax purposes you are a beneficial owner of a Note and are:</w:t>
      </w:r>
    </w:p>
    <w:p>
      <w:pPr>
        <w:spacing w:after="0" w:line="76"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Subject to the discussion below under “—Backup Withholding and Information Reporting” and “FATCA,” payments of principal and interest on the Notes to you will not be subject to U.S. federal income or withholding tax, provided that, in the case of interest,</w:t>
      </w:r>
    </w:p>
    <w:p>
      <w:pPr>
        <w:spacing w:after="0" w:line="76" w:lineRule="exact"/>
        <w:rPr>
          <w:sz w:val="20"/>
          <w:szCs w:val="20"/>
          <w:color w:val="auto"/>
        </w:rPr>
      </w:pPr>
    </w:p>
    <w:p>
      <w:pPr>
        <w:ind w:left="1080" w:right="2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do not own, actually or constructively, ten percent or more of the total combined voting power of all classes of our stock entitled to vote;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FATCA</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interest on the Notes, as well as of gross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J.P. Morgan Securities LLC,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2"/>
                <w:szCs w:val="12"/>
                <w:color w:val="auto"/>
              </w:rPr>
            </w:pPr>
          </w:p>
        </w:tc>
        <w:tc>
          <w:tcPr>
            <w:tcW w:w="16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Amount of 2024</w:t>
            </w: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Amount of 2028</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Notes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100,000,000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166,668,000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100,000,000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166,666,000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100,000,000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166,666,000</w:t>
            </w:r>
          </w:p>
        </w:tc>
        <w:tc>
          <w:tcPr>
            <w:tcW w:w="0" w:type="dxa"/>
            <w:vAlign w:val="bottom"/>
          </w:tcPr>
          <w:p>
            <w:pPr>
              <w:spacing w:after="0"/>
              <w:rPr>
                <w:sz w:val="1"/>
                <w:szCs w:val="1"/>
                <w:color w:val="auto"/>
              </w:rPr>
            </w:pPr>
          </w:p>
        </w:tc>
      </w:tr>
      <w:tr>
        <w:trPr>
          <w:trHeight w:val="223"/>
        </w:trPr>
        <w:tc>
          <w:tcPr>
            <w:tcW w:w="55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300,000,000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ind w:left="120" w:right="100"/>
        <w:spacing w:after="0" w:line="277" w:lineRule="auto"/>
        <w:rPr>
          <w:sz w:val="20"/>
          <w:szCs w:val="20"/>
          <w:color w:val="auto"/>
        </w:rPr>
      </w:pPr>
      <w:r>
        <w:rPr>
          <w:rFonts w:ascii="Arial" w:cs="Arial" w:eastAsia="Arial" w:hAnsi="Arial"/>
          <w:sz w:val="17"/>
          <w:szCs w:val="17"/>
          <w:color w:val="auto"/>
        </w:rPr>
        <w:t>0.120% per 2024 Note and 0.180% per 2028 Note. Any such securities dealers may resell any Notes purchased from the underwriters to certain other brokers or dealers at a discount from the initial public offering price not to exceed 0.080% per 2024 Note and 0.120% per 2028 Note. If all of the Notes are not sold at the initial offering price, the underwriters may change the offering price and the other selling terms.</w:t>
      </w:r>
    </w:p>
    <w:p>
      <w:pPr>
        <w:spacing w:after="0" w:line="173"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Paid by Texas</w:t>
            </w:r>
          </w:p>
        </w:tc>
      </w:tr>
      <w:tr>
        <w:trPr>
          <w:trHeight w:val="148"/>
        </w:trPr>
        <w:tc>
          <w:tcPr>
            <w:tcW w:w="64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Instruments</w:t>
            </w:r>
          </w:p>
        </w:tc>
      </w:tr>
      <w:tr>
        <w:trPr>
          <w:trHeight w:val="171"/>
        </w:trPr>
        <w:tc>
          <w:tcPr>
            <w:tcW w:w="6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Incorporated</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Per 2024 Note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0.200%</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Per 2028 Note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0.300%</w:t>
            </w:r>
          </w:p>
        </w:tc>
      </w:tr>
    </w:tbl>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estimate that our total expenses for this offering will be approximately $3.1 million, including underwriting discounts. The underwriters have agreed to reimburse us for certain of our expenses in connection with the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underwriters of a greater number of the Notes than they are required to purchase in this offering.</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third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T+3, to specify alternative settlement arrangements to prevent a failed settlement.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6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7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93"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8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00"/>
        <w:spacing w:after="0" w:line="311" w:lineRule="auto"/>
        <w:rPr>
          <w:sz w:val="20"/>
          <w:szCs w:val="20"/>
          <w:color w:val="auto"/>
        </w:rPr>
      </w:pPr>
      <w:r>
        <w:rPr>
          <w:rFonts w:ascii="Arial" w:cs="Arial" w:eastAsia="Arial" w:hAnsi="Arial"/>
          <w:sz w:val="16"/>
          <w:szCs w:val="16"/>
          <w:color w:val="auto"/>
        </w:rPr>
        <w:t>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76"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Notes may be resold directly or indirectly, only in compliance with articles L.411-1, L.411-2, L.412-1 and L.621-8 through L.621-8-3 of the French Code monétaire et financier.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9" w:lineRule="exact"/>
        <w:rPr>
          <w:sz w:val="20"/>
          <w:szCs w:val="20"/>
          <w:color w:val="auto"/>
        </w:rPr>
      </w:pPr>
    </w:p>
    <w:p>
      <w:pPr>
        <w:ind w:left="1080" w:hanging="424"/>
        <w:spacing w:after="0" w:line="275" w:lineRule="auto"/>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b w:val="1"/>
          <w:bCs w:val="1"/>
          <w:i w:val="1"/>
          <w:iCs w:val="1"/>
          <w:color w:val="auto"/>
        </w:rPr>
        <w:t>Singapore Securities and Futures Act Product Classification</w:t>
      </w:r>
      <w:r>
        <w:rPr>
          <w:rFonts w:ascii="Arial" w:cs="Arial" w:eastAsia="Arial" w:hAnsi="Arial"/>
          <w:sz w:val="17"/>
          <w:szCs w:val="17"/>
          <w:color w:val="auto"/>
        </w:rPr>
        <w:t>—Solely for the purposes of its obligations pursuant to sections 309B(1)(a)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84" w:lineRule="exact"/>
        <w:rPr>
          <w:sz w:val="20"/>
          <w:szCs w:val="20"/>
          <w:color w:val="auto"/>
        </w:rPr>
      </w:pPr>
    </w:p>
    <w:p>
      <w:pPr>
        <w:ind w:left="120" w:right="40" w:firstLine="440"/>
        <w:spacing w:after="0" w:line="269" w:lineRule="auto"/>
        <w:rPr>
          <w:rFonts w:ascii="Arial" w:cs="Arial" w:eastAsia="Arial" w:hAnsi="Arial"/>
          <w:sz w:val="17"/>
          <w:szCs w:val="17"/>
          <w:color w:val="0000EE"/>
        </w:rPr>
      </w:pPr>
      <w:r>
        <w:rPr>
          <w:rFonts w:ascii="Arial" w:cs="Arial" w:eastAsia="Arial" w:hAnsi="Arial"/>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9">
        <w:r>
          <w:rPr>
            <w:rFonts w:ascii="Arial" w:cs="Arial" w:eastAsia="Arial" w:hAnsi="Arial"/>
            <w:sz w:val="17"/>
            <w:szCs w:val="17"/>
            <w:u w:val="single" w:color="auto"/>
            <w:color w:val="0000EE"/>
          </w:rPr>
          <w:t>Form 10-K</w:t>
        </w:r>
      </w:hyperlink>
      <w:r>
        <w:rPr>
          <w:rFonts w:ascii="Arial" w:cs="Arial" w:eastAsia="Arial" w:hAnsi="Arial"/>
          <w:sz w:val="17"/>
          <w:szCs w:val="17"/>
          <w:color w:val="auto"/>
        </w:rPr>
        <w:t xml:space="preserve"> for the year ended December 31, 2021, filed on February 4, 2022, the sections of our Definitive Proxy Statement on </w:t>
      </w:r>
      <w:hyperlink r:id="rId50">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2022 annual meeting of stockholders, filed on March 15, 2022 that are incorporated by reference in our Annual Report on </w:t>
      </w:r>
      <w:hyperlink r:id="rId49">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our Quarterly Reports on Form 10-Q for the quarters ended </w:t>
      </w:r>
      <w:hyperlink r:id="rId51">
        <w:r>
          <w:rPr>
            <w:rFonts w:ascii="Arial" w:cs="Arial" w:eastAsia="Arial" w:hAnsi="Arial"/>
            <w:sz w:val="17"/>
            <w:szCs w:val="17"/>
            <w:u w:val="single" w:color="auto"/>
            <w:color w:val="0000EE"/>
          </w:rPr>
          <w:t>March 31, 2022</w:t>
        </w:r>
      </w:hyperlink>
      <w:r>
        <w:rPr>
          <w:rFonts w:ascii="Arial" w:cs="Arial" w:eastAsia="Arial" w:hAnsi="Arial"/>
          <w:sz w:val="17"/>
          <w:szCs w:val="17"/>
          <w:color w:val="auto"/>
        </w:rPr>
        <w:t xml:space="preserve">, </w:t>
      </w:r>
      <w:hyperlink r:id="rId52">
        <w:r>
          <w:rPr>
            <w:rFonts w:ascii="Arial" w:cs="Arial" w:eastAsia="Arial" w:hAnsi="Arial"/>
            <w:sz w:val="17"/>
            <w:szCs w:val="17"/>
            <w:u w:val="single" w:color="auto"/>
            <w:color w:val="0000EE"/>
          </w:rPr>
          <w:t>June 30, 2022</w:t>
        </w:r>
      </w:hyperlink>
      <w:r>
        <w:rPr>
          <w:rFonts w:ascii="Arial" w:cs="Arial" w:eastAsia="Arial" w:hAnsi="Arial"/>
          <w:sz w:val="17"/>
          <w:szCs w:val="17"/>
          <w:color w:val="auto"/>
        </w:rPr>
        <w:t xml:space="preserve">, and </w:t>
      </w:r>
      <w:hyperlink r:id="rId53">
        <w:r>
          <w:rPr>
            <w:rFonts w:ascii="Arial" w:cs="Arial" w:eastAsia="Arial" w:hAnsi="Arial"/>
            <w:sz w:val="17"/>
            <w:szCs w:val="17"/>
            <w:u w:val="single" w:color="auto"/>
            <w:color w:val="0000EE"/>
          </w:rPr>
          <w:t>September 30, 2022</w:t>
        </w:r>
      </w:hyperlink>
      <w:r>
        <w:rPr>
          <w:rFonts w:ascii="Arial" w:cs="Arial" w:eastAsia="Arial" w:hAnsi="Arial"/>
          <w:sz w:val="17"/>
          <w:szCs w:val="17"/>
          <w:color w:val="auto"/>
        </w:rPr>
        <w:t xml:space="preserve">, filed on April 27, 2022 July 27, 2022, and October 26, 2022, respectively, our Current Reports on Form 8-K filed on </w:t>
      </w:r>
      <w:hyperlink r:id="rId54">
        <w:r>
          <w:rPr>
            <w:rFonts w:ascii="Arial" w:cs="Arial" w:eastAsia="Arial" w:hAnsi="Arial"/>
            <w:sz w:val="17"/>
            <w:szCs w:val="17"/>
            <w:u w:val="single" w:color="auto"/>
            <w:color w:val="0000EE"/>
          </w:rPr>
          <w:t>January 26, 2022</w:t>
        </w:r>
      </w:hyperlink>
      <w:r>
        <w:rPr>
          <w:rFonts w:ascii="Arial" w:cs="Arial" w:eastAsia="Arial" w:hAnsi="Arial"/>
          <w:sz w:val="17"/>
          <w:szCs w:val="17"/>
          <w:color w:val="auto"/>
        </w:rPr>
        <w:t xml:space="preserve">, </w:t>
      </w:r>
      <w:hyperlink r:id="rId55">
        <w:r>
          <w:rPr>
            <w:rFonts w:ascii="Arial" w:cs="Arial" w:eastAsia="Arial" w:hAnsi="Arial"/>
            <w:sz w:val="17"/>
            <w:szCs w:val="17"/>
            <w:u w:val="single" w:color="auto"/>
            <w:color w:val="0000EE"/>
          </w:rPr>
          <w:t>April 29, 2022</w:t>
        </w:r>
      </w:hyperlink>
      <w:r>
        <w:rPr>
          <w:rFonts w:ascii="Arial" w:cs="Arial" w:eastAsia="Arial" w:hAnsi="Arial"/>
          <w:sz w:val="17"/>
          <w:szCs w:val="17"/>
          <w:color w:val="auto"/>
        </w:rPr>
        <w:t xml:space="preserve">, </w:t>
      </w:r>
      <w:hyperlink r:id="rId56">
        <w:r>
          <w:rPr>
            <w:rFonts w:ascii="Arial" w:cs="Arial" w:eastAsia="Arial" w:hAnsi="Arial"/>
            <w:sz w:val="17"/>
            <w:szCs w:val="17"/>
            <w:u w:val="single" w:color="auto"/>
            <w:color w:val="0000EE"/>
          </w:rPr>
          <w:t>August 16, 2022</w:t>
        </w:r>
      </w:hyperlink>
      <w:r>
        <w:rPr>
          <w:rFonts w:ascii="Arial" w:cs="Arial" w:eastAsia="Arial" w:hAnsi="Arial"/>
          <w:sz w:val="17"/>
          <w:szCs w:val="17"/>
          <w:color w:val="auto"/>
        </w:rPr>
        <w:t xml:space="preserve">, and </w:t>
      </w:r>
      <w:hyperlink r:id="rId57">
        <w:r>
          <w:rPr>
            <w:rFonts w:ascii="Arial" w:cs="Arial" w:eastAsia="Arial" w:hAnsi="Arial"/>
            <w:sz w:val="17"/>
            <w:szCs w:val="17"/>
            <w:u w:val="single" w:color="auto"/>
            <w:color w:val="0000EE"/>
          </w:rPr>
          <w:t>September 15,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and all documents subsequently filed with the SEC pursuant to Section 13(a), 13(c), 14, or 15(d) of the Exchange Act (other than</w:t>
      </w:r>
      <w:r>
        <w:rPr>
          <w:rFonts w:ascii="Arial" w:cs="Arial" w:eastAsia="Arial" w:hAnsi="Arial"/>
          <w:sz w:val="17"/>
          <w:szCs w:val="17"/>
          <w:color w:val="0000EE"/>
        </w:rPr>
        <w:t xml:space="preserve"> </w:t>
      </w:r>
      <w:r>
        <w:rPr>
          <w:rFonts w:ascii="Arial" w:cs="Arial" w:eastAsia="Arial" w:hAnsi="Arial"/>
          <w:sz w:val="17"/>
          <w:szCs w:val="17"/>
          <w:color w:val="000000"/>
        </w:rPr>
        <w:t>those documents or the portions of those documents furnished, including pursuant to Items 2.02 or 7.01 of any Current Report on Form 8-K) prior to the termination of the offering under this prospectus supplement.</w:t>
      </w:r>
    </w:p>
    <w:p>
      <w:pPr>
        <w:spacing w:after="0" w:line="185" w:lineRule="exact"/>
        <w:rPr>
          <w:rFonts w:ascii="Arial" w:cs="Arial" w:eastAsia="Arial" w:hAnsi="Arial"/>
          <w:sz w:val="17"/>
          <w:szCs w:val="17"/>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4" w:lineRule="exact"/>
        <w:rPr>
          <w:rFonts w:ascii="Arial" w:cs="Arial" w:eastAsia="Arial" w:hAnsi="Arial"/>
          <w:sz w:val="17"/>
          <w:szCs w:val="17"/>
          <w:color w:val="auto"/>
        </w:rPr>
      </w:pPr>
    </w:p>
    <w:p>
      <w:pPr>
        <w:ind w:left="120" w:firstLine="440"/>
        <w:spacing w:after="0" w:line="311"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81" w:lineRule="exact"/>
        <w:rPr>
          <w:rFonts w:ascii="Arial" w:cs="Arial" w:eastAsia="Arial" w:hAnsi="Arial"/>
          <w:sz w:val="17"/>
          <w:szCs w:val="17"/>
          <w:color w:val="auto"/>
        </w:rPr>
      </w:pPr>
    </w:p>
    <w:p>
      <w:pPr>
        <w:jc w:val="center"/>
        <w:ind w:right="-13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171450</wp:posOffset>
            </wp:positionV>
            <wp:extent cx="2871470" cy="6686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262255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3420" w:type="dxa"/>
            <w:vAlign w:val="bottom"/>
          </w:tcPr>
          <w:p>
            <w:pPr>
              <w:ind w:left="60"/>
              <w:spacing w:after="0"/>
              <w:rPr>
                <w:sz w:val="20"/>
                <w:szCs w:val="20"/>
                <w:color w:val="auto"/>
              </w:rPr>
            </w:pPr>
            <w:r>
              <w:rPr>
                <w:rFonts w:ascii="Arial" w:cs="Arial" w:eastAsia="Arial" w:hAnsi="Arial"/>
                <w:sz w:val="18"/>
                <w:szCs w:val="18"/>
                <w:color w:val="auto"/>
              </w:rPr>
              <w:t> Common stock</w:t>
            </w:r>
          </w:p>
        </w:tc>
        <w:tc>
          <w:tcPr>
            <w:tcW w:w="2420" w:type="dxa"/>
            <w:vAlign w:val="bottom"/>
          </w:tcPr>
          <w:p>
            <w:pPr>
              <w:ind w:left="2260"/>
              <w:spacing w:after="0"/>
              <w:rPr>
                <w:sz w:val="20"/>
                <w:szCs w:val="20"/>
                <w:color w:val="auto"/>
              </w:rPr>
            </w:pPr>
            <w:r>
              <w:rPr>
                <w:rFonts w:ascii="Arial" w:cs="Arial" w:eastAsia="Arial" w:hAnsi="Arial"/>
                <w:sz w:val="13"/>
                <w:szCs w:val="13"/>
                <w:color w:val="auto"/>
                <w:w w:val="79"/>
              </w:rPr>
              <w:t>• </w:t>
            </w:r>
          </w:p>
        </w:tc>
        <w:tc>
          <w:tcPr>
            <w:tcW w:w="720" w:type="dxa"/>
            <w:vAlign w:val="bottom"/>
          </w:tcPr>
          <w:p>
            <w:pPr>
              <w:ind w:left="80"/>
              <w:spacing w:after="0"/>
              <w:rPr>
                <w:sz w:val="20"/>
                <w:szCs w:val="20"/>
                <w:color w:val="auto"/>
              </w:rPr>
            </w:pPr>
            <w:r>
              <w:rPr>
                <w:rFonts w:ascii="Arial" w:cs="Arial" w:eastAsia="Arial" w:hAnsi="Arial"/>
                <w:sz w:val="18"/>
                <w:szCs w:val="18"/>
                <w:color w:val="auto"/>
                <w:w w:val="83"/>
              </w:rPr>
              <w:t> Warrants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3420" w:type="dxa"/>
            <w:vAlign w:val="bottom"/>
          </w:tcPr>
          <w:p>
            <w:pPr>
              <w:ind w:left="60"/>
              <w:spacing w:after="0"/>
              <w:rPr>
                <w:sz w:val="20"/>
                <w:szCs w:val="20"/>
                <w:color w:val="auto"/>
              </w:rPr>
            </w:pPr>
            <w:r>
              <w:rPr>
                <w:rFonts w:ascii="Arial" w:cs="Arial" w:eastAsia="Arial" w:hAnsi="Arial"/>
                <w:sz w:val="18"/>
                <w:szCs w:val="18"/>
                <w:color w:val="auto"/>
              </w:rPr>
              <w:t> Preferred stock</w:t>
            </w:r>
          </w:p>
        </w:tc>
        <w:tc>
          <w:tcPr>
            <w:tcW w:w="2420" w:type="dxa"/>
            <w:vAlign w:val="bottom"/>
          </w:tcPr>
          <w:p>
            <w:pPr>
              <w:ind w:left="2260"/>
              <w:spacing w:after="0"/>
              <w:rPr>
                <w:sz w:val="20"/>
                <w:szCs w:val="20"/>
                <w:color w:val="auto"/>
              </w:rPr>
            </w:pPr>
            <w:r>
              <w:rPr>
                <w:rFonts w:ascii="Arial" w:cs="Arial" w:eastAsia="Arial" w:hAnsi="Arial"/>
                <w:sz w:val="13"/>
                <w:szCs w:val="13"/>
                <w:color w:val="auto"/>
                <w:w w:val="79"/>
              </w:rPr>
              <w:t>• </w:t>
            </w:r>
          </w:p>
        </w:tc>
        <w:tc>
          <w:tcPr>
            <w:tcW w:w="720" w:type="dxa"/>
            <w:vAlign w:val="bottom"/>
          </w:tcPr>
          <w:p>
            <w:pPr>
              <w:ind w:left="80"/>
              <w:spacing w:after="0"/>
              <w:rPr>
                <w:sz w:val="20"/>
                <w:szCs w:val="20"/>
                <w:color w:val="auto"/>
              </w:rPr>
            </w:pPr>
            <w:r>
              <w:rPr>
                <w:rFonts w:ascii="Arial" w:cs="Arial" w:eastAsia="Arial" w:hAnsi="Arial"/>
                <w:sz w:val="18"/>
                <w:szCs w:val="18"/>
                <w:color w:val="auto"/>
              </w:rPr>
              <w:t> Units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3420" w:type="dxa"/>
            <w:vAlign w:val="bottom"/>
          </w:tcPr>
          <w:p>
            <w:pPr>
              <w:ind w:left="60"/>
              <w:spacing w:after="0"/>
              <w:rPr>
                <w:sz w:val="20"/>
                <w:szCs w:val="20"/>
                <w:color w:val="auto"/>
              </w:rPr>
            </w:pPr>
            <w:r>
              <w:rPr>
                <w:rFonts w:ascii="Arial" w:cs="Arial" w:eastAsia="Arial" w:hAnsi="Arial"/>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 Maturity</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 Redemption terms</w:t>
            </w:r>
          </w:p>
        </w:tc>
        <w:tc>
          <w:tcPr>
            <w:tcW w:w="820" w:type="dxa"/>
            <w:vAlign w:val="bottom"/>
          </w:tcPr>
          <w:p>
            <w:pPr>
              <w:ind w:left="640"/>
              <w:spacing w:after="0"/>
              <w:rPr>
                <w:sz w:val="20"/>
                <w:szCs w:val="20"/>
                <w:color w:val="auto"/>
              </w:rPr>
            </w:pPr>
            <w:r>
              <w:rPr>
                <w:rFonts w:ascii="Arial" w:cs="Arial" w:eastAsia="Arial" w:hAnsi="Arial"/>
                <w:sz w:val="16"/>
                <w:szCs w:val="16"/>
                <w:color w:val="auto"/>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auto"/>
              </w:rPr>
              <w:t> Liquidation amount</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 Interest rate</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 Listing on a security exchange</w:t>
            </w:r>
          </w:p>
        </w:tc>
        <w:tc>
          <w:tcPr>
            <w:tcW w:w="820" w:type="dxa"/>
            <w:vAlign w:val="bottom"/>
          </w:tcPr>
          <w:p>
            <w:pPr>
              <w:ind w:left="640"/>
              <w:spacing w:after="0"/>
              <w:rPr>
                <w:sz w:val="20"/>
                <w:szCs w:val="20"/>
                <w:color w:val="auto"/>
              </w:rPr>
            </w:pPr>
            <w:r>
              <w:rPr>
                <w:rFonts w:ascii="Arial" w:cs="Arial" w:eastAsia="Arial" w:hAnsi="Arial"/>
                <w:sz w:val="16"/>
                <w:szCs w:val="16"/>
                <w:color w:val="auto"/>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auto"/>
                <w:w w:val="87"/>
              </w:rPr>
              <w:t> Subsidiary guarantees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 Currency of payments</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 Amount payable at maturity</w:t>
            </w:r>
          </w:p>
        </w:tc>
        <w:tc>
          <w:tcPr>
            <w:tcW w:w="820" w:type="dxa"/>
            <w:vAlign w:val="bottom"/>
          </w:tcPr>
          <w:p>
            <w:pPr>
              <w:ind w:left="640"/>
              <w:spacing w:after="0"/>
              <w:rPr>
                <w:sz w:val="20"/>
                <w:szCs w:val="20"/>
                <w:color w:val="auto"/>
              </w:rPr>
            </w:pPr>
            <w:r>
              <w:rPr>
                <w:rFonts w:ascii="Arial" w:cs="Arial" w:eastAsia="Arial" w:hAnsi="Arial"/>
                <w:sz w:val="16"/>
                <w:szCs w:val="16"/>
                <w:color w:val="auto"/>
                <w:w w:val="73"/>
              </w:rPr>
              <w:t>• </w:t>
            </w:r>
          </w:p>
        </w:tc>
        <w:tc>
          <w:tcPr>
            <w:tcW w:w="1660" w:type="dxa"/>
            <w:vAlign w:val="bottom"/>
          </w:tcPr>
          <w:p>
            <w:pPr>
              <w:ind w:left="60"/>
              <w:spacing w:after="0"/>
              <w:rPr>
                <w:sz w:val="20"/>
                <w:szCs w:val="20"/>
                <w:color w:val="auto"/>
              </w:rPr>
            </w:pPr>
            <w:r>
              <w:rPr>
                <w:rFonts w:ascii="Arial" w:cs="Arial" w:eastAsia="Arial" w:hAnsi="Arial"/>
                <w:sz w:val="18"/>
                <w:szCs w:val="18"/>
                <w:color w:val="auto"/>
              </w:rPr>
              <w:t> Sinking fund terms</w:t>
            </w:r>
          </w:p>
        </w:tc>
      </w:tr>
      <w:tr>
        <w:trPr>
          <w:trHeight w:val="324"/>
        </w:trPr>
        <w:tc>
          <w:tcPr>
            <w:tcW w:w="180" w:type="dxa"/>
            <w:vAlign w:val="bottom"/>
          </w:tcPr>
          <w:p>
            <w:pPr>
              <w:spacing w:after="0"/>
              <w:rPr>
                <w:sz w:val="20"/>
                <w:szCs w:val="20"/>
                <w:color w:val="auto"/>
              </w:rPr>
            </w:pPr>
            <w:r>
              <w:rPr>
                <w:rFonts w:ascii="Arial" w:cs="Arial" w:eastAsia="Arial" w:hAnsi="Arial"/>
                <w:sz w:val="16"/>
                <w:szCs w:val="16"/>
                <w:color w:val="auto"/>
                <w:w w:val="73"/>
              </w:rPr>
              <w:t>• </w:t>
            </w:r>
          </w:p>
        </w:tc>
        <w:tc>
          <w:tcPr>
            <w:tcW w:w="2800" w:type="dxa"/>
            <w:vAlign w:val="bottom"/>
          </w:tcPr>
          <w:p>
            <w:pPr>
              <w:ind w:left="60"/>
              <w:spacing w:after="0"/>
              <w:rPr>
                <w:sz w:val="20"/>
                <w:szCs w:val="20"/>
                <w:color w:val="auto"/>
              </w:rPr>
            </w:pPr>
            <w:r>
              <w:rPr>
                <w:rFonts w:ascii="Arial" w:cs="Arial" w:eastAsia="Arial" w:hAnsi="Arial"/>
                <w:sz w:val="18"/>
                <w:szCs w:val="18"/>
                <w:color w:val="auto"/>
              </w:rPr>
              <w:t> Dividends</w:t>
            </w:r>
          </w:p>
        </w:tc>
        <w:tc>
          <w:tcPr>
            <w:tcW w:w="1300" w:type="dxa"/>
            <w:vAlign w:val="bottom"/>
          </w:tcPr>
          <w:p>
            <w:pPr>
              <w:ind w:left="1120"/>
              <w:spacing w:after="0"/>
              <w:rPr>
                <w:sz w:val="20"/>
                <w:szCs w:val="20"/>
                <w:color w:val="auto"/>
              </w:rPr>
            </w:pPr>
            <w:r>
              <w:rPr>
                <w:rFonts w:ascii="Arial" w:cs="Arial" w:eastAsia="Arial" w:hAnsi="Arial"/>
                <w:sz w:val="16"/>
                <w:szCs w:val="16"/>
                <w:color w:val="auto"/>
                <w:w w:val="73"/>
              </w:rPr>
              <w:t>• </w:t>
            </w:r>
          </w:p>
        </w:tc>
        <w:tc>
          <w:tcPr>
            <w:tcW w:w="2920" w:type="dxa"/>
            <w:vAlign w:val="bottom"/>
          </w:tcPr>
          <w:p>
            <w:pPr>
              <w:ind w:left="60"/>
              <w:spacing w:after="0"/>
              <w:rPr>
                <w:sz w:val="20"/>
                <w:szCs w:val="20"/>
                <w:color w:val="auto"/>
              </w:rPr>
            </w:pPr>
            <w:r>
              <w:rPr>
                <w:rFonts w:ascii="Arial" w:cs="Arial" w:eastAsia="Arial" w:hAnsi="Arial"/>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20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203200</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left="120" w:right="660" w:firstLine="440"/>
        <w:spacing w:after="0" w:line="334"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171450</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120" w:right="2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date of this prospectus is February 4, 2022</w:t>
      </w:r>
    </w:p>
    <w:p>
      <w:pPr>
        <w:sectPr>
          <w:pgSz w:w="11900" w:h="16838" w:orient="portrait"/>
          <w:cols w:equalWidth="0" w:num="1">
            <w:col w:w="11080"/>
          </w:cols>
          <w:pgMar w:left="320" w:top="459" w:right="4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Arial" w:cs="Arial" w:eastAsia="Arial" w:hAnsi="Arial"/>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2"/>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2"/>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Arial" w:cs="Arial" w:eastAsia="Arial" w:hAnsi="Arial"/>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24"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www.sec.gov.</w:t>
      </w:r>
    </w:p>
    <w:p>
      <w:pPr>
        <w:spacing w:after="0" w:line="170" w:lineRule="exact"/>
        <w:rPr>
          <w:sz w:val="20"/>
          <w:szCs w:val="20"/>
          <w:color w:val="auto"/>
        </w:rPr>
      </w:pPr>
    </w:p>
    <w:p>
      <w:pPr>
        <w:ind w:left="120" w:right="40" w:firstLine="440"/>
        <w:spacing w:after="0" w:line="291" w:lineRule="auto"/>
        <w:rPr>
          <w:rFonts w:ascii="Arial" w:cs="Arial" w:eastAsia="Arial" w:hAnsi="Arial"/>
          <w:sz w:val="16"/>
          <w:szCs w:val="16"/>
          <w:color w:val="auto"/>
        </w:rPr>
      </w:pPr>
      <w:r>
        <w:rPr>
          <w:rFonts w:ascii="Arial" w:cs="Arial" w:eastAsia="Arial" w:hAnsi="Arial"/>
          <w:sz w:val="16"/>
          <w:szCs w:val="16"/>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67">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for the year ended December 31, 2021, filed on February 4, 2022, the Current Report on </w:t>
      </w:r>
      <w:hyperlink r:id="rId54">
        <w:r>
          <w:rPr>
            <w:rFonts w:ascii="Arial" w:cs="Arial" w:eastAsia="Arial" w:hAnsi="Arial"/>
            <w:sz w:val="16"/>
            <w:szCs w:val="16"/>
            <w:u w:val="single" w:color="auto"/>
            <w:color w:val="0000EE"/>
          </w:rPr>
          <w:t>Form 8-K</w:t>
        </w:r>
      </w:hyperlink>
      <w:r>
        <w:rPr>
          <w:rFonts w:ascii="Arial" w:cs="Arial" w:eastAsia="Arial" w:hAnsi="Arial"/>
          <w:sz w:val="16"/>
          <w:szCs w:val="16"/>
          <w:color w:val="auto"/>
        </w:rPr>
        <w:t xml:space="preserve">, filed on January 26, 2022, the description of our common stock contained in our registration statement on </w:t>
      </w:r>
      <w:hyperlink r:id="rId68">
        <w:r>
          <w:rPr>
            <w:rFonts w:ascii="Arial" w:cs="Arial" w:eastAsia="Arial" w:hAnsi="Arial"/>
            <w:sz w:val="16"/>
            <w:szCs w:val="16"/>
            <w:u w:val="single" w:color="auto"/>
            <w:color w:val="0000EE"/>
          </w:rPr>
          <w:t>Form 8-A</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66" w:lineRule="exact"/>
        <w:rPr>
          <w:rFonts w:ascii="Arial" w:cs="Arial" w:eastAsia="Arial" w:hAnsi="Arial"/>
          <w:sz w:val="16"/>
          <w:szCs w:val="16"/>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4" w:lineRule="exact"/>
        <w:rPr>
          <w:rFonts w:ascii="Arial" w:cs="Arial" w:eastAsia="Arial" w:hAnsi="Arial"/>
          <w:sz w:val="16"/>
          <w:szCs w:val="16"/>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9"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rFonts w:ascii="Arial" w:cs="Arial" w:eastAsia="Arial" w:hAnsi="Arial"/>
          <w:sz w:val="16"/>
          <w:szCs w:val="16"/>
          <w:color w:val="auto"/>
        </w:rPr>
      </w:pPr>
    </w:p>
    <w:p>
      <w:pPr>
        <w:ind w:left="120" w:firstLine="440"/>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2" w:lineRule="exact"/>
        <w:rPr>
          <w:rFonts w:ascii="Arial" w:cs="Arial" w:eastAsia="Arial" w:hAnsi="Arial"/>
          <w:sz w:val="16"/>
          <w:szCs w:val="16"/>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rFonts w:ascii="Arial" w:cs="Arial" w:eastAsia="Arial" w:hAnsi="Arial"/>
          <w:sz w:val="16"/>
          <w:szCs w:val="16"/>
          <w:color w:val="auto"/>
        </w:rPr>
      </w:pPr>
    </w:p>
    <w:p>
      <w:pPr>
        <w:ind w:left="1080" w:right="1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58"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 ;</w:t>
      </w:r>
    </w:p>
    <w:p>
      <w:pPr>
        <w:spacing w:after="0" w:line="75"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9"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75" w:lineRule="exact"/>
        <w:rPr>
          <w:rFonts w:ascii="Arial" w:cs="Arial" w:eastAsia="Arial" w:hAnsi="Arial"/>
          <w:sz w:val="18"/>
          <w:szCs w:val="18"/>
          <w:color w:val="auto"/>
        </w:rPr>
      </w:pPr>
    </w:p>
    <w:p>
      <w:pPr>
        <w:ind w:left="1080" w:right="22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320" w:top="459" w:right="61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85"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1080" w:right="320" w:hanging="424"/>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1" w:lineRule="exact"/>
        <w:rPr>
          <w:rFonts w:ascii="Arial" w:cs="Arial" w:eastAsia="Arial" w:hAnsi="Arial"/>
          <w:sz w:val="17"/>
          <w:szCs w:val="17"/>
          <w:color w:val="auto"/>
        </w:rPr>
      </w:pPr>
    </w:p>
    <w:p>
      <w:pPr>
        <w:ind w:left="1080" w:hanging="424"/>
        <w:spacing w:after="0" w:line="272"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5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 should look in the prospectus supplement for any additional or different terms of the debt securities being offered, including the following terms:</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or rates, if any, per year, at which the debt securities will bear interest, or the method of determining such rate or rates;</w:t>
      </w:r>
    </w:p>
    <w:p>
      <w:pPr>
        <w:spacing w:after="0" w:line="16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4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Certain Definitions</w:t>
      </w:r>
      <w:r>
        <w:rPr>
          <w:rFonts w:ascii="Arial" w:cs="Arial" w:eastAsia="Arial" w:hAnsi="Arial"/>
          <w:sz w:val="16"/>
          <w:szCs w:val="16"/>
          <w:color w:val="auto"/>
        </w:rPr>
        <w:t>. The term “attributable debt” in respect of a sale and leaseback transaction means, at the time of determination, the lesser of</w:t>
      </w:r>
    </w:p>
    <w:p>
      <w:pPr>
        <w:spacing w:after="0" w:line="46" w:lineRule="exact"/>
        <w:rPr>
          <w:sz w:val="20"/>
          <w:szCs w:val="20"/>
          <w:color w:val="auto"/>
        </w:rPr>
      </w:pPr>
    </w:p>
    <w:p>
      <w:pPr>
        <w:ind w:left="120" w:right="120" w:hanging="4"/>
        <w:spacing w:after="0" w:line="302" w:lineRule="auto"/>
        <w:tabs>
          <w:tab w:leader="none" w:pos="3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55"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i w:val="1"/>
          <w:iCs w:val="1"/>
          <w:color w:val="auto"/>
        </w:rPr>
        <w:t>Restrictions on Liens</w:t>
      </w:r>
      <w:r>
        <w:rPr>
          <w:rFonts w:ascii="Arial" w:cs="Arial" w:eastAsia="Arial" w:hAnsi="Arial"/>
          <w:sz w:val="16"/>
          <w:szCs w:val="16"/>
          <w:color w:val="auto"/>
        </w:rPr>
        <w:t>. The indenture provides that, unless as may otherwise be indicated by resolution of our board of directors,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54"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mortgages on property existing at the time of or within 120 days after acquisition of the property and certain purchase money mortgages;</w:t>
      </w:r>
    </w:p>
    <w:p>
      <w:pPr>
        <w:spacing w:after="0" w:line="153"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1080" w:right="40" w:hanging="424"/>
        <w:spacing w:after="0" w:line="275"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jc w:val="both"/>
        <w:ind w:left="120" w:right="80" w:firstLine="440"/>
        <w:spacing w:after="0" w:line="301" w:lineRule="auto"/>
        <w:rPr>
          <w:sz w:val="20"/>
          <w:szCs w:val="20"/>
          <w:color w:val="auto"/>
        </w:rPr>
      </w:pPr>
      <w:r>
        <w:rPr>
          <w:rFonts w:ascii="Arial" w:cs="Arial" w:eastAsia="Arial" w:hAnsi="Arial"/>
          <w:sz w:val="16"/>
          <w:szCs w:val="16"/>
          <w:i w:val="1"/>
          <w:iCs w:val="1"/>
          <w:color w:val="auto"/>
        </w:rPr>
        <w:t>Restrictions on Sale and Leaseback Transactions</w:t>
      </w:r>
      <w:r>
        <w:rPr>
          <w:rFonts w:ascii="Arial" w:cs="Arial" w:eastAsia="Arial" w:hAnsi="Arial"/>
          <w:sz w:val="16"/>
          <w:szCs w:val="16"/>
          <w:color w:val="auto"/>
        </w:rPr>
        <w:t>. The indenture provides that, unless as may otherwise be indicated by resolution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63" w:lineRule="exact"/>
        <w:rPr>
          <w:sz w:val="20"/>
          <w:szCs w:val="20"/>
          <w:color w:val="auto"/>
        </w:rPr>
      </w:pPr>
    </w:p>
    <w:p>
      <w:pPr>
        <w:ind w:left="108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540" w:hanging="331"/>
        <w:spacing w:after="0"/>
        <w:tabs>
          <w:tab w:leader="none" w:pos="1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proceeds of such sale and leaseback transaction and we elect to designate such amount as a credit against such transaction, or</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342"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29" w:lineRule="exact"/>
        <w:rPr>
          <w:rFonts w:ascii="Arial" w:cs="Arial" w:eastAsia="Arial" w:hAnsi="Arial"/>
          <w:sz w:val="16"/>
          <w:szCs w:val="16"/>
          <w:color w:val="auto"/>
        </w:rPr>
      </w:pPr>
    </w:p>
    <w:p>
      <w:pPr>
        <w:ind w:left="1080" w:right="120" w:hanging="424"/>
        <w:spacing w:after="0" w:line="286"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6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i w:val="1"/>
          <w:iCs w:val="1"/>
          <w:color w:val="auto"/>
        </w:rPr>
        <w:t>Exempted Debt</w:t>
      </w:r>
      <w:r>
        <w:rPr>
          <w:rFonts w:ascii="Arial" w:cs="Arial" w:eastAsia="Arial" w:hAnsi="Arial"/>
          <w:sz w:val="17"/>
          <w:szCs w:val="17"/>
          <w:color w:val="auto"/>
        </w:rPr>
        <w:t>. The indenture provides that, notwithstanding the restrictions on mortgages and sale and leaseback transactions described above,</w:t>
      </w:r>
      <w:r>
        <w:rPr>
          <w:rFonts w:ascii="Arial" w:cs="Arial" w:eastAsia="Arial" w:hAnsi="Arial"/>
          <w:sz w:val="17"/>
          <w:szCs w:val="17"/>
          <w:i w:val="1"/>
          <w:iCs w:val="1"/>
          <w:color w:val="auto"/>
        </w:rPr>
        <w:t xml:space="preserve"> </w:t>
      </w:r>
      <w:r>
        <w:rPr>
          <w:rFonts w:ascii="Arial" w:cs="Arial" w:eastAsia="Arial" w:hAnsi="Arial"/>
          <w:sz w:val="17"/>
          <w:szCs w:val="17"/>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Consolidation, Merger and Sale or Conveyance</w:t>
      </w:r>
      <w:r>
        <w:rPr>
          <w:rFonts w:ascii="Arial" w:cs="Arial" w:eastAsia="Arial" w:hAnsi="Arial"/>
          <w:sz w:val="16"/>
          <w:szCs w:val="16"/>
          <w:color w:val="auto"/>
        </w:rPr>
        <w:t>. We may not consolidate with, merge with or into, or sell, or convey (including by way of lease)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or substantially all of our assets to any person or permit any person to merge with or into us unless:</w:t>
      </w:r>
    </w:p>
    <w:p>
      <w:pPr>
        <w:spacing w:after="0" w:line="116" w:lineRule="exact"/>
        <w:rPr>
          <w:sz w:val="20"/>
          <w:szCs w:val="20"/>
          <w:color w:val="auto"/>
        </w:rPr>
      </w:pPr>
    </w:p>
    <w:p>
      <w:pPr>
        <w:ind w:left="1080" w:right="160" w:hanging="424"/>
        <w:spacing w:after="0" w:line="273"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83" w:lineRule="exact"/>
        <w:rPr>
          <w:rFonts w:ascii="Arial" w:cs="Arial" w:eastAsia="Arial" w:hAnsi="Arial"/>
          <w:sz w:val="17"/>
          <w:szCs w:val="17"/>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54" w:lineRule="exact"/>
        <w:rPr>
          <w:rFonts w:ascii="Arial" w:cs="Arial" w:eastAsia="Arial" w:hAnsi="Arial"/>
          <w:sz w:val="16"/>
          <w:szCs w:val="16"/>
          <w:color w:val="auto"/>
        </w:rPr>
      </w:pPr>
    </w:p>
    <w:p>
      <w:pPr>
        <w:ind w:left="1080" w:right="58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51" w:lineRule="exact"/>
        <w:rPr>
          <w:rFonts w:ascii="Arial" w:cs="Arial" w:eastAsia="Arial" w:hAnsi="Arial"/>
          <w:sz w:val="17"/>
          <w:szCs w:val="17"/>
          <w:color w:val="auto"/>
        </w:rPr>
      </w:pPr>
    </w:p>
    <w:p>
      <w:pPr>
        <w:ind w:left="1080" w:hanging="424"/>
        <w:spacing w:after="0" w:line="273"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default in the payment of interest on any debt securities of such series when due and payable, if that default continues for a period of 30 days;</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540" w:right="280" w:hanging="331"/>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relief in respect of us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540" w:right="400" w:hanging="331"/>
        <w:spacing w:after="0" w:line="277"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 The default by us under any other debt, including any other series of debt securities, is not a default under the indenture.</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3"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1080" w:hanging="424"/>
        <w:spacing w:after="0" w:line="293"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77" w:lineRule="exact"/>
        <w:rPr>
          <w:sz w:val="20"/>
          <w:szCs w:val="20"/>
          <w:color w:val="auto"/>
        </w:rPr>
      </w:pPr>
    </w:p>
    <w:p>
      <w:pPr>
        <w:ind w:left="1080" w:right="40" w:hanging="424"/>
        <w:spacing w:after="0" w:line="270"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86"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extends the stated maturity of the principal of, or the time of payment of any installment of interest on, any debt securities of such series;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1080" w:right="70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9" w:lineRule="exact"/>
        <w:rPr>
          <w:rFonts w:ascii="Arial" w:cs="Arial" w:eastAsia="Arial" w:hAnsi="Arial"/>
          <w:sz w:val="18"/>
          <w:szCs w:val="18"/>
          <w:color w:val="auto"/>
        </w:rPr>
      </w:pPr>
    </w:p>
    <w:p>
      <w:pPr>
        <w:ind w:left="5540" w:right="180" w:hanging="4884"/>
        <w:spacing w:after="0" w:line="449" w:lineRule="auto"/>
        <w:tabs>
          <w:tab w:leader="none" w:pos="10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indenture and the debt securities will be governed by, and construed in accordance with, the internal laws of the State of New York.</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Registered Global Securities</w:t>
      </w:r>
      <w:r>
        <w:rPr>
          <w:rFonts w:ascii="Arial" w:cs="Arial" w:eastAsia="Arial" w:hAnsi="Arial"/>
          <w:sz w:val="16"/>
          <w:szCs w:val="16"/>
          <w:color w:val="auto"/>
        </w:rPr>
        <w:t>. We may issue the registered debt securities, warrants and units in the form of one or more fully registered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6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7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or selling security holders may sell the securities being offered hereby in the following manner or any manner specified in a prospectus supplement:</w:t>
      </w:r>
    </w:p>
    <w:p>
      <w:pPr>
        <w:spacing w:after="0" w:line="76"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jc w:val="both"/>
        <w:ind w:left="120" w:right="160" w:firstLine="440"/>
        <w:spacing w:after="0" w:line="301"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61"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49"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40"/>
          </w:cols>
          <w:pgMar w:left="320" w:top="459" w:right="5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254635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306070</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648970</wp:posOffset>
            </wp:positionV>
            <wp:extent cx="2871470" cy="677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2871470" cy="677545"/>
                    </a:xfrm>
                    <a:prstGeom prst="rect">
                      <a:avLst/>
                    </a:prstGeom>
                    <a:noFill/>
                  </pic:spPr>
                </pic:pic>
              </a:graphicData>
            </a:graphic>
          </wp:anchor>
        </w:drawing>
      </w:r>
    </w:p>
    <w:p>
      <w:pPr>
        <w:sectPr>
          <w:pgSz w:w="11900" w:h="16838" w:orient="portrait"/>
          <w:cols w:equalWidth="0" w:num="1">
            <w:col w:w="10520"/>
          </w:cols>
          <w:pgMar w:left="320" w:top="459"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$300,000,000 4.700% Notes due 2024</w:t>
      </w:r>
    </w:p>
    <w:p>
      <w:pPr>
        <w:spacing w:after="0" w:line="118" w:lineRule="exact"/>
        <w:rPr>
          <w:sz w:val="20"/>
          <w:szCs w:val="20"/>
          <w:color w:val="auto"/>
        </w:rPr>
      </w:pPr>
    </w:p>
    <w:p>
      <w:pPr>
        <w:ind w:left="3640"/>
        <w:spacing w:after="0"/>
        <w:rPr>
          <w:sz w:val="20"/>
          <w:szCs w:val="20"/>
          <w:color w:val="auto"/>
        </w:rPr>
      </w:pPr>
      <w:r>
        <w:rPr>
          <w:rFonts w:ascii="Arial" w:cs="Arial" w:eastAsia="Arial" w:hAnsi="Arial"/>
          <w:sz w:val="25"/>
          <w:szCs w:val="25"/>
          <w:b w:val="1"/>
          <w:bCs w:val="1"/>
          <w:color w:val="auto"/>
        </w:rPr>
        <w:t>$500,000,000 4.600%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1143635</wp:posOffset>
            </wp:positionV>
            <wp:extent cx="1474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220"/>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101" w:lineRule="exact"/>
        <w:rPr>
          <w:sz w:val="20"/>
          <w:szCs w:val="20"/>
          <w:color w:val="auto"/>
        </w:rPr>
      </w:pPr>
    </w:p>
    <w:p>
      <w:pPr>
        <w:ind w:left="1300"/>
        <w:spacing w:after="0"/>
        <w:tabs>
          <w:tab w:leader="none" w:pos="5480" w:val="left"/>
          <w:tab w:leader="none" w:pos="8540" w:val="left"/>
        </w:tabs>
        <w:rPr>
          <w:sz w:val="20"/>
          <w:szCs w:val="20"/>
          <w:color w:val="auto"/>
        </w:rPr>
      </w:pPr>
      <w:r>
        <w:rPr>
          <w:rFonts w:ascii="Arial" w:cs="Arial" w:eastAsia="Arial" w:hAnsi="Arial"/>
          <w:sz w:val="29"/>
          <w:szCs w:val="29"/>
          <w:b w:val="1"/>
          <w:bCs w:val="1"/>
          <w:color w:val="auto"/>
        </w:rPr>
        <w:t>J.P. Morgan</w:t>
      </w:r>
      <w:r>
        <w:rPr>
          <w:sz w:val="20"/>
          <w:szCs w:val="20"/>
          <w:color w:val="auto"/>
        </w:rPr>
        <w:tab/>
      </w:r>
      <w:r>
        <w:rPr>
          <w:rFonts w:ascii="Arial" w:cs="Arial" w:eastAsia="Arial" w:hAnsi="Arial"/>
          <w:sz w:val="29"/>
          <w:szCs w:val="29"/>
          <w:b w:val="1"/>
          <w:bCs w:val="1"/>
          <w:color w:val="auto"/>
        </w:rPr>
        <w:t>Mizuho</w:t>
      </w:r>
      <w:r>
        <w:rPr>
          <w:sz w:val="20"/>
          <w:szCs w:val="20"/>
          <w:color w:val="auto"/>
        </w:rPr>
        <w:tab/>
      </w: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1154430</wp:posOffset>
            </wp:positionV>
            <wp:extent cx="1474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November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437515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520"/>
          </w:cols>
          <w:pgMar w:left="320" w:top="459" w:right="1059" w:bottom="1440" w:gutter="0" w:footer="0" w:header="0"/>
          <w:type w:val="continuous"/>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424(b)(2)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Securities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prospectus supplement to which this Exhibit is attached is a final prospectus for the related offerings. The maximum aggregate amount of those offerings is $799,000,000.</w:t>
      </w:r>
    </w:p>
    <w:p>
      <w:pPr>
        <w:spacing w:after="0" w:line="192" w:lineRule="exact"/>
        <w:rPr>
          <w:sz w:val="20"/>
          <w:szCs w:val="20"/>
          <w:color w:val="auto"/>
        </w:rPr>
      </w:pPr>
    </w:p>
    <w:tbl>
      <w:tblPr>
        <w:tblLayout w:type="fixed"/>
        <w:tblInd w:w="70" w:type="dxa"/>
        <w:tblCellMar>
          <w:top w:w="0" w:type="dxa"/>
          <w:left w:w="0" w:type="dxa"/>
          <w:bottom w:w="0" w:type="dxa"/>
          <w:right w:w="0" w:type="dxa"/>
        </w:tblCellMar>
      </w:tblPr>
      <w:tr>
        <w:trPr>
          <w:trHeight w:val="148"/>
        </w:trPr>
        <w:tc>
          <w:tcPr>
            <w:tcW w:w="310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12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jc w:val="center"/>
              <w:ind w:right="27"/>
              <w:spacing w:after="0"/>
              <w:rPr>
                <w:sz w:val="20"/>
                <w:szCs w:val="20"/>
                <w:color w:val="auto"/>
              </w:rPr>
            </w:pPr>
            <w:r>
              <w:rPr>
                <w:rFonts w:ascii="Arial" w:cs="Arial" w:eastAsia="Arial" w:hAnsi="Arial"/>
                <w:sz w:val="13"/>
                <w:szCs w:val="13"/>
                <w:color w:val="auto"/>
                <w:w w:val="80"/>
              </w:rPr>
              <w:t>Fee</w:t>
            </w:r>
          </w:p>
        </w:tc>
        <w:tc>
          <w:tcPr>
            <w:tcW w:w="11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ind w:right="27"/>
              <w:spacing w:after="0"/>
              <w:rPr>
                <w:sz w:val="20"/>
                <w:szCs w:val="20"/>
                <w:color w:val="auto"/>
              </w:rPr>
            </w:pPr>
            <w:r>
              <w:rPr>
                <w:rFonts w:ascii="Arial" w:cs="Arial" w:eastAsia="Arial" w:hAnsi="Arial"/>
                <w:sz w:val="13"/>
                <w:szCs w:val="13"/>
                <w:color w:val="auto"/>
                <w:w w:val="82"/>
              </w:rPr>
              <w:t>Proposed</w:t>
            </w:r>
          </w:p>
        </w:tc>
        <w:tc>
          <w:tcPr>
            <w:tcW w:w="116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spacing w:after="0"/>
              <w:rPr>
                <w:sz w:val="12"/>
                <w:szCs w:val="12"/>
                <w:color w:val="auto"/>
              </w:rPr>
            </w:pPr>
          </w:p>
        </w:tc>
        <w:tc>
          <w:tcPr>
            <w:tcW w:w="1000" w:type="dxa"/>
            <w:vAlign w:val="bottom"/>
            <w:tcBorders>
              <w:top w:val="single" w:sz="8" w:color="auto"/>
              <w:right w:val="single" w:sz="8" w:color="auto"/>
            </w:tcBorders>
          </w:tcPr>
          <w:p>
            <w:pPr>
              <w:spacing w:after="0"/>
              <w:rPr>
                <w:sz w:val="12"/>
                <w:szCs w:val="12"/>
                <w:color w:val="auto"/>
              </w:rPr>
            </w:pPr>
          </w:p>
        </w:tc>
      </w:tr>
      <w:tr>
        <w:trPr>
          <w:trHeight w:val="135"/>
        </w:trPr>
        <w:tc>
          <w:tcPr>
            <w:tcW w:w="31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right="27"/>
              <w:spacing w:after="0" w:line="135" w:lineRule="exact"/>
              <w:rPr>
                <w:sz w:val="20"/>
                <w:szCs w:val="20"/>
                <w:color w:val="auto"/>
              </w:rPr>
            </w:pPr>
            <w:r>
              <w:rPr>
                <w:rFonts w:ascii="Arial" w:cs="Arial" w:eastAsia="Arial" w:hAnsi="Arial"/>
                <w:sz w:val="13"/>
                <w:szCs w:val="13"/>
                <w:color w:val="auto"/>
                <w:w w:val="90"/>
              </w:rPr>
              <w:t>Calculation</w:t>
            </w:r>
          </w:p>
        </w:tc>
        <w:tc>
          <w:tcPr>
            <w:tcW w:w="11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ind w:right="47"/>
              <w:spacing w:after="0" w:line="135" w:lineRule="exact"/>
              <w:rPr>
                <w:sz w:val="20"/>
                <w:szCs w:val="20"/>
                <w:color w:val="auto"/>
              </w:rPr>
            </w:pPr>
            <w:r>
              <w:rPr>
                <w:rFonts w:ascii="Arial" w:cs="Arial" w:eastAsia="Arial" w:hAnsi="Arial"/>
                <w:sz w:val="13"/>
                <w:szCs w:val="13"/>
                <w:color w:val="auto"/>
                <w:w w:val="92"/>
              </w:rPr>
              <w:t>Maximum</w:t>
            </w:r>
          </w:p>
        </w:tc>
        <w:tc>
          <w:tcPr>
            <w:tcW w:w="1160" w:type="dxa"/>
            <w:vAlign w:val="bottom"/>
            <w:tcBorders>
              <w:right w:val="single" w:sz="8" w:color="auto"/>
            </w:tcBorders>
          </w:tcPr>
          <w:p>
            <w:pPr>
              <w:jc w:val="center"/>
              <w:ind w:right="5"/>
              <w:spacing w:after="0" w:line="135" w:lineRule="exact"/>
              <w:rPr>
                <w:sz w:val="20"/>
                <w:szCs w:val="20"/>
                <w:color w:val="auto"/>
              </w:rPr>
            </w:pPr>
            <w:r>
              <w:rPr>
                <w:rFonts w:ascii="Arial" w:cs="Arial" w:eastAsia="Arial" w:hAnsi="Arial"/>
                <w:sz w:val="13"/>
                <w:szCs w:val="13"/>
                <w:color w:val="auto"/>
                <w:w w:val="92"/>
              </w:rPr>
              <w:t>Maximum</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r>
      <w:tr>
        <w:trPr>
          <w:trHeight w:val="135"/>
        </w:trPr>
        <w:tc>
          <w:tcPr>
            <w:tcW w:w="31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2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jc w:val="center"/>
              <w:ind w:right="27"/>
              <w:spacing w:after="0" w:line="135" w:lineRule="exact"/>
              <w:rPr>
                <w:sz w:val="20"/>
                <w:szCs w:val="20"/>
                <w:color w:val="auto"/>
              </w:rPr>
            </w:pPr>
            <w:r>
              <w:rPr>
                <w:rFonts w:ascii="Arial" w:cs="Arial" w:eastAsia="Arial" w:hAnsi="Arial"/>
                <w:sz w:val="13"/>
                <w:szCs w:val="13"/>
                <w:color w:val="auto"/>
                <w:w w:val="89"/>
              </w:rPr>
              <w:t>or Carry</w:t>
            </w:r>
          </w:p>
        </w:tc>
        <w:tc>
          <w:tcPr>
            <w:tcW w:w="11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ind w:right="27"/>
              <w:spacing w:after="0" w:line="135" w:lineRule="exact"/>
              <w:rPr>
                <w:sz w:val="20"/>
                <w:szCs w:val="20"/>
                <w:color w:val="auto"/>
              </w:rPr>
            </w:pPr>
            <w:r>
              <w:rPr>
                <w:rFonts w:ascii="Arial" w:cs="Arial" w:eastAsia="Arial" w:hAnsi="Arial"/>
                <w:sz w:val="13"/>
                <w:szCs w:val="13"/>
                <w:color w:val="auto"/>
                <w:w w:val="90"/>
              </w:rPr>
              <w:t>Offering</w:t>
            </w:r>
          </w:p>
        </w:tc>
        <w:tc>
          <w:tcPr>
            <w:tcW w:w="1160" w:type="dxa"/>
            <w:vAlign w:val="bottom"/>
            <w:tcBorders>
              <w:right w:val="single" w:sz="8" w:color="auto"/>
            </w:tcBorders>
          </w:tcPr>
          <w:p>
            <w:pPr>
              <w:jc w:val="center"/>
              <w:ind w:right="5"/>
              <w:spacing w:after="0" w:line="135" w:lineRule="exact"/>
              <w:rPr>
                <w:sz w:val="20"/>
                <w:szCs w:val="20"/>
                <w:color w:val="auto"/>
              </w:rPr>
            </w:pPr>
            <w:r>
              <w:rPr>
                <w:rFonts w:ascii="Arial" w:cs="Arial" w:eastAsia="Arial" w:hAnsi="Arial"/>
                <w:sz w:val="13"/>
                <w:szCs w:val="13"/>
                <w:color w:val="auto"/>
                <w:w w:val="86"/>
              </w:rPr>
              <w:t>Aggregate</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ind w:right="24"/>
              <w:spacing w:after="0" w:line="135" w:lineRule="exact"/>
              <w:rPr>
                <w:sz w:val="20"/>
                <w:szCs w:val="20"/>
                <w:color w:val="auto"/>
              </w:rPr>
            </w:pPr>
            <w:r>
              <w:rPr>
                <w:rFonts w:ascii="Arial" w:cs="Arial" w:eastAsia="Arial" w:hAnsi="Arial"/>
                <w:sz w:val="13"/>
                <w:szCs w:val="13"/>
                <w:color w:val="auto"/>
                <w:w w:val="91"/>
              </w:rPr>
              <w:t>Amount of</w:t>
            </w:r>
          </w:p>
        </w:tc>
      </w:tr>
      <w:tr>
        <w:trPr>
          <w:trHeight w:val="135"/>
        </w:trPr>
        <w:tc>
          <w:tcPr>
            <w:tcW w:w="3100" w:type="dxa"/>
            <w:vAlign w:val="bottom"/>
            <w:tcBorders>
              <w:left w:val="single" w:sz="8" w:color="auto"/>
              <w:right w:val="single" w:sz="8" w:color="auto"/>
            </w:tcBorders>
          </w:tcPr>
          <w:p>
            <w:pPr>
              <w:spacing w:after="0"/>
              <w:rPr>
                <w:sz w:val="11"/>
                <w:szCs w:val="11"/>
                <w:color w:val="auto"/>
              </w:rPr>
            </w:pPr>
          </w:p>
        </w:tc>
        <w:tc>
          <w:tcPr>
            <w:tcW w:w="620" w:type="dxa"/>
            <w:vAlign w:val="bottom"/>
            <w:tcBorders>
              <w:right w:val="single" w:sz="8" w:color="auto"/>
            </w:tcBorders>
          </w:tcPr>
          <w:p>
            <w:pPr>
              <w:jc w:val="right"/>
              <w:ind w:right="81"/>
              <w:spacing w:after="0" w:line="135" w:lineRule="exact"/>
              <w:rPr>
                <w:sz w:val="20"/>
                <w:szCs w:val="20"/>
                <w:color w:val="auto"/>
              </w:rPr>
            </w:pPr>
            <w:r>
              <w:rPr>
                <w:rFonts w:ascii="Arial" w:cs="Arial" w:eastAsia="Arial" w:hAnsi="Arial"/>
                <w:sz w:val="13"/>
                <w:szCs w:val="13"/>
                <w:color w:val="auto"/>
                <w:w w:val="93"/>
              </w:rPr>
              <w:t>Security</w:t>
            </w:r>
          </w:p>
        </w:tc>
        <w:tc>
          <w:tcPr>
            <w:tcW w:w="12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color w:val="auto"/>
                <w:w w:val="89"/>
              </w:rPr>
              <w:t>Security</w:t>
            </w:r>
          </w:p>
        </w:tc>
        <w:tc>
          <w:tcPr>
            <w:tcW w:w="760" w:type="dxa"/>
            <w:vAlign w:val="bottom"/>
            <w:tcBorders>
              <w:right w:val="single" w:sz="8" w:color="auto"/>
            </w:tcBorders>
          </w:tcPr>
          <w:p>
            <w:pPr>
              <w:jc w:val="center"/>
              <w:ind w:right="27"/>
              <w:spacing w:after="0" w:line="135" w:lineRule="exact"/>
              <w:rPr>
                <w:sz w:val="20"/>
                <w:szCs w:val="20"/>
                <w:color w:val="auto"/>
              </w:rPr>
            </w:pPr>
            <w:r>
              <w:rPr>
                <w:rFonts w:ascii="Arial" w:cs="Arial" w:eastAsia="Arial" w:hAnsi="Arial"/>
                <w:sz w:val="13"/>
                <w:szCs w:val="13"/>
                <w:color w:val="auto"/>
                <w:w w:val="88"/>
              </w:rPr>
              <w:t>Forward</w:t>
            </w:r>
          </w:p>
        </w:tc>
        <w:tc>
          <w:tcPr>
            <w:tcW w:w="1180" w:type="dxa"/>
            <w:vAlign w:val="bottom"/>
            <w:tcBorders>
              <w:right w:val="single" w:sz="8" w:color="auto"/>
            </w:tcBorders>
          </w:tcPr>
          <w:p>
            <w:pPr>
              <w:jc w:val="center"/>
              <w:ind w:right="21"/>
              <w:spacing w:after="0" w:line="135" w:lineRule="exact"/>
              <w:rPr>
                <w:sz w:val="20"/>
                <w:szCs w:val="20"/>
                <w:color w:val="auto"/>
              </w:rPr>
            </w:pPr>
            <w:r>
              <w:rPr>
                <w:rFonts w:ascii="Arial" w:cs="Arial" w:eastAsia="Arial" w:hAnsi="Arial"/>
                <w:sz w:val="13"/>
                <w:szCs w:val="13"/>
                <w:color w:val="auto"/>
                <w:w w:val="89"/>
              </w:rPr>
              <w:t>Amount</w:t>
            </w:r>
          </w:p>
        </w:tc>
        <w:tc>
          <w:tcPr>
            <w:tcW w:w="880" w:type="dxa"/>
            <w:vAlign w:val="bottom"/>
            <w:tcBorders>
              <w:right w:val="single" w:sz="8" w:color="auto"/>
            </w:tcBorders>
          </w:tcPr>
          <w:p>
            <w:pPr>
              <w:jc w:val="center"/>
              <w:ind w:right="27"/>
              <w:spacing w:after="0" w:line="135" w:lineRule="exact"/>
              <w:rPr>
                <w:sz w:val="20"/>
                <w:szCs w:val="20"/>
                <w:color w:val="auto"/>
              </w:rPr>
            </w:pPr>
            <w:r>
              <w:rPr>
                <w:rFonts w:ascii="Arial" w:cs="Arial" w:eastAsia="Arial" w:hAnsi="Arial"/>
                <w:sz w:val="13"/>
                <w:szCs w:val="13"/>
                <w:color w:val="auto"/>
                <w:w w:val="85"/>
              </w:rPr>
              <w:t>Price Per</w:t>
            </w:r>
          </w:p>
        </w:tc>
        <w:tc>
          <w:tcPr>
            <w:tcW w:w="1160" w:type="dxa"/>
            <w:vAlign w:val="bottom"/>
            <w:tcBorders>
              <w:right w:val="single" w:sz="8" w:color="auto"/>
            </w:tcBorders>
          </w:tcPr>
          <w:p>
            <w:pPr>
              <w:jc w:val="center"/>
              <w:ind w:right="25"/>
              <w:spacing w:after="0" w:line="135" w:lineRule="exact"/>
              <w:rPr>
                <w:sz w:val="20"/>
                <w:szCs w:val="20"/>
                <w:color w:val="auto"/>
              </w:rPr>
            </w:pPr>
            <w:r>
              <w:rPr>
                <w:rFonts w:ascii="Arial" w:cs="Arial" w:eastAsia="Arial" w:hAnsi="Arial"/>
                <w:sz w:val="13"/>
                <w:szCs w:val="13"/>
                <w:color w:val="auto"/>
                <w:w w:val="90"/>
              </w:rPr>
              <w:t>Offering</w:t>
            </w:r>
          </w:p>
        </w:tc>
        <w:tc>
          <w:tcPr>
            <w:tcW w:w="98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tcPr>
          <w:p>
            <w:pPr>
              <w:jc w:val="center"/>
              <w:ind w:right="24"/>
              <w:spacing w:after="0" w:line="135" w:lineRule="exact"/>
              <w:rPr>
                <w:sz w:val="20"/>
                <w:szCs w:val="20"/>
                <w:color w:val="auto"/>
              </w:rPr>
            </w:pPr>
            <w:r>
              <w:rPr>
                <w:rFonts w:ascii="Arial" w:cs="Arial" w:eastAsia="Arial" w:hAnsi="Arial"/>
                <w:sz w:val="13"/>
                <w:szCs w:val="13"/>
                <w:color w:val="auto"/>
                <w:w w:val="89"/>
              </w:rPr>
              <w:t>Registration</w:t>
            </w:r>
          </w:p>
        </w:tc>
      </w:tr>
      <w:tr>
        <w:trPr>
          <w:trHeight w:val="162"/>
        </w:trPr>
        <w:tc>
          <w:tcPr>
            <w:tcW w:w="3100" w:type="dxa"/>
            <w:vAlign w:val="bottom"/>
            <w:tcBorders>
              <w:left w:val="single" w:sz="8" w:color="auto"/>
              <w:bottom w:val="single" w:sz="8" w:color="auto"/>
              <w:right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jc w:val="right"/>
              <w:ind w:right="181"/>
              <w:spacing w:after="0"/>
              <w:rPr>
                <w:sz w:val="20"/>
                <w:szCs w:val="20"/>
                <w:color w:val="auto"/>
              </w:rPr>
            </w:pPr>
            <w:r>
              <w:rPr>
                <w:rFonts w:ascii="Arial" w:cs="Arial" w:eastAsia="Arial" w:hAnsi="Arial"/>
                <w:sz w:val="13"/>
                <w:szCs w:val="13"/>
                <w:color w:val="auto"/>
              </w:rPr>
              <w:t>Type</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8"/>
              </w:rPr>
              <w:t>Class Title</w:t>
            </w:r>
          </w:p>
        </w:tc>
        <w:tc>
          <w:tcPr>
            <w:tcW w:w="760" w:type="dxa"/>
            <w:vAlign w:val="bottom"/>
            <w:tcBorders>
              <w:bottom w:val="single" w:sz="8" w:color="auto"/>
              <w:right w:val="single" w:sz="8" w:color="auto"/>
            </w:tcBorders>
          </w:tcPr>
          <w:p>
            <w:pPr>
              <w:jc w:val="center"/>
              <w:ind w:right="47"/>
              <w:spacing w:after="0"/>
              <w:rPr>
                <w:sz w:val="20"/>
                <w:szCs w:val="20"/>
                <w:color w:val="auto"/>
              </w:rPr>
            </w:pPr>
            <w:r>
              <w:rPr>
                <w:rFonts w:ascii="Arial" w:cs="Arial" w:eastAsia="Arial" w:hAnsi="Arial"/>
                <w:sz w:val="13"/>
                <w:szCs w:val="13"/>
                <w:color w:val="auto"/>
                <w:w w:val="89"/>
              </w:rPr>
              <w:t>Rule</w:t>
            </w:r>
          </w:p>
        </w:tc>
        <w:tc>
          <w:tcPr>
            <w:tcW w:w="118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13"/>
                <w:szCs w:val="13"/>
                <w:color w:val="auto"/>
                <w:w w:val="85"/>
              </w:rPr>
              <w:t>Registered</w:t>
            </w:r>
          </w:p>
        </w:tc>
        <w:tc>
          <w:tcPr>
            <w:tcW w:w="880" w:type="dxa"/>
            <w:vAlign w:val="bottom"/>
            <w:tcBorders>
              <w:bottom w:val="single" w:sz="8" w:color="auto"/>
              <w:right w:val="single" w:sz="8" w:color="auto"/>
            </w:tcBorders>
          </w:tcPr>
          <w:p>
            <w:pPr>
              <w:jc w:val="center"/>
              <w:ind w:right="27"/>
              <w:spacing w:after="0"/>
              <w:rPr>
                <w:sz w:val="20"/>
                <w:szCs w:val="20"/>
                <w:color w:val="auto"/>
              </w:rPr>
            </w:pPr>
            <w:r>
              <w:rPr>
                <w:rFonts w:ascii="Arial" w:cs="Arial" w:eastAsia="Arial" w:hAnsi="Arial"/>
                <w:sz w:val="13"/>
                <w:szCs w:val="13"/>
                <w:color w:val="auto"/>
                <w:w w:val="94"/>
              </w:rPr>
              <w:t>Unit</w:t>
            </w:r>
          </w:p>
        </w:tc>
        <w:tc>
          <w:tcPr>
            <w:tcW w:w="1160" w:type="dxa"/>
            <w:vAlign w:val="bottom"/>
            <w:tcBorders>
              <w:bottom w:val="single" w:sz="8" w:color="auto"/>
              <w:right w:val="single" w:sz="8" w:color="auto"/>
            </w:tcBorders>
          </w:tcPr>
          <w:p>
            <w:pPr>
              <w:jc w:val="center"/>
              <w:ind w:right="25"/>
              <w:spacing w:after="0"/>
              <w:rPr>
                <w:sz w:val="20"/>
                <w:szCs w:val="20"/>
                <w:color w:val="auto"/>
              </w:rPr>
            </w:pPr>
            <w:r>
              <w:rPr>
                <w:rFonts w:ascii="Arial" w:cs="Arial" w:eastAsia="Arial" w:hAnsi="Arial"/>
                <w:sz w:val="13"/>
                <w:szCs w:val="13"/>
                <w:color w:val="auto"/>
                <w:w w:val="87"/>
              </w:rPr>
              <w:t>Price</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2"/>
              </w:rPr>
              <w:t>Fee Rate</w:t>
            </w:r>
          </w:p>
        </w:tc>
        <w:tc>
          <w:tcPr>
            <w:tcW w:w="1000" w:type="dxa"/>
            <w:vAlign w:val="bottom"/>
            <w:tcBorders>
              <w:bottom w:val="single" w:sz="8" w:color="auto"/>
              <w:right w:val="single" w:sz="8" w:color="auto"/>
            </w:tcBorders>
          </w:tcPr>
          <w:p>
            <w:pPr>
              <w:jc w:val="center"/>
              <w:ind w:right="24"/>
              <w:spacing w:after="0"/>
              <w:rPr>
                <w:sz w:val="20"/>
                <w:szCs w:val="20"/>
                <w:color w:val="auto"/>
              </w:rPr>
            </w:pPr>
            <w:r>
              <w:rPr>
                <w:rFonts w:ascii="Arial" w:cs="Arial" w:eastAsia="Arial" w:hAnsi="Arial"/>
                <w:sz w:val="13"/>
                <w:szCs w:val="13"/>
                <w:color w:val="auto"/>
                <w:w w:val="80"/>
              </w:rPr>
              <w:t>Fee</w:t>
            </w:r>
          </w:p>
        </w:tc>
      </w:tr>
      <w:tr>
        <w:trPr>
          <w:trHeight w:val="223"/>
        </w:trPr>
        <w:tc>
          <w:tcPr>
            <w:tcW w:w="310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color w:val="auto"/>
              </w:rPr>
              <w:t>Newly Registered Securities</w:t>
            </w:r>
          </w:p>
        </w:tc>
        <w:tc>
          <w:tcPr>
            <w:tcW w:w="8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spacing w:after="0"/>
              <w:rPr>
                <w:sz w:val="19"/>
                <w:szCs w:val="19"/>
                <w:color w:val="auto"/>
              </w:rPr>
            </w:pPr>
          </w:p>
        </w:tc>
      </w:tr>
      <w:tr>
        <w:trPr>
          <w:trHeight w:val="277"/>
        </w:trPr>
        <w:tc>
          <w:tcPr>
            <w:tcW w:w="31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620" w:type="dxa"/>
            <w:vAlign w:val="bottom"/>
            <w:tcBorders>
              <w:right w:val="single" w:sz="8" w:color="auto"/>
            </w:tcBorders>
          </w:tcPr>
          <w:p>
            <w:pPr>
              <w:jc w:val="right"/>
              <w:ind w:right="81"/>
              <w:spacing w:after="0"/>
              <w:rPr>
                <w:sz w:val="20"/>
                <w:szCs w:val="20"/>
                <w:color w:val="auto"/>
              </w:rPr>
            </w:pPr>
            <w:r>
              <w:rPr>
                <w:rFonts w:ascii="Arial" w:cs="Arial" w:eastAsia="Arial" w:hAnsi="Arial"/>
                <w:sz w:val="18"/>
                <w:szCs w:val="18"/>
                <w:color w:val="auto"/>
              </w:rPr>
              <w:t>Debt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4.700% Notes</w:t>
            </w:r>
          </w:p>
        </w:tc>
        <w:tc>
          <w:tcPr>
            <w:tcW w:w="760" w:type="dxa"/>
            <w:vAlign w:val="bottom"/>
            <w:tcBorders>
              <w:right w:val="single" w:sz="8" w:color="auto"/>
            </w:tcBorders>
          </w:tcPr>
          <w:p>
            <w:pPr>
              <w:jc w:val="right"/>
              <w:ind w:right="67"/>
              <w:spacing w:after="0"/>
              <w:rPr>
                <w:sz w:val="20"/>
                <w:szCs w:val="20"/>
                <w:color w:val="auto"/>
              </w:rPr>
            </w:pPr>
            <w:r>
              <w:rPr>
                <w:rFonts w:ascii="Arial" w:cs="Arial" w:eastAsia="Arial" w:hAnsi="Arial"/>
                <w:sz w:val="18"/>
                <w:szCs w:val="18"/>
                <w:color w:val="auto"/>
              </w:rPr>
              <w:t>457(r)</w:t>
            </w:r>
          </w:p>
        </w:tc>
        <w:tc>
          <w:tcPr>
            <w:tcW w:w="1180" w:type="dxa"/>
            <w:vAlign w:val="bottom"/>
            <w:tcBorders>
              <w:right w:val="single" w:sz="8" w:color="auto"/>
            </w:tcBorders>
          </w:tcPr>
          <w:p>
            <w:pPr>
              <w:jc w:val="center"/>
              <w:ind w:right="21"/>
              <w:spacing w:after="0"/>
              <w:rPr>
                <w:sz w:val="20"/>
                <w:szCs w:val="20"/>
                <w:color w:val="auto"/>
              </w:rPr>
            </w:pPr>
            <w:r>
              <w:rPr>
                <w:rFonts w:ascii="Arial" w:cs="Arial" w:eastAsia="Arial" w:hAnsi="Arial"/>
                <w:sz w:val="18"/>
                <w:szCs w:val="18"/>
                <w:color w:val="auto"/>
                <w:w w:val="90"/>
              </w:rPr>
              <w:t>$300,000,000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99.955%</w:t>
            </w:r>
          </w:p>
        </w:tc>
        <w:tc>
          <w:tcPr>
            <w:tcW w:w="1160" w:type="dxa"/>
            <w:vAlign w:val="bottom"/>
            <w:tcBorders>
              <w:right w:val="single" w:sz="8" w:color="auto"/>
            </w:tcBorders>
          </w:tcPr>
          <w:p>
            <w:pPr>
              <w:jc w:val="center"/>
              <w:ind w:right="5"/>
              <w:spacing w:after="0"/>
              <w:rPr>
                <w:sz w:val="20"/>
                <w:szCs w:val="20"/>
                <w:color w:val="auto"/>
              </w:rPr>
            </w:pPr>
            <w:r>
              <w:rPr>
                <w:rFonts w:ascii="Arial" w:cs="Arial" w:eastAsia="Arial" w:hAnsi="Arial"/>
                <w:sz w:val="18"/>
                <w:szCs w:val="18"/>
                <w:color w:val="auto"/>
                <w:w w:val="90"/>
              </w:rPr>
              <w:t>$299,865,000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$110.20 per</w:t>
            </w:r>
          </w:p>
        </w:tc>
        <w:tc>
          <w:tcPr>
            <w:tcW w:w="1000" w:type="dxa"/>
            <w:vAlign w:val="bottom"/>
            <w:tcBorders>
              <w:right w:val="single" w:sz="8" w:color="auto"/>
            </w:tcBorders>
          </w:tcPr>
          <w:p>
            <w:pPr>
              <w:jc w:val="center"/>
              <w:ind w:right="24"/>
              <w:spacing w:after="0"/>
              <w:rPr>
                <w:sz w:val="20"/>
                <w:szCs w:val="20"/>
                <w:color w:val="auto"/>
              </w:rPr>
            </w:pPr>
            <w:r>
              <w:rPr>
                <w:rFonts w:ascii="Arial" w:cs="Arial" w:eastAsia="Arial" w:hAnsi="Arial"/>
                <w:sz w:val="18"/>
                <w:szCs w:val="18"/>
                <w:color w:val="auto"/>
                <w:w w:val="90"/>
              </w:rPr>
              <w:t>$33,045.12</w:t>
            </w:r>
          </w:p>
        </w:tc>
      </w:tr>
      <w:tr>
        <w:trPr>
          <w:trHeight w:val="175"/>
        </w:trPr>
        <w:tc>
          <w:tcPr>
            <w:tcW w:w="3100" w:type="dxa"/>
            <w:vAlign w:val="bottom"/>
            <w:tcBorders>
              <w:left w:val="single" w:sz="8" w:color="auto"/>
              <w:bottom w:val="single" w:sz="8" w:color="auto"/>
              <w:right w:val="single" w:sz="8" w:color="auto"/>
            </w:tcBorders>
          </w:tcPr>
          <w:p>
            <w:pPr>
              <w:jc w:val="center"/>
              <w:ind w:left="10"/>
              <w:spacing w:after="0" w:line="176" w:lineRule="exact"/>
              <w:rPr>
                <w:sz w:val="20"/>
                <w:szCs w:val="20"/>
                <w:color w:val="auto"/>
              </w:rPr>
            </w:pPr>
            <w:r>
              <w:rPr>
                <w:rFonts w:ascii="Arial" w:cs="Arial" w:eastAsia="Arial" w:hAnsi="Arial"/>
                <w:sz w:val="18"/>
                <w:szCs w:val="18"/>
                <w:color w:val="auto"/>
                <w:w w:val="88"/>
              </w:rPr>
              <w:t>Paid</w:t>
            </w:r>
          </w:p>
        </w:tc>
        <w:tc>
          <w:tcPr>
            <w:tcW w:w="6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due 2024</w:t>
            </w:r>
          </w:p>
        </w:tc>
        <w:tc>
          <w:tcPr>
            <w:tcW w:w="76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million</w:t>
            </w:r>
          </w:p>
        </w:tc>
        <w:tc>
          <w:tcPr>
            <w:tcW w:w="1000" w:type="dxa"/>
            <w:vAlign w:val="bottom"/>
            <w:tcBorders>
              <w:bottom w:val="single" w:sz="8" w:color="auto"/>
              <w:right w:val="single" w:sz="8" w:color="auto"/>
            </w:tcBorders>
          </w:tcPr>
          <w:p>
            <w:pPr>
              <w:spacing w:after="0"/>
              <w:rPr>
                <w:sz w:val="15"/>
                <w:szCs w:val="15"/>
                <w:color w:val="auto"/>
              </w:rPr>
            </w:pPr>
          </w:p>
        </w:tc>
      </w:tr>
      <w:tr>
        <w:trPr>
          <w:trHeight w:val="277"/>
        </w:trPr>
        <w:tc>
          <w:tcPr>
            <w:tcW w:w="3100" w:type="dxa"/>
            <w:vAlign w:val="bottom"/>
            <w:tcBorders>
              <w:left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Fees to Be</w:t>
            </w:r>
          </w:p>
        </w:tc>
        <w:tc>
          <w:tcPr>
            <w:tcW w:w="620" w:type="dxa"/>
            <w:vAlign w:val="bottom"/>
            <w:tcBorders>
              <w:right w:val="single" w:sz="8" w:color="auto"/>
            </w:tcBorders>
          </w:tcPr>
          <w:p>
            <w:pPr>
              <w:jc w:val="right"/>
              <w:ind w:right="81"/>
              <w:spacing w:after="0"/>
              <w:rPr>
                <w:sz w:val="20"/>
                <w:szCs w:val="20"/>
                <w:color w:val="auto"/>
              </w:rPr>
            </w:pPr>
            <w:r>
              <w:rPr>
                <w:rFonts w:ascii="Arial" w:cs="Arial" w:eastAsia="Arial" w:hAnsi="Arial"/>
                <w:sz w:val="18"/>
                <w:szCs w:val="18"/>
                <w:color w:val="auto"/>
              </w:rPr>
              <w:t>Debt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4.600% Notes</w:t>
            </w:r>
          </w:p>
        </w:tc>
        <w:tc>
          <w:tcPr>
            <w:tcW w:w="760" w:type="dxa"/>
            <w:vAlign w:val="bottom"/>
            <w:tcBorders>
              <w:right w:val="single" w:sz="8" w:color="auto"/>
            </w:tcBorders>
          </w:tcPr>
          <w:p>
            <w:pPr>
              <w:jc w:val="right"/>
              <w:ind w:right="67"/>
              <w:spacing w:after="0"/>
              <w:rPr>
                <w:sz w:val="20"/>
                <w:szCs w:val="20"/>
                <w:color w:val="auto"/>
              </w:rPr>
            </w:pPr>
            <w:r>
              <w:rPr>
                <w:rFonts w:ascii="Arial" w:cs="Arial" w:eastAsia="Arial" w:hAnsi="Arial"/>
                <w:sz w:val="18"/>
                <w:szCs w:val="18"/>
                <w:color w:val="auto"/>
              </w:rPr>
              <w:t>457(r)</w:t>
            </w:r>
          </w:p>
        </w:tc>
        <w:tc>
          <w:tcPr>
            <w:tcW w:w="1180" w:type="dxa"/>
            <w:vAlign w:val="bottom"/>
            <w:tcBorders>
              <w:right w:val="single" w:sz="8" w:color="auto"/>
            </w:tcBorders>
          </w:tcPr>
          <w:p>
            <w:pPr>
              <w:jc w:val="center"/>
              <w:ind w:right="21"/>
              <w:spacing w:after="0"/>
              <w:rPr>
                <w:sz w:val="20"/>
                <w:szCs w:val="20"/>
                <w:color w:val="auto"/>
              </w:rPr>
            </w:pPr>
            <w:r>
              <w:rPr>
                <w:rFonts w:ascii="Arial" w:cs="Arial" w:eastAsia="Arial" w:hAnsi="Arial"/>
                <w:sz w:val="18"/>
                <w:szCs w:val="18"/>
                <w:color w:val="auto"/>
                <w:w w:val="90"/>
              </w:rPr>
              <w:t>$500,000,000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99.827%</w:t>
            </w:r>
          </w:p>
        </w:tc>
        <w:tc>
          <w:tcPr>
            <w:tcW w:w="1160" w:type="dxa"/>
            <w:vAlign w:val="bottom"/>
            <w:tcBorders>
              <w:right w:val="single" w:sz="8" w:color="auto"/>
            </w:tcBorders>
          </w:tcPr>
          <w:p>
            <w:pPr>
              <w:jc w:val="center"/>
              <w:ind w:right="5"/>
              <w:spacing w:after="0"/>
              <w:rPr>
                <w:sz w:val="20"/>
                <w:szCs w:val="20"/>
                <w:color w:val="auto"/>
              </w:rPr>
            </w:pPr>
            <w:r>
              <w:rPr>
                <w:rFonts w:ascii="Arial" w:cs="Arial" w:eastAsia="Arial" w:hAnsi="Arial"/>
                <w:sz w:val="18"/>
                <w:szCs w:val="18"/>
                <w:color w:val="auto"/>
                <w:w w:val="90"/>
              </w:rPr>
              <w:t>$499,135,000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$110.20 per</w:t>
            </w:r>
          </w:p>
        </w:tc>
        <w:tc>
          <w:tcPr>
            <w:tcW w:w="1000" w:type="dxa"/>
            <w:vAlign w:val="bottom"/>
            <w:tcBorders>
              <w:right w:val="single" w:sz="8" w:color="auto"/>
            </w:tcBorders>
          </w:tcPr>
          <w:p>
            <w:pPr>
              <w:jc w:val="center"/>
              <w:ind w:right="24"/>
              <w:spacing w:after="0"/>
              <w:rPr>
                <w:sz w:val="20"/>
                <w:szCs w:val="20"/>
                <w:color w:val="auto"/>
              </w:rPr>
            </w:pPr>
            <w:r>
              <w:rPr>
                <w:rFonts w:ascii="Arial" w:cs="Arial" w:eastAsia="Arial" w:hAnsi="Arial"/>
                <w:sz w:val="18"/>
                <w:szCs w:val="18"/>
                <w:color w:val="auto"/>
                <w:w w:val="90"/>
              </w:rPr>
              <w:t>$55,004.68</w:t>
            </w:r>
          </w:p>
        </w:tc>
      </w:tr>
      <w:tr>
        <w:trPr>
          <w:trHeight w:val="175"/>
        </w:trPr>
        <w:tc>
          <w:tcPr>
            <w:tcW w:w="3100" w:type="dxa"/>
            <w:vAlign w:val="bottom"/>
            <w:tcBorders>
              <w:left w:val="single" w:sz="8" w:color="auto"/>
              <w:bottom w:val="single" w:sz="8" w:color="auto"/>
              <w:right w:val="single" w:sz="8" w:color="auto"/>
            </w:tcBorders>
          </w:tcPr>
          <w:p>
            <w:pPr>
              <w:jc w:val="center"/>
              <w:ind w:left="10"/>
              <w:spacing w:after="0" w:line="176" w:lineRule="exact"/>
              <w:rPr>
                <w:sz w:val="20"/>
                <w:szCs w:val="20"/>
                <w:color w:val="auto"/>
              </w:rPr>
            </w:pPr>
            <w:r>
              <w:rPr>
                <w:rFonts w:ascii="Arial" w:cs="Arial" w:eastAsia="Arial" w:hAnsi="Arial"/>
                <w:sz w:val="18"/>
                <w:szCs w:val="18"/>
                <w:color w:val="auto"/>
                <w:w w:val="88"/>
              </w:rPr>
              <w:t>Paid</w:t>
            </w:r>
          </w:p>
        </w:tc>
        <w:tc>
          <w:tcPr>
            <w:tcW w:w="6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due 2028</w:t>
            </w:r>
          </w:p>
        </w:tc>
        <w:tc>
          <w:tcPr>
            <w:tcW w:w="76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million</w:t>
            </w:r>
          </w:p>
        </w:tc>
        <w:tc>
          <w:tcPr>
            <w:tcW w:w="1000" w:type="dxa"/>
            <w:vAlign w:val="bottom"/>
            <w:tcBorders>
              <w:bottom w:val="single" w:sz="8" w:color="auto"/>
              <w:right w:val="single" w:sz="8" w:color="auto"/>
            </w:tcBorders>
          </w:tcPr>
          <w:p>
            <w:pPr>
              <w:spacing w:after="0"/>
              <w:rPr>
                <w:sz w:val="15"/>
                <w:szCs w:val="15"/>
                <w:color w:val="auto"/>
              </w:rPr>
            </w:pPr>
          </w:p>
        </w:tc>
      </w:tr>
      <w:tr>
        <w:trPr>
          <w:trHeight w:val="277"/>
        </w:trPr>
        <w:tc>
          <w:tcPr>
            <w:tcW w:w="31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TOTAL</w:t>
            </w:r>
          </w:p>
        </w:tc>
        <w:tc>
          <w:tcPr>
            <w:tcW w:w="620" w:type="dxa"/>
            <w:vAlign w:val="bottom"/>
            <w:tcBorders>
              <w:right w:val="single" w:sz="8" w:color="auto"/>
            </w:tcBorders>
          </w:tcPr>
          <w:p>
            <w:pPr>
              <w:jc w:val="right"/>
              <w:ind w:right="81"/>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auto"/>
            </w:tcBorders>
          </w:tcPr>
          <w:p>
            <w:pPr>
              <w:jc w:val="right"/>
              <w:ind w:right="247"/>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center"/>
              <w:ind w:right="21"/>
              <w:spacing w:after="0"/>
              <w:rPr>
                <w:sz w:val="20"/>
                <w:szCs w:val="20"/>
                <w:color w:val="auto"/>
              </w:rPr>
            </w:pPr>
            <w:r>
              <w:rPr>
                <w:rFonts w:ascii="Arial" w:cs="Arial" w:eastAsia="Arial" w:hAnsi="Arial"/>
                <w:sz w:val="18"/>
                <w:szCs w:val="18"/>
                <w:color w:val="auto"/>
                <w:w w:val="90"/>
              </w:rPr>
              <w:t>$800,000,000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ind w:right="5"/>
              <w:spacing w:after="0"/>
              <w:rPr>
                <w:sz w:val="20"/>
                <w:szCs w:val="20"/>
                <w:color w:val="auto"/>
              </w:rPr>
            </w:pPr>
            <w:r>
              <w:rPr>
                <w:rFonts w:ascii="Arial" w:cs="Arial" w:eastAsia="Arial" w:hAnsi="Arial"/>
                <w:sz w:val="18"/>
                <w:szCs w:val="18"/>
                <w:color w:val="auto"/>
                <w:w w:val="90"/>
              </w:rPr>
              <w:t>$799,000,000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$110.20 per</w:t>
            </w:r>
          </w:p>
        </w:tc>
        <w:tc>
          <w:tcPr>
            <w:tcW w:w="1000" w:type="dxa"/>
            <w:vAlign w:val="bottom"/>
            <w:tcBorders>
              <w:right w:val="single" w:sz="8" w:color="auto"/>
            </w:tcBorders>
          </w:tcPr>
          <w:p>
            <w:pPr>
              <w:jc w:val="center"/>
              <w:ind w:right="24"/>
              <w:spacing w:after="0"/>
              <w:rPr>
                <w:sz w:val="20"/>
                <w:szCs w:val="20"/>
                <w:color w:val="auto"/>
              </w:rPr>
            </w:pPr>
            <w:r>
              <w:rPr>
                <w:rFonts w:ascii="Arial" w:cs="Arial" w:eastAsia="Arial" w:hAnsi="Arial"/>
                <w:sz w:val="18"/>
                <w:szCs w:val="18"/>
                <w:color w:val="auto"/>
                <w:w w:val="90"/>
              </w:rPr>
              <w:t>$88,049.80</w:t>
            </w:r>
          </w:p>
        </w:tc>
      </w:tr>
      <w:tr>
        <w:trPr>
          <w:trHeight w:val="176"/>
        </w:trPr>
        <w:tc>
          <w:tcPr>
            <w:tcW w:w="310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116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jc w:val="center"/>
              <w:spacing w:after="0" w:line="176" w:lineRule="exact"/>
              <w:rPr>
                <w:sz w:val="20"/>
                <w:szCs w:val="20"/>
                <w:color w:val="auto"/>
              </w:rPr>
            </w:pPr>
            <w:r>
              <w:rPr>
                <w:rFonts w:ascii="Arial" w:cs="Arial" w:eastAsia="Arial" w:hAnsi="Arial"/>
                <w:sz w:val="18"/>
                <w:szCs w:val="18"/>
                <w:color w:val="auto"/>
              </w:rPr>
              <w:t>million</w:t>
            </w:r>
          </w:p>
        </w:tc>
        <w:tc>
          <w:tcPr>
            <w:tcW w:w="1000" w:type="dxa"/>
            <w:vAlign w:val="bottom"/>
            <w:tcBorders>
              <w:bottom w:val="single" w:sz="8" w:color="auto"/>
              <w:right w:val="single" w:sz="8" w:color="auto"/>
            </w:tcBorders>
          </w:tcPr>
          <w:p>
            <w:pPr>
              <w:spacing w:after="0"/>
              <w:rPr>
                <w:sz w:val="15"/>
                <w:szCs w:val="15"/>
                <w:color w:val="auto"/>
              </w:rPr>
            </w:pP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
      <w:numFmt w:val="bullet"/>
      <w:start w:val="1"/>
    </w:lvl>
    <w:lvl w:ilvl="1">
      <w:lvlJc w:val="left"/>
      <w:lvlText w:val="(%2)"/>
      <w:numFmt w:val="decimal"/>
      <w:start w:val="1"/>
    </w:lvl>
  </w:abstractNum>
  <w:abstractNum w:abstractNumId="9">
    <w:nsid w:val="79838CB2"/>
    <w:multiLevelType w:val="hybridMultilevel"/>
    <w:lvl w:ilvl="0">
      <w:lvlJc w:val="left"/>
      <w:lvlText w:val="•"/>
      <w:numFmt w:val="bullet"/>
      <w:start w:val="1"/>
    </w:lvl>
    <w:lvl w:ilvl="1">
      <w:lvlJc w:val="left"/>
      <w:lvlText w:val="(%2)"/>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lvl w:ilvl="1">
      <w:lvlJc w:val="left"/>
      <w:lvlText w:val="•"/>
      <w:numFmt w:val="bullet"/>
      <w:start w:val="1"/>
    </w:lvl>
  </w:abstractNum>
  <w:abstractNum w:abstractNumId="29">
    <w:nsid w:val="5577F8E1"/>
    <w:multiLevelType w:val="hybridMultilevel"/>
    <w:lvl w:ilvl="0">
      <w:lvlJc w:val="left"/>
      <w:lvlText w:val="•"/>
      <w:numFmt w:val="bullet"/>
      <w:start w:val="1"/>
    </w:lvl>
    <w:lvl w:ilvl="1">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lvl w:ilvl="1">
      <w:lvlJc w:val="left"/>
      <w:lvlText w:val="•"/>
      <w:numFmt w:val="bullet"/>
      <w:start w:val="1"/>
    </w:lvl>
  </w:abstractNum>
  <w:abstractNum w:abstractNumId="32">
    <w:nsid w:val="3804823E"/>
    <w:multiLevelType w:val="hybridMultilevel"/>
    <w:lvl w:ilvl="0">
      <w:lvlJc w:val="left"/>
      <w:lvlText w:val="•"/>
      <w:numFmt w:val="bullet"/>
      <w:start w:val="1"/>
    </w:lvl>
    <w:lvl w:ilvl="1">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jpe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jpe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49" Type="http://schemas.openxmlformats.org/officeDocument/2006/relationships/hyperlink" Target="http://www.sec.gov/ix?doc=/Archives/edgar/data/97476/000009747622000009/txn-20211231.htm" TargetMode="External"/><Relationship Id="rId50" Type="http://schemas.openxmlformats.org/officeDocument/2006/relationships/hyperlink" Target="http://www.sec.gov/Archives/edgar/data/97476/000009747622000018/a2022proxystatement.htm" TargetMode="External"/><Relationship Id="rId51" Type="http://schemas.openxmlformats.org/officeDocument/2006/relationships/hyperlink" Target="http://www.sec.gov/ix?doc=/Archives/edgar/data/97476/000009747622000028/txn-20220331.htm" TargetMode="External"/><Relationship Id="rId52" Type="http://schemas.openxmlformats.org/officeDocument/2006/relationships/hyperlink" Target="http://www.sec.gov/ix?doc=/Archives/edgar/data/97476/000009747622000040/txn-20220630.htm" TargetMode="External"/><Relationship Id="rId53" Type="http://schemas.openxmlformats.org/officeDocument/2006/relationships/hyperlink" Target="http://www.sec.gov/ix?doc=/Archives/edgar/data/97476/000009747622000048/txn-20220930.htm" TargetMode="External"/><Relationship Id="rId54" Type="http://schemas.openxmlformats.org/officeDocument/2006/relationships/hyperlink" Target="http://www.sec.gov/ix?doc=/Archives/edgar/data/97476/000119312522018409/d252810d8k.htm" TargetMode="External"/><Relationship Id="rId55" Type="http://schemas.openxmlformats.org/officeDocument/2006/relationships/hyperlink" Target="http://www.sec.gov/ix?doc=/Archives/edgar/data/97476/000009747622000034/txn-20220428.htm" TargetMode="External"/><Relationship Id="rId56" Type="http://schemas.openxmlformats.org/officeDocument/2006/relationships/hyperlink" Target="http://www.sec.gov/ix?doc=/Archives/edgar/data/0000097476/000119312522222326/d393354d8k.htm" TargetMode="External"/><Relationship Id="rId57" Type="http://schemas.openxmlformats.org/officeDocument/2006/relationships/hyperlink" Target="http://www.sec.gov/ix?doc=/Archives/edgar/data/0000097476/000009747622000043/txn-20220915.htm" TargetMode="External"/><Relationship Id="rId67" Type="http://schemas.openxmlformats.org/officeDocument/2006/relationships/hyperlink" Target="http://www.sec.gov/ix?doc=/Archives/edgar/data/0000097476/000009747622000009/txn-20211231.htm" TargetMode="External"/><Relationship Id="rId68"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2022-11-16T16:26:19Z</dcterms:created>
  <dcterms:modified xsi:type="dcterms:W3CDTF">2022-11-16T16:26:19Z</dcterms:modified>
</cp:coreProperties>
</file>