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719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195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3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05/08/2013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39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39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05/08/2013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200"/>
              <w:spacing w:after="0"/>
              <w:rPr>
                <w:sz w:val="20"/>
                <w:szCs w:val="20"/>
                <w:color w:val="auto"/>
              </w:rPr>
            </w:pPr>
            <w:r>
              <w:rPr>
                <w:rFonts w:ascii="Arial" w:cs="Arial" w:eastAsia="Arial" w:hAnsi="Arial"/>
                <w:sz w:val="17"/>
                <w:szCs w:val="17"/>
                <w:color w:val="0000FF"/>
                <w:w w:val="99"/>
              </w:rPr>
              <w:t>30,000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32.39</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130,002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05/08/2013</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9"/>
              </w:rPr>
              <w:t>30,000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37.0127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100,002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Self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234.28</w:t>
            </w:r>
            <w:r>
              <w:rPr>
                <w:rFonts w:ascii="Arial" w:cs="Arial" w:eastAsia="Arial" w:hAnsi="Arial"/>
                <w:sz w:val="22"/>
                <w:szCs w:val="22"/>
                <w:color w:val="008000"/>
                <w:w w:val="85"/>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6,329.14</w:t>
            </w:r>
            <w:r>
              <w:rPr>
                <w:rFonts w:ascii="Arial" w:cs="Arial" w:eastAsia="Arial" w:hAnsi="Arial"/>
                <w:sz w:val="22"/>
                <w:szCs w:val="22"/>
                <w:color w:val="008000"/>
                <w:w w:val="87"/>
                <w:vertAlign w:val="superscript"/>
              </w:rPr>
              <w:t>(4)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jc w:val="center"/>
              <w:ind w:left="5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32.39</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05/08/2013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30,000</w:t>
            </w:r>
          </w:p>
        </w:tc>
        <w:tc>
          <w:tcPr>
            <w:tcW w:w="780" w:type="dxa"/>
            <w:vAlign w:val="bottom"/>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01/14/2014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2-7-2013. The sales were at prices ranging from $37.00 to $37.20. The price in Table I is the weighted average sale price.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3-31-2013. (Interests in this account are denominated in units. Consequently, share amount shown is an estimate.) This statement does not include changes in beneficial ownership of shares held in this account occurring after 3-31-2013 that are eligible for deferred reporting on Form 5.</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3-31-2013. (Interests in this account are denominated in units. Consequently, share amount shown is an estimate.) This statement does not include changes in beneficial ownership of shares held in such account occurring after 3-31-2013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2005.</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05/09/2013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3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2019-12-17T02:03:08Z</dcterms:created>
  <dcterms:modified xsi:type="dcterms:W3CDTF">2019-12-17T02:03:08Z</dcterms:modified>
</cp:coreProperties>
</file>