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536575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34" w:lineRule="exact"/>
        <w:rPr>
          <w:sz w:val="24"/>
          <w:szCs w:val="24"/>
          <w:color w:val="auto"/>
        </w:rPr>
      </w:pPr>
    </w:p>
    <w:p>
      <w:pPr>
        <w:ind w:left="2600"/>
        <w:spacing w:after="0"/>
        <w:rPr>
          <w:sz w:val="20"/>
          <w:szCs w:val="20"/>
          <w:color w:val="auto"/>
        </w:rPr>
      </w:pPr>
      <w:r>
        <w:rPr>
          <w:rFonts w:ascii="Arial" w:cs="Arial" w:eastAsia="Arial" w:hAnsi="Arial"/>
          <w:sz w:val="17"/>
          <w:szCs w:val="17"/>
          <w:b w:val="1"/>
          <w:bCs w:val="1"/>
          <w:color w:val="auto"/>
        </w:rPr>
        <w:t>DATE OF REPORT (DATE OF EARLIEST EVENT REPORTED): June 9,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556260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544" w:right="75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544" w:right="759" w:bottom="1440" w:gutter="0" w:footer="0" w:header="0"/>
          <w:type w:val="continuous"/>
        </w:sectPr>
      </w:pPr>
    </w:p>
    <w:p>
      <w:pPr>
        <w:spacing w:after="0" w:line="5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544" w:right="759" w:bottom="1440" w:gutter="0" w:footer="0" w:header="0"/>
          <w:type w:val="continuous"/>
        </w:sectPr>
      </w:pPr>
    </w:p>
    <w:p>
      <w:pPr>
        <w:spacing w:after="0" w:line="268"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549275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97"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913130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544" w:right="7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7.01. Regulation FD Disclosure</w:t>
      </w:r>
    </w:p>
    <w:p>
      <w:pPr>
        <w:spacing w:after="0" w:line="252"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The Registrant's news release dated June 9, 2008, regarding the Registrant's outlook for the second quarter of 2008 attached hereto as Exhibit 99 is incorporated by reference 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2"/>
              </w:rPr>
              <w:t>Designation</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7"/>
              </w:rPr>
              <w:t>of Exhibit</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3"/>
              </w:rPr>
              <w:t>in this</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37"/>
        </w:trPr>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Report</w:t>
            </w:r>
          </w:p>
        </w:tc>
        <w:tc>
          <w:tcPr>
            <w:tcW w:w="1020" w:type="dxa"/>
            <w:vAlign w:val="bottom"/>
          </w:tcPr>
          <w:p>
            <w:pPr>
              <w:spacing w:after="0"/>
              <w:rPr>
                <w:sz w:val="20"/>
                <w:szCs w:val="20"/>
                <w:color w:val="auto"/>
              </w:rPr>
            </w:pPr>
          </w:p>
        </w:tc>
        <w:tc>
          <w:tcPr>
            <w:tcW w:w="9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r>
      <w:tr>
        <w:trPr>
          <w:trHeight w:val="418"/>
        </w:trPr>
        <w:tc>
          <w:tcPr>
            <w:tcW w:w="118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1020" w:type="dxa"/>
            <w:vAlign w:val="bottom"/>
          </w:tcPr>
          <w:p>
            <w:pPr>
              <w:spacing w:after="0"/>
              <w:rPr>
                <w:sz w:val="24"/>
                <w:szCs w:val="24"/>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Registrant’s News Release</w:t>
            </w:r>
          </w:p>
        </w:tc>
      </w:tr>
      <w:tr>
        <w:trPr>
          <w:trHeight w:val="230"/>
        </w:trPr>
        <w:tc>
          <w:tcPr>
            <w:tcW w:w="1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Dated June 9, 2008 (furnished pursuant to Item 7.01)</w:t>
            </w:r>
          </w:p>
        </w:tc>
      </w:tr>
    </w:tbl>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2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200" w:lineRule="exact"/>
        <w:rPr>
          <w:sz w:val="20"/>
          <w:szCs w:val="20"/>
          <w:color w:val="auto"/>
        </w:rPr>
      </w:pPr>
    </w:p>
    <w:p>
      <w:pPr>
        <w:spacing w:after="0" w:line="241" w:lineRule="exact"/>
        <w:rPr>
          <w:sz w:val="20"/>
          <w:szCs w:val="20"/>
          <w:color w:val="auto"/>
        </w:rPr>
      </w:pPr>
    </w:p>
    <w:p>
      <w:pPr>
        <w:ind w:left="660" w:hanging="139"/>
        <w:spacing w:after="0" w:line="25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analog chips and digital signal processors in key markets such as communications, entertainment electronics and computing;</w:t>
      </w:r>
    </w:p>
    <w:p>
      <w:pPr>
        <w:spacing w:after="0" w:line="1"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access its bank accounts and lines of credit or otherwise access the capital markets;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660" w:hanging="139"/>
        <w:spacing w:after="0" w:line="26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11"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For a more detailed discussion of these factors, see the text under the heading “Risk Factors” in Item 1A of the Company’s most recent Form 10-K. The forward-looking statements included in this report on Form 8-K are made only as of the date of this report, and the Company undertakes no obligation to update the forward-looking statements to reflect subsequent events or circumstances.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June 9,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F. Hubach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Joseph F. Hubach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Secretary</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and General Counsel</w:t>
      </w:r>
    </w:p>
    <w:p>
      <w:pPr>
        <w:sectPr>
          <w:pgSz w:w="11900" w:h="16838" w:orient="portrait"/>
          <w:cols w:equalWidth="0" w:num="1">
            <w:col w:w="11420"/>
          </w:cols>
          <w:pgMar w:left="240" w:top="517" w:right="239" w:bottom="1139" w:gutter="0" w:footer="0" w:header="0"/>
        </w:sectPr>
      </w:pPr>
    </w:p>
    <w:bookmarkStart w:id="2" w:name="page3"/>
    <w:bookmarkEnd w:id="2"/>
    <w:p>
      <w:pPr>
        <w:jc w:val="right"/>
        <w:spacing w:after="0"/>
        <w:rPr>
          <w:sz w:val="20"/>
          <w:szCs w:val="20"/>
          <w:color w:val="auto"/>
        </w:rPr>
      </w:pPr>
      <w:r>
        <w:rPr>
          <w:rFonts w:ascii="Arial" w:cs="Arial" w:eastAsia="Arial" w:hAnsi="Arial"/>
          <w:sz w:val="18"/>
          <w:szCs w:val="18"/>
          <w:u w:val="single" w:color="auto"/>
          <w:color w:val="auto"/>
        </w:rPr>
        <w:t>Exhibit 99</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updates second-quarter 2008 business outlook</w:t>
      </w:r>
    </w:p>
    <w:p>
      <w:pPr>
        <w:spacing w:after="0" w:line="273" w:lineRule="exact"/>
        <w:rPr>
          <w:sz w:val="20"/>
          <w:szCs w:val="20"/>
          <w:color w:val="auto"/>
        </w:rPr>
      </w:pPr>
    </w:p>
    <w:p>
      <w:pPr>
        <w:ind w:left="1100" w:hanging="309"/>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expected between $3.33 billion and $3.46 billion</w:t>
      </w:r>
    </w:p>
    <w:p>
      <w:pPr>
        <w:spacing w:after="0" w:line="36" w:lineRule="exact"/>
        <w:rPr>
          <w:rFonts w:ascii="Arial" w:cs="Arial" w:eastAsia="Arial" w:hAnsi="Arial"/>
          <w:sz w:val="18"/>
          <w:szCs w:val="18"/>
          <w:color w:val="auto"/>
        </w:rPr>
      </w:pPr>
    </w:p>
    <w:p>
      <w:pPr>
        <w:ind w:left="1100" w:hanging="309"/>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EPS expected between $0.43 and $0.47</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Conference call on TI web site at 4 p.m. Central time today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www.ti.com/ir</w:t>
      </w:r>
    </w:p>
    <w:p>
      <w:pPr>
        <w:spacing w:after="0" w:line="200" w:lineRule="exact"/>
        <w:rPr>
          <w:sz w:val="20"/>
          <w:szCs w:val="20"/>
          <w:color w:val="auto"/>
        </w:rPr>
      </w:pPr>
    </w:p>
    <w:p>
      <w:pPr>
        <w:spacing w:after="0" w:line="2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DALLAS (June 9, 2008) – In a scheduled update to its business outlook for the second quarter of 2008, Texas Instruments Incorporated (TI) (NYSE: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TXN) today narrowed its expected ranges for revenue and earnings per share (EPS).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company’s expectations for revenue are:</w:t>
      </w:r>
    </w:p>
    <w:p>
      <w:pPr>
        <w:spacing w:after="0" w:line="252" w:lineRule="exact"/>
        <w:rPr>
          <w:sz w:val="20"/>
          <w:szCs w:val="20"/>
          <w:color w:val="auto"/>
        </w:rPr>
      </w:pPr>
    </w:p>
    <w:p>
      <w:pPr>
        <w:ind w:left="860" w:hanging="136"/>
        <w:spacing w:after="0"/>
        <w:tabs>
          <w:tab w:leader="none" w:pos="86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Total revenue between $3.33 billion and $3.46 billion, compared with the prior range of $3.24 billion to $3.50 billion;</w:t>
      </w:r>
    </w:p>
    <w:p>
      <w:pPr>
        <w:spacing w:after="0" w:line="252" w:lineRule="exact"/>
        <w:rPr>
          <w:rFonts w:ascii="Arial" w:cs="Arial" w:eastAsia="Arial" w:hAnsi="Arial"/>
          <w:sz w:val="18"/>
          <w:szCs w:val="18"/>
          <w:color w:val="auto"/>
        </w:rPr>
      </w:pPr>
    </w:p>
    <w:p>
      <w:pPr>
        <w:ind w:left="840" w:hanging="143"/>
        <w:spacing w:after="0"/>
        <w:tabs>
          <w:tab w:leader="none" w:pos="840" w:val="left"/>
        </w:tabs>
        <w:numPr>
          <w:ilvl w:val="1"/>
          <w:numId w:val="4"/>
        </w:numPr>
        <w:rPr>
          <w:rFonts w:ascii="Arial" w:cs="Arial" w:eastAsia="Arial" w:hAnsi="Arial"/>
          <w:sz w:val="18"/>
          <w:szCs w:val="18"/>
          <w:color w:val="auto"/>
        </w:rPr>
      </w:pPr>
      <w:r>
        <w:rPr>
          <w:rFonts w:ascii="Arial" w:cs="Arial" w:eastAsia="Arial" w:hAnsi="Arial"/>
          <w:sz w:val="18"/>
          <w:szCs w:val="18"/>
          <w:color w:val="auto"/>
        </w:rPr>
        <w:t>Semiconductor revenue between $3.17 billion and $3.28 billion, compared with the prior range of $3.08 billion to $3.32 billion; and</w:t>
      </w:r>
    </w:p>
    <w:p>
      <w:pPr>
        <w:spacing w:after="0" w:line="252" w:lineRule="exact"/>
        <w:rPr>
          <w:rFonts w:ascii="Arial" w:cs="Arial" w:eastAsia="Arial" w:hAnsi="Arial"/>
          <w:sz w:val="18"/>
          <w:szCs w:val="18"/>
          <w:color w:val="auto"/>
        </w:rPr>
      </w:pPr>
    </w:p>
    <w:p>
      <w:pPr>
        <w:ind w:left="820" w:hanging="13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Education Technology revenue between $160 million and $180 million, unchanged from the prior range.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TI expects EPS between $0.43 and $0.47, compared with the previous range of $0.42 to $0.48.</w:t>
      </w:r>
    </w:p>
    <w:p>
      <w:pPr>
        <w:spacing w:after="0" w:line="25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The company will hold a conference call at 4 p.m. Central time today to discuss this update. This conference call will be available live at </w:t>
      </w:r>
      <w:r>
        <w:rPr>
          <w:rFonts w:ascii="Arial" w:cs="Arial" w:eastAsia="Arial" w:hAnsi="Arial"/>
          <w:sz w:val="18"/>
          <w:szCs w:val="18"/>
          <w:u w:val="single" w:color="auto"/>
          <w:color w:val="auto"/>
        </w:rPr>
        <w:t>www.ti.com/ir</w:t>
      </w:r>
      <w:r>
        <w:rPr>
          <w:rFonts w:ascii="Arial" w:cs="Arial" w:eastAsia="Arial" w:hAnsi="Arial"/>
          <w:sz w:val="18"/>
          <w:szCs w:val="18"/>
          <w:color w:val="auto"/>
        </w:rPr>
        <w:t xml:space="preserve">. TI’s original second-quarter outlook was published in the company’s first-quarter 2008 earnings release on April 21, available at </w:t>
      </w:r>
      <w:r>
        <w:rPr>
          <w:rFonts w:ascii="Arial" w:cs="Arial" w:eastAsia="Arial" w:hAnsi="Arial"/>
          <w:sz w:val="18"/>
          <w:szCs w:val="18"/>
          <w:u w:val="single" w:color="auto"/>
          <w:color w:val="auto"/>
        </w:rPr>
        <w:t>www.ti.com/ir</w:t>
      </w:r>
      <w:r>
        <w:rPr>
          <w:rFonts w:ascii="Arial" w:cs="Arial" w:eastAsia="Arial" w:hAnsi="Arial"/>
          <w:sz w:val="18"/>
          <w:szCs w:val="18"/>
          <w:color w:val="auto"/>
        </w:rPr>
        <w:t>. TI’s second quarter ends on June 30.</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5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0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200" w:lineRule="exact"/>
        <w:rPr>
          <w:sz w:val="20"/>
          <w:szCs w:val="20"/>
          <w:color w:val="auto"/>
        </w:rPr>
      </w:pPr>
    </w:p>
    <w:p>
      <w:pPr>
        <w:spacing w:after="0" w:line="241" w:lineRule="exact"/>
        <w:rPr>
          <w:sz w:val="20"/>
          <w:szCs w:val="20"/>
          <w:color w:val="auto"/>
        </w:rPr>
      </w:pPr>
    </w:p>
    <w:p>
      <w:pPr>
        <w:ind w:left="980" w:hanging="134"/>
        <w:spacing w:after="0" w:line="258"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analog chips and digital signal processors in key markets such as communications, entertainment electronics and computing;</w:t>
      </w:r>
    </w:p>
    <w:p>
      <w:pPr>
        <w:spacing w:after="0" w:line="1" w:lineRule="exact"/>
        <w:rPr>
          <w:rFonts w:ascii="Arial" w:cs="Arial" w:eastAsia="Arial" w:hAnsi="Arial"/>
          <w:sz w:val="18"/>
          <w:szCs w:val="18"/>
          <w:color w:val="auto"/>
        </w:rPr>
      </w:pPr>
    </w:p>
    <w:p>
      <w:pPr>
        <w:ind w:left="980" w:hanging="13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980" w:hanging="13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980" w:hanging="13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980" w:hanging="134"/>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32" w:lineRule="exact"/>
        <w:rPr>
          <w:rFonts w:ascii="Arial" w:cs="Arial" w:eastAsia="Arial" w:hAnsi="Arial"/>
          <w:sz w:val="16"/>
          <w:szCs w:val="16"/>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access its bank accounts and lines of credit or otherwise access the capital markets;</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Product liability or warranty claims, claims based on epidemic or delivery failure or recalls by TI customers for a product containing a TI part;</w:t>
      </w:r>
    </w:p>
    <w:p>
      <w:pPr>
        <w:spacing w:after="0" w:line="32" w:lineRule="exact"/>
        <w:rPr>
          <w:rFonts w:ascii="Arial" w:cs="Arial" w:eastAsia="Arial" w:hAnsi="Arial"/>
          <w:sz w:val="16"/>
          <w:szCs w:val="16"/>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980" w:hanging="134"/>
        <w:spacing w:after="0" w:line="261"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1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our most recent Form 10-K. The forward-looking statements included in this release are made only as of the date of this release and TI undertakes no obligation to update the forward-looking statements to reflect subsequent events or circumstances.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Texas Instruments (NYSE: TXN) helps customers solve problems and develop new electronics that make the world smarter, healthier, safer, greener and more fun. A global semiconductor company, TI innovates through manufacturing, design and sales operations in more than 25 countries. For more information, go to www.ti.com.</w:t>
      </w:r>
    </w:p>
    <w:p>
      <w:pPr>
        <w:sectPr>
          <w:pgSz w:w="11900" w:h="16838" w:orient="portrait"/>
          <w:cols w:equalWidth="0" w:num="1">
            <w:col w:w="11420"/>
          </w:cols>
          <w:pgMar w:left="240" w:top="125" w:right="239" w:bottom="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2019-12-11T14:06:05Z</dcterms:created>
  <dcterms:modified xsi:type="dcterms:W3CDTF">2019-12-11T14:06:05Z</dcterms:modified>
</cp:coreProperties>
</file>