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26,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TEXAS INSTRUMENTS INCORPORATED</w:t>
      </w:r>
    </w:p>
    <w:p>
      <w:pPr>
        <w:spacing w:after="0" w:line="5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2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720" w:type="dxa"/>
            <w:vAlign w:val="bottom"/>
          </w:tcPr>
          <w:p>
            <w:pPr>
              <w:jc w:val="center"/>
              <w:ind w:left="5210"/>
              <w:spacing w:after="0"/>
              <w:rPr>
                <w:sz w:val="20"/>
                <w:szCs w:val="20"/>
                <w:color w:val="auto"/>
              </w:rPr>
            </w:pPr>
            <w:r>
              <w:rPr>
                <w:rFonts w:ascii="Times New Roman" w:cs="Times New Roman" w:eastAsia="Times New Roman" w:hAnsi="Times New Roman"/>
                <w:sz w:val="18"/>
                <w:szCs w:val="18"/>
                <w:b w:val="1"/>
                <w:bCs w:val="1"/>
                <w:color w:val="auto"/>
                <w:w w:val="98"/>
              </w:rPr>
              <w:t>75-0289970</w:t>
            </w:r>
          </w:p>
        </w:tc>
      </w:tr>
      <w:tr>
        <w:trPr>
          <w:trHeight w:val="275"/>
        </w:trPr>
        <w:tc>
          <w:tcPr>
            <w:tcW w:w="2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6720" w:type="dxa"/>
            <w:vAlign w:val="bottom"/>
          </w:tcPr>
          <w:p>
            <w:pPr>
              <w:jc w:val="center"/>
              <w:ind w:left="5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7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6720" w:type="dxa"/>
            <w:vAlign w:val="bottom"/>
          </w:tcPr>
          <w:p>
            <w:pPr>
              <w:jc w:val="center"/>
              <w:ind w:left="52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545"/>
        </w:trPr>
        <w:tc>
          <w:tcPr>
            <w:tcW w:w="2720" w:type="dxa"/>
            <w:vAlign w:val="bottom"/>
          </w:tcPr>
          <w:p>
            <w:pPr>
              <w:spacing w:after="0"/>
              <w:rPr>
                <w:sz w:val="24"/>
                <w:szCs w:val="24"/>
                <w:color w:val="auto"/>
              </w:rPr>
            </w:pPr>
          </w:p>
        </w:tc>
        <w:tc>
          <w:tcPr>
            <w:tcW w:w="67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12500 TI Boulevard</w:t>
            </w:r>
          </w:p>
        </w:tc>
      </w:tr>
      <w:tr>
        <w:trPr>
          <w:trHeight w:val="238"/>
        </w:trPr>
        <w:tc>
          <w:tcPr>
            <w:tcW w:w="2720" w:type="dxa"/>
            <w:vAlign w:val="bottom"/>
          </w:tcPr>
          <w:p>
            <w:pPr>
              <w:spacing w:after="0"/>
              <w:rPr>
                <w:sz w:val="20"/>
                <w:szCs w:val="20"/>
                <w:color w:val="auto"/>
              </w:rPr>
            </w:pPr>
          </w:p>
        </w:tc>
        <w:tc>
          <w:tcPr>
            <w:tcW w:w="67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r>
      <w:tr>
        <w:trPr>
          <w:trHeight w:val="248"/>
        </w:trPr>
        <w:tc>
          <w:tcPr>
            <w:tcW w:w="2720" w:type="dxa"/>
            <w:vAlign w:val="bottom"/>
          </w:tcPr>
          <w:p>
            <w:pPr>
              <w:spacing w:after="0"/>
              <w:rPr>
                <w:sz w:val="21"/>
                <w:szCs w:val="21"/>
                <w:color w:val="auto"/>
              </w:rPr>
            </w:pPr>
          </w:p>
        </w:tc>
        <w:tc>
          <w:tcPr>
            <w:tcW w:w="67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w:t>
            </w:r>
          </w:p>
        </w:tc>
      </w:tr>
      <w:tr>
        <w:trPr>
          <w:trHeight w:val="216"/>
        </w:trPr>
        <w:tc>
          <w:tcPr>
            <w:tcW w:w="2720" w:type="dxa"/>
            <w:vAlign w:val="bottom"/>
          </w:tcPr>
          <w:p>
            <w:pPr>
              <w:spacing w:after="0"/>
              <w:rPr>
                <w:sz w:val="18"/>
                <w:szCs w:val="18"/>
                <w:color w:val="auto"/>
              </w:rPr>
            </w:pPr>
          </w:p>
        </w:tc>
        <w:tc>
          <w:tcPr>
            <w:tcW w:w="67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8"/>
              </w:rPr>
              <w:t>number, including area code, of Registrant’s</w:t>
            </w:r>
          </w:p>
        </w:tc>
      </w:tr>
      <w:tr>
        <w:trPr>
          <w:trHeight w:val="238"/>
        </w:trPr>
        <w:tc>
          <w:tcPr>
            <w:tcW w:w="2720" w:type="dxa"/>
            <w:vAlign w:val="bottom"/>
          </w:tcPr>
          <w:p>
            <w:pPr>
              <w:spacing w:after="0"/>
              <w:rPr>
                <w:sz w:val="20"/>
                <w:szCs w:val="20"/>
                <w:color w:val="auto"/>
              </w:rPr>
            </w:pPr>
          </w:p>
        </w:tc>
        <w:tc>
          <w:tcPr>
            <w:tcW w:w="67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tc>
      </w:tr>
      <w:tr>
        <w:trPr>
          <w:trHeight w:val="437"/>
        </w:trPr>
        <w:tc>
          <w:tcPr>
            <w:tcW w:w="2720" w:type="dxa"/>
            <w:vAlign w:val="bottom"/>
          </w:tcPr>
          <w:p>
            <w:pPr>
              <w:spacing w:after="0"/>
              <w:rPr>
                <w:sz w:val="24"/>
                <w:szCs w:val="24"/>
                <w:color w:val="auto"/>
              </w:rPr>
            </w:pPr>
          </w:p>
        </w:tc>
        <w:tc>
          <w:tcPr>
            <w:tcW w:w="672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8"/>
              </w:rPr>
              <w:t>Texas Instruments 2024 Long-Term Incentive Plan</w:t>
            </w:r>
          </w:p>
        </w:tc>
      </w:tr>
      <w:tr>
        <w:trPr>
          <w:trHeight w:val="238"/>
        </w:trPr>
        <w:tc>
          <w:tcPr>
            <w:tcW w:w="2720" w:type="dxa"/>
            <w:vAlign w:val="bottom"/>
          </w:tcPr>
          <w:p>
            <w:pPr>
              <w:spacing w:after="0"/>
              <w:rPr>
                <w:sz w:val="20"/>
                <w:szCs w:val="20"/>
                <w:color w:val="auto"/>
              </w:rPr>
            </w:pPr>
          </w:p>
        </w:tc>
        <w:tc>
          <w:tcPr>
            <w:tcW w:w="67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Cynthia Hoff Trochu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9"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12500 TI Boulevard</w:t>
      </w:r>
      <w:r>
        <w:rPr>
          <w:sz w:val="20"/>
          <w:szCs w:val="20"/>
          <w:color w:val="auto"/>
        </w:rPr>
        <w:tab/>
      </w:r>
      <w:r>
        <w:rPr>
          <w:rFonts w:ascii="Times New Roman" w:cs="Times New Roman" w:eastAsia="Times New Roman" w:hAnsi="Times New Roman"/>
          <w:sz w:val="17"/>
          <w:szCs w:val="17"/>
          <w:b w:val="1"/>
          <w:bCs w:val="1"/>
          <w:color w:val="auto"/>
        </w:rPr>
        <w:t>P.O. Box 660199</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Dallas, Texas 75265-0199</w:t>
      </w:r>
    </w:p>
    <w:p>
      <w:pPr>
        <w:spacing w:after="0" w:line="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(214) 479-3773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59" w:lineRule="exact"/>
        <w:rPr>
          <w:sz w:val="24"/>
          <w:szCs w:val="24"/>
          <w:color w:val="auto"/>
        </w:rPr>
      </w:pPr>
    </w:p>
    <w:tbl>
      <w:tblPr>
        <w:tblLayout w:type="fixed"/>
        <w:tblInd w:w="40" w:type="dxa"/>
        <w:tblCellMar>
          <w:top w:w="0" w:type="dxa"/>
          <w:left w:w="0" w:type="dxa"/>
          <w:bottom w:w="0" w:type="dxa"/>
          <w:right w:w="0" w:type="dxa"/>
        </w:tblCellMar>
      </w:tblP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6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67"/>
        </w:trPr>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introductory note to Part I of the Form S-8 instructions. The document containing the information specified in Part I will be delivered to the participants in the Plan as required by Rule 428(b)(1).</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2023;</w:t>
      </w:r>
    </w:p>
    <w:p>
      <w:pPr>
        <w:spacing w:after="0" w:line="221" w:lineRule="exact"/>
        <w:rPr>
          <w:rFonts w:ascii="Times New Roman" w:cs="Times New Roman" w:eastAsia="Times New Roman" w:hAnsi="Times New Roman"/>
          <w:sz w:val="18"/>
          <w:szCs w:val="18"/>
          <w:color w:val="auto"/>
        </w:rPr>
      </w:pPr>
    </w:p>
    <w:p>
      <w:pPr>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since the end of the fiscal year covered by the document referred to in (a) above, including the Company’s Quarterly Report on Form 10-Q for the quarter ended March 31, 2024, as field with the Commission on April 24, 2024, and the Company’s Current Reports on Form 8-K dated January 12, 2024, February 8, 2024, and February 20, 2024; and</w:t>
      </w:r>
    </w:p>
    <w:p>
      <w:pPr>
        <w:spacing w:after="0" w:line="18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capital stock which is contained in the Company’s Registration Statements on Form 8-A, dated December 15, 2011 (Commission File No. 001-03761) including any amendments or supplements thereto.</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all documents subsequently filed by the Company with the Commission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hereof from the date of the filing of such documents. The Company is not incorporating by reference any documents or portions thereof, whether specifically listed above or filed in the future, that are not deemed “filed” with the Commission.</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5"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80"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w:t>
      </w:r>
    </w:p>
    <w:p>
      <w:pPr>
        <w:spacing w:after="0" w:line="176"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92"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Article VI of the Company’s By-laws provides that the Company shall indemnify its officers and directors for such expenses, judgments, fines and amounts paid in settlement to the full extent permitted by the laws of the State of Delaware.</w:t>
      </w:r>
    </w:p>
    <w:p>
      <w:pPr>
        <w:spacing w:after="0" w:line="16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Article Seventh of the Company’s Restated Certificate of Incorporation contains such a provision.</w:t>
      </w:r>
    </w:p>
    <w:p>
      <w:pPr>
        <w:spacing w:after="0" w:line="183" w:lineRule="exact"/>
        <w:rPr>
          <w:sz w:val="20"/>
          <w:szCs w:val="20"/>
          <w:color w:val="auto"/>
        </w:rPr>
      </w:pPr>
    </w:p>
    <w:p>
      <w:pPr>
        <w:ind w:right="460" w:firstLine="441"/>
        <w:spacing w:after="0" w:line="312" w:lineRule="auto"/>
        <w:rPr>
          <w:sz w:val="20"/>
          <w:szCs w:val="20"/>
          <w:color w:val="auto"/>
        </w:rPr>
      </w:pPr>
      <w:r>
        <w:rPr>
          <w:rFonts w:ascii="Times New Roman" w:cs="Times New Roman" w:eastAsia="Times New Roman" w:hAnsi="Times New Roman"/>
          <w:sz w:val="17"/>
          <w:szCs w:val="17"/>
          <w:color w:val="auto"/>
        </w:rPr>
        <w:t>Under insurance policies of the Company, directors and officers of the Company may be indemnified against certain losses arising from certain claims, including claims under the Securities Act, which may be made against such persons by reason of their being such directors or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7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340" w:type="dxa"/>
            <w:vAlign w:val="bottom"/>
            <w:gridSpan w:val="3"/>
          </w:tcPr>
          <w:p>
            <w:pPr>
              <w:ind w:left="40"/>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0" w:type="dxa"/>
            <w:vAlign w:val="bottom"/>
            <w:gridSpan w:val="11"/>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Restated Certificate of Incorporation of the Registrant, dated April 18, 1985, as amended (incorporated by reference to Exhibit 3(a) to the</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0" w:type="dxa"/>
            <w:vAlign w:val="bottom"/>
            <w:gridSpan w:val="11"/>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Registrant’s Annual Report on Form 10-K for the fiscal year ended December 31, 2014 filed with the Commission on February 24, 2015).</w:t>
              </w:r>
            </w:hyperlink>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0" w:type="dxa"/>
            <w:vAlign w:val="bottom"/>
            <w:gridSpan w:val="3"/>
          </w:tcPr>
          <w:p>
            <w:pPr>
              <w:ind w:left="40"/>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0" w:type="dxa"/>
            <w:vAlign w:val="bottom"/>
            <w:gridSpan w:val="11"/>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By-laws of the Registrant (incorporated by reference to Exhibit 3 to the Registrant’s Current Report on Form 8-K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January 26, 2022).</w:t>
              </w:r>
            </w:hyperlink>
          </w:p>
        </w:tc>
        <w:tc>
          <w:tcPr>
            <w:tcW w:w="6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r>
      <w:tr>
        <w:trPr>
          <w:trHeight w:val="250"/>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2"/>
              </w:rPr>
              <w:t>5.</w:t>
            </w:r>
            <w:r>
              <w:rPr>
                <w:rFonts w:ascii="Times New Roman" w:cs="Times New Roman" w:eastAsia="Times New Roman" w:hAnsi="Times New Roman"/>
                <w:sz w:val="18"/>
                <w:szCs w:val="18"/>
                <w:u w:val="single" w:color="auto"/>
                <w:color w:val="0000FF"/>
                <w:w w:val="82"/>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Opinion of Davis Polk &amp; Wardwell LLP.</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r>
      <w:tr>
        <w:trPr>
          <w:trHeight w:val="331"/>
        </w:trPr>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Davis Polk &amp; Wardwell (included in Exhibit 5.1).</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r>
      <w:tr>
        <w:trPr>
          <w:trHeight w:val="331"/>
        </w:trPr>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r>
      <w:tr>
        <w:trPr>
          <w:trHeight w:val="331"/>
        </w:trPr>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in the signature pages hereto).</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r>
      <w:tr>
        <w:trPr>
          <w:trHeight w:val="331"/>
        </w:trPr>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3"/>
              </w:rPr>
              <w:t>99.</w:t>
            </w:r>
            <w:r>
              <w:rPr>
                <w:rFonts w:ascii="Times New Roman" w:cs="Times New Roman" w:eastAsia="Times New Roman" w:hAnsi="Times New Roman"/>
                <w:sz w:val="18"/>
                <w:szCs w:val="18"/>
                <w:u w:val="single" w:color="auto"/>
                <w:color w:val="0000FF"/>
                <w:w w:val="93"/>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Texas Instruments 2024 Long-Term Incentive Plan.</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r>
      <w:tr>
        <w:trPr>
          <w:trHeight w:val="331"/>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72"/>
              </w:rPr>
              <w:t>107*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Filing Fee Table</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25" w:lineRule="exact"/>
        <w:rPr>
          <w:sz w:val="20"/>
          <w:szCs w:val="20"/>
          <w:color w:val="auto"/>
        </w:rPr>
      </w:pPr>
    </w:p>
    <w:p>
      <w:pPr>
        <w:ind w:left="700" w:hanging="251"/>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300" w:right="20" w:firstLine="4"/>
        <w:spacing w:after="0" w:line="255" w:lineRule="auto"/>
        <w:tabs>
          <w:tab w:leader="none" w:pos="156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00" w:firstLine="4"/>
        <w:spacing w:after="0" w:line="282" w:lineRule="auto"/>
        <w:tabs>
          <w:tab w:leader="none" w:pos="161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right="600"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shall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periodic reports filed by the Registrant pursuant to Section 13 or 15(d) of the Exchange Act that are incorporated by reference in this Registration Statement;</w:t>
      </w:r>
    </w:p>
    <w:p>
      <w:pPr>
        <w:spacing w:after="0" w:line="175" w:lineRule="exact"/>
        <w:rPr>
          <w:sz w:val="20"/>
          <w:szCs w:val="20"/>
          <w:color w:val="auto"/>
        </w:rPr>
      </w:pPr>
    </w:p>
    <w:p>
      <w:pPr>
        <w:ind w:right="360" w:firstLine="449"/>
        <w:spacing w:after="0" w:line="266" w:lineRule="auto"/>
        <w:tabs>
          <w:tab w:leader="none" w:pos="6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right="860" w:firstLine="449"/>
        <w:spacing w:after="0" w:line="282" w:lineRule="auto"/>
        <w:tabs>
          <w:tab w:leader="none" w:pos="6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ind w:left="-449" w:firstLine="449"/>
        <w:spacing w:after="0" w:line="261"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its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449" w:firstLine="449"/>
        <w:spacing w:after="0" w:line="254" w:lineRule="auto"/>
        <w:tabs>
          <w:tab w:leader="none" w:pos="2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summarized in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287655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11"/>
          </w:cols>
          <w:pgMar w:left="769" w:top="472" w:right="41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April 26, 2024.</w:t>
      </w:r>
    </w:p>
    <w:p>
      <w:pPr>
        <w:spacing w:after="0" w:line="19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34290</wp:posOffset>
            </wp:positionV>
            <wp:extent cx="2494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468" w:right="6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undersigned directors and officers of Texas Instruments Incorporated hereby constitute and appoint each of Haviv Ilan, Rafael R. Lizardi, Julie C. Knecht and Cynthia Hoff Trochu, as his or her true and lawful attorneys-in-fact and agents for the undersigned, with full power of substitution and resubstitution, for and in the name, place and stead of the undersigned, in any and all capacities, to sign and file with the Securities and Exchange Commission under the Securities Act of 1933, as amended, any and all amendments (including post-effective amendments) and exhibits to this registration statement on Form S-8 (or any other registration statement for the same offering that is to be effective upon filing pursuant to Rule 462(b) under the Securities Act of 1933), as amended) and any and all applications and other documents to be filed with the Securities and Exchange Commission, pertaining to the registration of the securities covered hereby, with full power and authority to do and perform any and all acts and things whatsoever requisite and necessary or desirable hereby ratifying and confirming all that said attorney-in-fact, or his or her substitute or substitutes, may lawfully do or cause to be done by virtue hereof.</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following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Haviv Ilan</w:t>
            </w: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Haviv Ilan</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Rafael R. Lizardi</w:t>
            </w: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Rafael R. Lizardi</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C. Knecht</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Julie C. Knecht</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K. Templeton</w:t>
            </w: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K. Templeton</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A. Blinn</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A. Blinn</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M. Bluedorn</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Todd M. Bluedorn</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Janet F. Clark</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Janet F. Clark</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Carrie S. Cox</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S. Craighead</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S. Craighead</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Reginald DesRoches</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Reginald DesRoches</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Curtis C. Farmer</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Curtis C. Farmer</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M. Hobby</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M. Hobby</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Ronald Kirk</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Ronald Kirk</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Pamela H. Patsley</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Pamela H. Patsley</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E. Sanchez</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April 26, 2024</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E. Sanchez</w:t>
            </w:r>
          </w:p>
        </w:tc>
        <w:tc>
          <w:tcPr>
            <w:tcW w:w="5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954"/>
        </w:trPr>
        <w:tc>
          <w:tcPr>
            <w:tcW w:w="31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 and 23.1</w:t>
      </w:r>
    </w:p>
    <w:p>
      <w:pPr>
        <w:spacing w:after="0" w:line="247" w:lineRule="exact"/>
        <w:rPr>
          <w:sz w:val="20"/>
          <w:szCs w:val="20"/>
          <w:color w:val="auto"/>
        </w:rPr>
      </w:pPr>
    </w:p>
    <w:p>
      <w:pPr>
        <w:ind w:left="2280"/>
        <w:spacing w:after="0"/>
        <w:rPr>
          <w:sz w:val="20"/>
          <w:szCs w:val="20"/>
          <w:color w:val="auto"/>
        </w:rPr>
      </w:pPr>
      <w:r>
        <w:rPr>
          <w:rFonts w:ascii="Arial" w:cs="Arial" w:eastAsia="Arial" w:hAnsi="Arial"/>
          <w:sz w:val="14"/>
          <w:szCs w:val="14"/>
          <w:color w:val="140BE3"/>
        </w:rPr>
        <w:t xml:space="preserve">Davis Polk &amp; Wardwell </w:t>
      </w:r>
      <w:r>
        <w:rPr>
          <w:rFonts w:ascii="Arial" w:cs="Arial" w:eastAsia="Arial" w:hAnsi="Arial"/>
          <w:sz w:val="9"/>
          <w:szCs w:val="9"/>
          <w:color w:val="140BE3"/>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-95885</wp:posOffset>
            </wp:positionV>
            <wp:extent cx="8997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4"/>
          <w:szCs w:val="14"/>
          <w:color w:val="140BE3"/>
        </w:rPr>
        <w:t>450 Lexington Avenue</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4"/>
          <w:szCs w:val="14"/>
          <w:color w:val="140BE3"/>
        </w:rPr>
        <w:t>New York, NY 10017</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4"/>
          <w:szCs w:val="14"/>
          <w:color w:val="140BE3"/>
        </w:rPr>
        <w:t>davispolk.com</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25, 2024</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12500 TI Boulevard</w:t>
      </w:r>
    </w:p>
    <w:p>
      <w:pPr>
        <w:ind w:left="40"/>
        <w:spacing w:after="0"/>
        <w:rPr>
          <w:sz w:val="20"/>
          <w:szCs w:val="20"/>
          <w:color w:val="auto"/>
        </w:rPr>
      </w:pPr>
      <w:r>
        <w:rPr>
          <w:rFonts w:ascii="Arial" w:cs="Arial" w:eastAsia="Arial" w:hAnsi="Arial"/>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have acted as special counsel to Texas Instruments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are delivering this opinion in connection with the Company’s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pursuant to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for the registration of 33,000,000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Company’s common stock, par value $ 1 per share, authorized for issuance pursuant to the Company’s 2024 Long-Term Incentive Plan (the “</w:t>
      </w:r>
      <w:r>
        <w:rPr>
          <w:rFonts w:ascii="Arial" w:cs="Arial" w:eastAsia="Arial" w:hAnsi="Arial"/>
          <w:sz w:val="18"/>
          <w:szCs w:val="18"/>
          <w:b w:val="1"/>
          <w:bCs w:val="1"/>
          <w:color w:val="auto"/>
        </w:rPr>
        <w:t>2024 LTIP</w:t>
      </w:r>
      <w:r>
        <w:rPr>
          <w:rFonts w:ascii="Arial" w:cs="Arial" w:eastAsia="Arial" w:hAnsi="Arial"/>
          <w:sz w:val="18"/>
          <w:szCs w:val="18"/>
          <w:color w:val="auto"/>
        </w:rPr>
        <w:t>”). We, as your counsel, have examined originals or copies of such documents, corporate records, certificates of public officials and other instruments as we have deemed necessary or advisable for the purpose of rendering this opinion.</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the basis of the foregoing, we are of the opinion that the Shares have been duly authorized and, when and to the extent issued pursuant to the 2024 LTIP upon receipt by the Company of the consideration for the Shares specified therein, if and when applicable, will be validly issued, fully paid and non-assessable.</w:t>
      </w:r>
    </w:p>
    <w:p>
      <w:pPr>
        <w:spacing w:after="0" w:line="155"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Texas Instruments 2024 Long-Term Incentive Plan of our reports dated February 2, 2024, with respect to the consolidated financial statements of Texas Instruments Incorporated and the effectiveness of internal control over financial reporting of Texas Instruments Incorporated,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TEXAS INSTRUMENTS 2024 LONG-TERM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Texas Instruments 2024 Long-Term Incentive Plan is intended as a successor plan to the Company’s 2009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in this Section 2.</w:t>
      </w:r>
    </w:p>
    <w:p>
      <w:pPr>
        <w:spacing w:after="0" w:line="223" w:lineRule="exact"/>
        <w:rPr>
          <w:sz w:val="20"/>
          <w:szCs w:val="20"/>
          <w:color w:val="auto"/>
        </w:rPr>
      </w:pPr>
    </w:p>
    <w:p>
      <w:pPr>
        <w:ind w:left="640" w:right="440" w:hanging="320"/>
        <w:spacing w:after="0" w:line="28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shall mean (i) any entity that, directly or indirectly, is controlled by the Company and (ii) any entity in which the Company has a significant equity interest, in either case as determined by the Committee.</w:t>
      </w:r>
    </w:p>
    <w:p>
      <w:pPr>
        <w:spacing w:after="0" w:line="158" w:lineRule="exact"/>
        <w:rPr>
          <w:rFonts w:ascii="Times New Roman" w:cs="Times New Roman" w:eastAsia="Times New Roman" w:hAnsi="Times New Roman"/>
          <w:sz w:val="18"/>
          <w:szCs w:val="18"/>
          <w:color w:val="auto"/>
        </w:rPr>
      </w:pPr>
    </w:p>
    <w:p>
      <w:pPr>
        <w:ind w:left="640" w:right="880" w:hanging="320"/>
        <w:spacing w:after="0" w:line="28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shall mean any award of an Option, Restricted Stock, Restricted Stock Unit, Performance Unit or Other Stock-Based Award granted under the Plan.</w:t>
      </w:r>
    </w:p>
    <w:p>
      <w:pPr>
        <w:spacing w:after="0" w:line="158" w:lineRule="exact"/>
        <w:rPr>
          <w:rFonts w:ascii="Times New Roman" w:cs="Times New Roman" w:eastAsia="Times New Roman" w:hAnsi="Times New Roman"/>
          <w:sz w:val="18"/>
          <w:szCs w:val="18"/>
          <w:color w:val="auto"/>
        </w:rPr>
      </w:pPr>
    </w:p>
    <w:p>
      <w:pPr>
        <w:ind w:left="640" w:right="640" w:hanging="320"/>
        <w:spacing w:after="0" w:line="28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shall mean any written agreement, contract or other instrument or document evidencing an Award granted under the Plan, which may, but need not, be executed or acknowledged by a Participant. An Award Agreement may be in electronic form.</w:t>
      </w:r>
    </w:p>
    <w:p>
      <w:pPr>
        <w:spacing w:after="0" w:line="158"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left="640" w:right="680" w:hanging="320"/>
        <w:spacing w:after="0" w:line="28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have the meaning set forth in the Award Agreement, if any, or if not so defined, shall have the meaning determined by the Company in its sole discretion.</w:t>
      </w:r>
    </w:p>
    <w:p>
      <w:pPr>
        <w:spacing w:after="0" w:line="158"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mean an event that will be deemed to have occurred:</w:t>
      </w:r>
    </w:p>
    <w:p>
      <w:pPr>
        <w:spacing w:after="0" w:line="227" w:lineRule="exact"/>
        <w:rPr>
          <w:rFonts w:ascii="Times New Roman" w:cs="Times New Roman" w:eastAsia="Times New Roman" w:hAnsi="Times New Roman"/>
          <w:sz w:val="18"/>
          <w:szCs w:val="18"/>
          <w:color w:val="auto"/>
        </w:rPr>
      </w:pPr>
    </w:p>
    <w:p>
      <w:pPr>
        <w:ind w:left="960" w:right="160" w:hanging="316"/>
        <w:spacing w:after="0" w:line="255" w:lineRule="auto"/>
        <w:tabs>
          <w:tab w:leader="none" w:pos="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of the total fair market value or total voting power of the stock of the Company. However, if any Person is considered to own more than 50% of the total fair market value or total voting power of the stock of the Company, the acquisition of additional stock by the same Person is not considered to be a Change in Control;</w:t>
      </w:r>
    </w:p>
    <w:p>
      <w:pPr>
        <w:spacing w:after="0" w:line="188" w:lineRule="exact"/>
        <w:rPr>
          <w:rFonts w:ascii="Times New Roman" w:cs="Times New Roman" w:eastAsia="Times New Roman" w:hAnsi="Times New Roman"/>
          <w:sz w:val="18"/>
          <w:szCs w:val="18"/>
          <w:color w:val="auto"/>
        </w:rPr>
      </w:pPr>
    </w:p>
    <w:p>
      <w:pPr>
        <w:ind w:left="960" w:right="500" w:hanging="316"/>
        <w:spacing w:after="0" w:line="282" w:lineRule="auto"/>
        <w:tabs>
          <w:tab w:leader="none" w:pos="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61" w:lineRule="exact"/>
        <w:rPr>
          <w:rFonts w:ascii="Times New Roman" w:cs="Times New Roman" w:eastAsia="Times New Roman" w:hAnsi="Times New Roman"/>
          <w:sz w:val="18"/>
          <w:szCs w:val="18"/>
          <w:color w:val="auto"/>
        </w:rPr>
      </w:pPr>
    </w:p>
    <w:p>
      <w:pPr>
        <w:ind w:left="960" w:right="480" w:hanging="330"/>
        <w:spacing w:after="0" w:line="282" w:lineRule="auto"/>
        <w:tabs>
          <w:tab w:leader="none" w:pos="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any Person acquires (or has acquired during the 12-month period ending on the date of the most recent acquisition by such Person) assets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337185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11" w:name="page12"/>
    <w:bookmarkEnd w:id="11"/>
    <w:p>
      <w:pPr>
        <w:ind w:left="640"/>
        <w:spacing w:after="0" w:line="254" w:lineRule="auto"/>
        <w:rPr>
          <w:sz w:val="20"/>
          <w:szCs w:val="20"/>
          <w:color w:val="auto"/>
        </w:rPr>
      </w:pPr>
      <w:r>
        <w:rPr>
          <w:rFonts w:ascii="Times New Roman" w:cs="Times New Roman" w:eastAsia="Times New Roman" w:hAnsi="Times New Roman"/>
          <w:sz w:val="18"/>
          <w:szCs w:val="18"/>
          <w:color w:val="auto"/>
        </w:rPr>
        <w:t>that have a total gross fair market value equal to or more than 80%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of the total value or voting power of the stock of which is owned, directly or indirectly, by the Company; (iii) a Person that owns, directly or indirectly, at least 50% of the total value or voting power of the outstanding stock of the Company; or (iv) an entity, at least 50% of the total value or voting power of the stock of which is owned, directly or indirectly, by a Person that owns, directly or indirectly, at least 50% of the total value or voting power of the outstanding stock of the Company.</w:t>
      </w:r>
    </w:p>
    <w:p>
      <w:pPr>
        <w:spacing w:after="0" w:line="188" w:lineRule="exact"/>
        <w:rPr>
          <w:sz w:val="20"/>
          <w:szCs w:val="20"/>
          <w:color w:val="auto"/>
        </w:rPr>
      </w:pPr>
    </w:p>
    <w:p>
      <w:pPr>
        <w:ind w:left="680" w:hanging="356"/>
        <w:spacing w:after="0"/>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 (ii) and (iii) of this Section 2(f),</w:t>
      </w:r>
    </w:p>
    <w:p>
      <w:pPr>
        <w:spacing w:after="0" w:line="225" w:lineRule="exact"/>
        <w:rPr>
          <w:rFonts w:ascii="Times New Roman" w:cs="Times New Roman" w:eastAsia="Times New Roman" w:hAnsi="Times New Roman"/>
          <w:sz w:val="18"/>
          <w:szCs w:val="18"/>
          <w:color w:val="auto"/>
        </w:rPr>
      </w:pPr>
    </w:p>
    <w:p>
      <w:pPr>
        <w:ind w:left="960" w:right="440" w:hanging="312"/>
        <w:spacing w:after="0" w:line="282" w:lineRule="auto"/>
        <w:tabs>
          <w:tab w:leader="none" w:pos="9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shall have the meaning set forth in Rule 12b-2 promulgated under Section 12 of the Securities Exchange Act of 1934, as amended;</w:t>
      </w:r>
    </w:p>
    <w:p>
      <w:pPr>
        <w:spacing w:after="0" w:line="161" w:lineRule="exact"/>
        <w:rPr>
          <w:rFonts w:ascii="Times New Roman" w:cs="Times New Roman" w:eastAsia="Times New Roman" w:hAnsi="Times New Roman"/>
          <w:sz w:val="18"/>
          <w:szCs w:val="18"/>
          <w:color w:val="auto"/>
        </w:rPr>
      </w:pPr>
    </w:p>
    <w:p>
      <w:pPr>
        <w:ind w:left="960" w:right="500" w:hanging="312"/>
        <w:spacing w:after="0" w:line="282" w:lineRule="auto"/>
        <w:tabs>
          <w:tab w:leader="none" w:pos="9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have the meaning given in Section 7701(a)(1) of the Code. Person shall include more than one Person acting as a group as defined by the Final Treasury Regulations issued under Section 409A; and</w:t>
      </w:r>
    </w:p>
    <w:p>
      <w:pPr>
        <w:spacing w:after="0" w:line="161" w:lineRule="exact"/>
        <w:rPr>
          <w:rFonts w:ascii="Times New Roman" w:cs="Times New Roman" w:eastAsia="Times New Roman" w:hAnsi="Times New Roman"/>
          <w:sz w:val="18"/>
          <w:szCs w:val="18"/>
          <w:color w:val="auto"/>
        </w:rPr>
      </w:pPr>
    </w:p>
    <w:p>
      <w:pPr>
        <w:ind w:left="960" w:right="400" w:hanging="312"/>
        <w:spacing w:after="0" w:line="282" w:lineRule="auto"/>
        <w:tabs>
          <w:tab w:leader="none" w:pos="9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61" w:lineRule="exact"/>
        <w:rPr>
          <w:rFonts w:ascii="Times New Roman" w:cs="Times New Roman" w:eastAsia="Times New Roman" w:hAnsi="Times New Roman"/>
          <w:sz w:val="18"/>
          <w:szCs w:val="18"/>
          <w:color w:val="auto"/>
        </w:rPr>
      </w:pPr>
    </w:p>
    <w:p>
      <w:pPr>
        <w:jc w:val="both"/>
        <w:ind w:left="640" w:right="480" w:hanging="316"/>
        <w:spacing w:after="0" w:line="276" w:lineRule="auto"/>
        <w:tabs>
          <w:tab w:leader="none" w:pos="6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in no case will an event in (i), (ii) or (iii) of this Section 2(f) be treated as a Change in Control unless such event also constitutes a “change in control event” with respect to the Company within the meaning of Treas. Reg. § 1.409A-3(i)</w:t>
      </w:r>
    </w:p>
    <w:p>
      <w:pPr>
        <w:ind w:left="880" w:hanging="246"/>
        <w:spacing w:after="0"/>
        <w:tabs>
          <w:tab w:leader="none" w:pos="8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successor provision.</w:t>
      </w:r>
    </w:p>
    <w:p>
      <w:pPr>
        <w:spacing w:after="0" w:line="204" w:lineRule="exact"/>
        <w:rPr>
          <w:rFonts w:ascii="Times New Roman" w:cs="Times New Roman" w:eastAsia="Times New Roman" w:hAnsi="Times New Roman"/>
          <w:sz w:val="18"/>
          <w:szCs w:val="18"/>
          <w:color w:val="auto"/>
        </w:rPr>
      </w:pPr>
    </w:p>
    <w:p>
      <w:pPr>
        <w:ind w:left="320" w:right="900" w:hanging="320"/>
        <w:spacing w:after="0" w:line="28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shall mean the Internal Revenue Code of 1986, as amended from time to time, including any regulations or guidance issued thereunder.</w:t>
      </w:r>
    </w:p>
    <w:p>
      <w:pPr>
        <w:spacing w:after="0" w:line="158" w:lineRule="exact"/>
        <w:rPr>
          <w:rFonts w:ascii="Times New Roman" w:cs="Times New Roman" w:eastAsia="Times New Roman" w:hAnsi="Times New Roman"/>
          <w:sz w:val="18"/>
          <w:szCs w:val="18"/>
          <w:color w:val="auto"/>
        </w:rPr>
      </w:pPr>
    </w:p>
    <w:p>
      <w:pPr>
        <w:ind w:left="320" w:right="140" w:hanging="320"/>
        <w:spacing w:after="0" w:line="28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shall mean a committee of the Board designated by the Board to administer the Plan. Unless otherwise determined by the Board, the Compensation Committee designated by the Board shall be the Committee under the Plan.</w:t>
      </w:r>
    </w:p>
    <w:p>
      <w:pPr>
        <w:spacing w:after="0" w:line="15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mean Texas Instruments Incorporated, together with any successor thereto.</w:t>
      </w:r>
    </w:p>
    <w:p>
      <w:pPr>
        <w:spacing w:after="0" w:line="225" w:lineRule="exact"/>
        <w:rPr>
          <w:rFonts w:ascii="Times New Roman" w:cs="Times New Roman" w:eastAsia="Times New Roman" w:hAnsi="Times New Roman"/>
          <w:sz w:val="18"/>
          <w:szCs w:val="18"/>
          <w:color w:val="auto"/>
        </w:rPr>
      </w:pPr>
    </w:p>
    <w:p>
      <w:pPr>
        <w:ind w:left="320" w:right="360" w:hanging="320"/>
        <w:spacing w:after="0" w:line="28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158" w:lineRule="exact"/>
        <w:rPr>
          <w:rFonts w:ascii="Times New Roman" w:cs="Times New Roman" w:eastAsia="Times New Roman" w:hAnsi="Times New Roman"/>
          <w:sz w:val="18"/>
          <w:szCs w:val="18"/>
          <w:color w:val="auto"/>
        </w:rPr>
      </w:pPr>
    </w:p>
    <w:p>
      <w:pPr>
        <w:ind w:left="320" w:right="80" w:hanging="320"/>
        <w:spacing w:after="0" w:line="28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shall mean an option granted under Section 6 that is intended to meet the requirements of Section 422 of the Code, or any successor provision thereto.</w:t>
      </w:r>
    </w:p>
    <w:p>
      <w:pPr>
        <w:spacing w:after="0" w:line="158" w:lineRule="exact"/>
        <w:rPr>
          <w:rFonts w:ascii="Times New Roman" w:cs="Times New Roman" w:eastAsia="Times New Roman" w:hAnsi="Times New Roman"/>
          <w:sz w:val="18"/>
          <w:szCs w:val="18"/>
          <w:color w:val="auto"/>
        </w:rPr>
      </w:pPr>
    </w:p>
    <w:p>
      <w:pPr>
        <w:ind w:left="320" w:right="60" w:hanging="320"/>
        <w:spacing w:after="0" w:line="28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Involuntary Termination</w:t>
      </w:r>
      <w:r>
        <w:rPr>
          <w:rFonts w:ascii="Times New Roman" w:cs="Times New Roman" w:eastAsia="Times New Roman" w:hAnsi="Times New Roman"/>
          <w:sz w:val="18"/>
          <w:szCs w:val="18"/>
          <w:color w:val="auto"/>
        </w:rPr>
        <w:t>” shall mean a separation from service, other than for Cause, due to the independent exercise of unilateral authority of the Company or any Affiliate to</w:t>
      </w:r>
    </w:p>
    <w:p>
      <w:pPr>
        <w:spacing w:after="0" w:line="2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760" w:top="580" w:right="459" w:bottom="1440" w:gutter="0" w:footer="0" w:header="0"/>
        </w:sectPr>
      </w:pPr>
    </w:p>
    <w:bookmarkStart w:id="12" w:name="page13"/>
    <w:bookmarkEnd w:id="12"/>
    <w:p>
      <w:pPr>
        <w:ind w:left="640"/>
        <w:spacing w:after="0" w:line="282" w:lineRule="auto"/>
        <w:rPr>
          <w:sz w:val="20"/>
          <w:szCs w:val="20"/>
          <w:color w:val="auto"/>
        </w:rPr>
      </w:pPr>
      <w:r>
        <w:rPr>
          <w:rFonts w:ascii="Times New Roman" w:cs="Times New Roman" w:eastAsia="Times New Roman" w:hAnsi="Times New Roman"/>
          <w:sz w:val="18"/>
          <w:szCs w:val="18"/>
          <w:color w:val="auto"/>
        </w:rPr>
        <w:t>terminate the Participant’s services, other than due to the Participant’s implicit or explicit request, where the Participant was willing and able to continue to perform services, provided that such separation from service satisfies the requirements of Section 409A to the extent necessary.</w:t>
      </w:r>
    </w:p>
    <w:p>
      <w:pPr>
        <w:spacing w:after="0" w:line="160" w:lineRule="exact"/>
        <w:rPr>
          <w:sz w:val="20"/>
          <w:szCs w:val="20"/>
          <w:color w:val="auto"/>
        </w:rPr>
      </w:pPr>
    </w:p>
    <w:p>
      <w:pPr>
        <w:ind w:left="640" w:hanging="320"/>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shall mean an option granted under Section 6 that is not intended to be an Incentive Stock Option.</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shall mean an Incentive Stock Option or a Non-Qualified Stock Option.</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Stock-Based Award</w:t>
      </w:r>
      <w:r>
        <w:rPr>
          <w:rFonts w:ascii="Times New Roman" w:cs="Times New Roman" w:eastAsia="Times New Roman" w:hAnsi="Times New Roman"/>
          <w:sz w:val="18"/>
          <w:szCs w:val="18"/>
          <w:color w:val="auto"/>
        </w:rPr>
        <w:t>” shall mean any right granted under Section 10.</w:t>
      </w:r>
    </w:p>
    <w:p>
      <w:pPr>
        <w:spacing w:after="0" w:line="225" w:lineRule="exact"/>
        <w:rPr>
          <w:rFonts w:ascii="Times New Roman" w:cs="Times New Roman" w:eastAsia="Times New Roman" w:hAnsi="Times New Roman"/>
          <w:sz w:val="18"/>
          <w:szCs w:val="18"/>
          <w:color w:val="auto"/>
        </w:rPr>
      </w:pPr>
    </w:p>
    <w:p>
      <w:pPr>
        <w:ind w:left="640" w:hanging="33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shall mean an individual granted an Award under the Plan.</w:t>
      </w:r>
    </w:p>
    <w:p>
      <w:pPr>
        <w:spacing w:after="0" w:line="225" w:lineRule="exact"/>
        <w:rPr>
          <w:rFonts w:ascii="Times New Roman" w:cs="Times New Roman" w:eastAsia="Times New Roman" w:hAnsi="Times New Roman"/>
          <w:sz w:val="18"/>
          <w:szCs w:val="18"/>
          <w:color w:val="auto"/>
        </w:rPr>
      </w:pPr>
    </w:p>
    <w:p>
      <w:pPr>
        <w:ind w:left="640" w:hanging="33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Unit</w:t>
      </w:r>
      <w:r>
        <w:rPr>
          <w:rFonts w:ascii="Times New Roman" w:cs="Times New Roman" w:eastAsia="Times New Roman" w:hAnsi="Times New Roman"/>
          <w:sz w:val="18"/>
          <w:szCs w:val="18"/>
          <w:color w:val="auto"/>
        </w:rPr>
        <w:t>” shall mean any right granted under Section 8.</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shall mean this Texas Instruments 2024 Long-Term Incentive Plan, as may be amended from time to time.</w:t>
      </w:r>
    </w:p>
    <w:p>
      <w:pPr>
        <w:spacing w:after="0" w:line="225" w:lineRule="exact"/>
        <w:rPr>
          <w:sz w:val="20"/>
          <w:szCs w:val="20"/>
          <w:color w:val="auto"/>
        </w:rPr>
      </w:pPr>
    </w:p>
    <w:p>
      <w:pPr>
        <w:ind w:left="640" w:hanging="33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shall mean any Share granted under Section 7.</w:t>
      </w:r>
    </w:p>
    <w:p>
      <w:pPr>
        <w:spacing w:after="0" w:line="225" w:lineRule="exact"/>
        <w:rPr>
          <w:rFonts w:ascii="Times New Roman" w:cs="Times New Roman" w:eastAsia="Times New Roman" w:hAnsi="Times New Roman"/>
          <w:sz w:val="18"/>
          <w:szCs w:val="18"/>
          <w:color w:val="auto"/>
        </w:rPr>
      </w:pPr>
    </w:p>
    <w:p>
      <w:pPr>
        <w:ind w:left="640" w:right="160" w:hanging="320"/>
        <w:spacing w:after="0" w:line="26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173" w:lineRule="exact"/>
        <w:rPr>
          <w:rFonts w:ascii="Times New Roman" w:cs="Times New Roman" w:eastAsia="Times New Roman" w:hAnsi="Times New Roman"/>
          <w:sz w:val="18"/>
          <w:szCs w:val="18"/>
          <w:color w:val="auto"/>
        </w:rPr>
      </w:pPr>
    </w:p>
    <w:p>
      <w:pPr>
        <w:ind w:left="640" w:hanging="334"/>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shall mean Section 409A of the Code.</w:t>
      </w:r>
    </w:p>
    <w:p>
      <w:pPr>
        <w:spacing w:after="0" w:line="225" w:lineRule="exact"/>
        <w:rPr>
          <w:rFonts w:ascii="Times New Roman" w:cs="Times New Roman" w:eastAsia="Times New Roman" w:hAnsi="Times New Roman"/>
          <w:sz w:val="18"/>
          <w:szCs w:val="18"/>
          <w:color w:val="auto"/>
        </w:rPr>
      </w:pPr>
    </w:p>
    <w:p>
      <w:pPr>
        <w:ind w:left="640" w:hanging="334"/>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shall mean shares of the common stock of the Company, $1.00 par value.</w:t>
      </w:r>
    </w:p>
    <w:p>
      <w:pPr>
        <w:spacing w:after="0" w:line="225" w:lineRule="exact"/>
        <w:rPr>
          <w:rFonts w:ascii="Times New Roman" w:cs="Times New Roman" w:eastAsia="Times New Roman" w:hAnsi="Times New Roman"/>
          <w:sz w:val="18"/>
          <w:szCs w:val="18"/>
          <w:color w:val="auto"/>
        </w:rPr>
      </w:pPr>
    </w:p>
    <w:p>
      <w:pPr>
        <w:ind w:left="640" w:right="620" w:hanging="320"/>
        <w:spacing w:after="0" w:line="284" w:lineRule="auto"/>
        <w:tabs>
          <w:tab w:leader="none" w:pos="6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Employee</w:t>
      </w:r>
      <w:r>
        <w:rPr>
          <w:rFonts w:ascii="Times New Roman" w:cs="Times New Roman" w:eastAsia="Times New Roman" w:hAnsi="Times New Roman"/>
          <w:sz w:val="18"/>
          <w:szCs w:val="18"/>
          <w:color w:val="auto"/>
        </w:rPr>
        <w:t>” shall mean an employee who is a “specified employee” (as defined in Section 409A(2)(b)(i) of the Code) for the applicable period, as determined by the Committee in accordance with Treas. Reg. § 1.409A-1(i) or any successor provision.</w:t>
      </w:r>
    </w:p>
    <w:p>
      <w:pPr>
        <w:spacing w:after="0" w:line="158" w:lineRule="exact"/>
        <w:rPr>
          <w:rFonts w:ascii="Times New Roman" w:cs="Times New Roman" w:eastAsia="Times New Roman" w:hAnsi="Times New Roman"/>
          <w:sz w:val="18"/>
          <w:szCs w:val="18"/>
          <w:color w:val="auto"/>
        </w:rPr>
      </w:pPr>
    </w:p>
    <w:p>
      <w:pPr>
        <w:ind w:left="640" w:right="20" w:hanging="320"/>
        <w:spacing w:after="0" w:line="261" w:lineRule="auto"/>
        <w:tabs>
          <w:tab w:leader="none" w:pos="6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SAR</w:t>
      </w:r>
      <w:r>
        <w:rPr>
          <w:rFonts w:ascii="Times New Roman" w:cs="Times New Roman" w:eastAsia="Times New Roman" w:hAnsi="Times New Roman"/>
          <w:sz w:val="18"/>
          <w:szCs w:val="18"/>
          <w:color w:val="auto"/>
        </w:rPr>
        <w:t>” shall mean any right granted pursuant to Section 9 to receive, upon exercise 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179" w:lineRule="exact"/>
        <w:rPr>
          <w:rFonts w:ascii="Times New Roman" w:cs="Times New Roman" w:eastAsia="Times New Roman" w:hAnsi="Times New Roman"/>
          <w:sz w:val="18"/>
          <w:szCs w:val="18"/>
          <w:color w:val="auto"/>
        </w:rPr>
      </w:pPr>
    </w:p>
    <w:p>
      <w:pPr>
        <w:ind w:left="640" w:right="120" w:hanging="320"/>
        <w:spacing w:after="0" w:line="284" w:lineRule="auto"/>
        <w:tabs>
          <w:tab w:leader="none" w:pos="6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shall mean Awards granted in assumption of, or in substitution for, outstanding awards previously granted by a company acquired by the Company or with which the Company combines.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40" w:right="220" w:hanging="320"/>
        <w:spacing w:after="0" w:line="312"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440" w:top="580" w:right="499" w:bottom="1440" w:gutter="0" w:footer="0" w:header="0"/>
        </w:sectPr>
      </w:pPr>
    </w:p>
    <w:bookmarkStart w:id="13" w:name="page14"/>
    <w:bookmarkEnd w:id="13"/>
    <w:p>
      <w:pPr>
        <w:ind w:left="640" w:right="720" w:hanging="320"/>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has agreed to accept employment by, or to provide services to, the Company or an Affiliate shall be deemed to be eligible for Awards hereunder as of commencement of employment.</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are not full-time or part-time officers or employees are not eligible to receive Awards hereunder.</w:t>
      </w:r>
    </w:p>
    <w:p>
      <w:pPr>
        <w:spacing w:after="0" w:line="225" w:lineRule="exact"/>
        <w:rPr>
          <w:rFonts w:ascii="Times New Roman" w:cs="Times New Roman" w:eastAsia="Times New Roman" w:hAnsi="Times New Roman"/>
          <w:sz w:val="18"/>
          <w:szCs w:val="18"/>
          <w:color w:val="auto"/>
        </w:rPr>
      </w:pPr>
    </w:p>
    <w:p>
      <w:pPr>
        <w:ind w:left="640" w:right="440" w:hanging="320"/>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options and other types of awards granted by a company acquired by the Company or with which the Company combines are eligible for grant of Substitute Awards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40" w:hanging="33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w:t>
      </w:r>
    </w:p>
    <w:p>
      <w:pPr>
        <w:spacing w:after="0" w:line="225" w:lineRule="exact"/>
        <w:rPr>
          <w:rFonts w:ascii="Times New Roman" w:cs="Times New Roman" w:eastAsia="Times New Roman" w:hAnsi="Times New Roman"/>
          <w:sz w:val="18"/>
          <w:szCs w:val="18"/>
          <w:color w:val="auto"/>
        </w:rPr>
      </w:pPr>
    </w:p>
    <w:p>
      <w:pPr>
        <w:jc w:val="both"/>
        <w:ind w:left="640" w:right="480" w:hanging="320"/>
        <w:spacing w:after="0" w:line="272" w:lineRule="auto"/>
        <w:tabs>
          <w:tab w:leader="none" w:pos="6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w:t>
      </w:r>
    </w:p>
    <w:p>
      <w:pPr>
        <w:spacing w:after="0" w:line="1" w:lineRule="exact"/>
        <w:rPr>
          <w:rFonts w:ascii="Times New Roman" w:cs="Times New Roman" w:eastAsia="Times New Roman" w:hAnsi="Times New Roman"/>
          <w:sz w:val="17"/>
          <w:szCs w:val="17"/>
          <w:color w:val="auto"/>
        </w:rPr>
      </w:pPr>
    </w:p>
    <w:p>
      <w:pPr>
        <w:ind w:left="6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Awards; (iv) determine the terms and conditions of any Award, including any amendments or revisions thereto;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11(f),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92" w:lineRule="exact"/>
        <w:rPr>
          <w:rFonts w:ascii="Times New Roman" w:cs="Times New Roman" w:eastAsia="Times New Roman" w:hAnsi="Times New Roman"/>
          <w:sz w:val="17"/>
          <w:szCs w:val="17"/>
          <w:color w:val="auto"/>
        </w:rPr>
      </w:pPr>
    </w:p>
    <w:p>
      <w:pPr>
        <w:ind w:left="640" w:right="880" w:hanging="320"/>
        <w:spacing w:after="0" w:line="282"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of the Committee shall be final, conclusive and binding upon all parties, including the Company or any Affiliate, the stockholders and the Participants.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i w:val="1"/>
          <w:iCs w:val="1"/>
          <w:color w:val="auto"/>
        </w:rPr>
        <w:t>Shares Available for Awards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hanging="32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this Section 5, the number of Shares available for issuance under the Plan shall be 33,000,000 shares.</w:t>
      </w:r>
    </w:p>
    <w:p>
      <w:pPr>
        <w:spacing w:after="0" w:line="225" w:lineRule="exact"/>
        <w:rPr>
          <w:rFonts w:ascii="Times New Roman" w:cs="Times New Roman" w:eastAsia="Times New Roman" w:hAnsi="Times New Roman"/>
          <w:sz w:val="18"/>
          <w:szCs w:val="18"/>
          <w:color w:val="auto"/>
        </w:rPr>
      </w:pPr>
    </w:p>
    <w:p>
      <w:pPr>
        <w:ind w:left="640" w:right="180" w:hanging="320"/>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of the Plan, (i) any Shares covered by an Award, or to which such an Award relates, are forfeited or (ii) any Award expires or is cancelled or otherwise</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440" w:top="580" w:right="559" w:bottom="1440" w:gutter="0" w:footer="0" w:header="0"/>
        </w:sectPr>
      </w:pPr>
    </w:p>
    <w:bookmarkStart w:id="14" w:name="page15"/>
    <w:bookmarkEnd w:id="14"/>
    <w:p>
      <w:pPr>
        <w:ind w:left="640" w:right="120"/>
        <w:spacing w:after="0" w:line="256" w:lineRule="auto"/>
        <w:rPr>
          <w:sz w:val="20"/>
          <w:szCs w:val="20"/>
          <w:color w:val="auto"/>
        </w:rPr>
      </w:pPr>
      <w:r>
        <w:rPr>
          <w:rFonts w:ascii="Times New Roman" w:cs="Times New Roman" w:eastAsia="Times New Roman" w:hAnsi="Times New Roman"/>
          <w:sz w:val="18"/>
          <w:szCs w:val="18"/>
          <w:color w:val="auto"/>
        </w:rPr>
        <w:t>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187" w:lineRule="exact"/>
        <w:rPr>
          <w:sz w:val="20"/>
          <w:szCs w:val="20"/>
          <w:color w:val="auto"/>
        </w:rPr>
      </w:pPr>
    </w:p>
    <w:p>
      <w:pPr>
        <w:ind w:left="640" w:hanging="32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underlying Substitute Awards shall not be counted against the Shares available for granting Awards.</w:t>
      </w:r>
    </w:p>
    <w:p>
      <w:pPr>
        <w:spacing w:after="0" w:line="225" w:lineRule="exact"/>
        <w:rPr>
          <w:rFonts w:ascii="Times New Roman" w:cs="Times New Roman" w:eastAsia="Times New Roman" w:hAnsi="Times New Roman"/>
          <w:sz w:val="18"/>
          <w:szCs w:val="18"/>
          <w:color w:val="auto"/>
        </w:rPr>
      </w:pPr>
    </w:p>
    <w:p>
      <w:pPr>
        <w:ind w:left="640" w:right="940" w:hanging="320"/>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delivered pursuant to an Award may consist, in whole or in part, of authorized and unissued Shares, of treasury Shares or of both.</w:t>
      </w:r>
    </w:p>
    <w:p>
      <w:pPr>
        <w:spacing w:after="0" w:line="161" w:lineRule="exact"/>
        <w:rPr>
          <w:rFonts w:ascii="Times New Roman" w:cs="Times New Roman" w:eastAsia="Times New Roman" w:hAnsi="Times New Roman"/>
          <w:sz w:val="18"/>
          <w:szCs w:val="18"/>
          <w:color w:val="auto"/>
        </w:rPr>
      </w:pPr>
    </w:p>
    <w:p>
      <w:pPr>
        <w:ind w:left="640" w:hanging="320"/>
        <w:spacing w:after="0" w:line="25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limit specified in Section 5(a), (ii) the number and type of Shares (or other securities, cash or property) subject to outstanding Awards, (iii) the grant, purchase, or exercise price with respect to any Award or, if deemed appropriate, make provision for a cash payment to the holder of an outstanding Award, and (iv) the terms and conditions of any outstanding Awards, including the performance criteria of any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number of Shares subject to any Award denominated in Shares shall always be a whole number. Any such adjustment with respect to a “stock right” outstanding under the Plan, as defined in Section 409A, shall be made in a manner that is intended to avoid the imposition of any additional tax or penalty under Section 409A.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left="640" w:right="260" w:hanging="320"/>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159" w:lineRule="exact"/>
        <w:rPr>
          <w:rFonts w:ascii="Times New Roman" w:cs="Times New Roman" w:eastAsia="Times New Roman" w:hAnsi="Times New Roman"/>
          <w:sz w:val="18"/>
          <w:szCs w:val="18"/>
          <w:color w:val="auto"/>
        </w:rPr>
      </w:pPr>
    </w:p>
    <w:p>
      <w:pPr>
        <w:ind w:left="640" w:right="900" w:hanging="320"/>
        <w:spacing w:after="0" w:line="315"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purchase price per Share under an Option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in the case of Substitute Awards, such purchase price shall not be less than the Fair Market Value of a Share on the date of grant of such Option.</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40" w:top="580" w:right="479" w:bottom="1440" w:gutter="0" w:footer="0" w:header="0"/>
        </w:sectPr>
      </w:pPr>
    </w:p>
    <w:bookmarkStart w:id="15" w:name="page16"/>
    <w:bookmarkEnd w:id="15"/>
    <w:p>
      <w:pPr>
        <w:ind w:left="640" w:right="120" w:hanging="320"/>
        <w:spacing w:after="0" w:line="26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of each Option shall be fixed by the Committee but shall not exceed 10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75" w:lineRule="exact"/>
        <w:rPr>
          <w:rFonts w:ascii="Times New Roman" w:cs="Times New Roman" w:eastAsia="Times New Roman" w:hAnsi="Times New Roman"/>
          <w:sz w:val="18"/>
          <w:szCs w:val="18"/>
          <w:color w:val="auto"/>
        </w:rPr>
      </w:pPr>
    </w:p>
    <w:p>
      <w:pPr>
        <w:ind w:left="640" w:hanging="320"/>
        <w:spacing w:after="0" w:line="261"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79" w:lineRule="exact"/>
        <w:rPr>
          <w:rFonts w:ascii="Times New Roman" w:cs="Times New Roman" w:eastAsia="Times New Roman" w:hAnsi="Times New Roman"/>
          <w:sz w:val="18"/>
          <w:szCs w:val="18"/>
          <w:color w:val="auto"/>
        </w:rPr>
      </w:pPr>
    </w:p>
    <w:p>
      <w:pPr>
        <w:jc w:val="both"/>
        <w:ind w:left="640" w:right="180" w:hanging="320"/>
        <w:spacing w:after="0" w:line="26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i w:val="1"/>
          <w:iCs w:val="1"/>
          <w:color w:val="auto"/>
        </w:rPr>
        <w:t>Restricted Stock and Restricted Stock Units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right="60" w:hanging="320"/>
        <w:spacing w:after="0" w:line="26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175" w:lineRule="exact"/>
        <w:rPr>
          <w:rFonts w:ascii="Times New Roman" w:cs="Times New Roman" w:eastAsia="Times New Roman" w:hAnsi="Times New Roman"/>
          <w:sz w:val="18"/>
          <w:szCs w:val="18"/>
          <w:color w:val="auto"/>
        </w:rPr>
      </w:pPr>
    </w:p>
    <w:p>
      <w:pPr>
        <w:ind w:left="640" w:right="20" w:hanging="320"/>
        <w:spacing w:after="0" w:line="261"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79" w:lineRule="exact"/>
        <w:rPr>
          <w:rFonts w:ascii="Times New Roman" w:cs="Times New Roman" w:eastAsia="Times New Roman" w:hAnsi="Times New Roman"/>
          <w:sz w:val="18"/>
          <w:szCs w:val="18"/>
          <w:color w:val="auto"/>
        </w:rPr>
      </w:pPr>
    </w:p>
    <w:p>
      <w:pPr>
        <w:ind w:left="640" w:right="180" w:hanging="320"/>
        <w:spacing w:after="0" w:line="261"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79" w:lineRule="exact"/>
        <w:rPr>
          <w:rFonts w:ascii="Times New Roman" w:cs="Times New Roman" w:eastAsia="Times New Roman" w:hAnsi="Times New Roman"/>
          <w:sz w:val="18"/>
          <w:szCs w:val="18"/>
          <w:color w:val="auto"/>
        </w:rPr>
      </w:pPr>
    </w:p>
    <w:p>
      <w:pPr>
        <w:ind w:left="640" w:right="40" w:hanging="320"/>
        <w:spacing w:after="0" w:line="258"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440" w:top="578" w:right="5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i w:val="1"/>
          <w:iCs w:val="1"/>
          <w:color w:val="auto"/>
        </w:rPr>
        <w:t>Performance Units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right="1080" w:hanging="320"/>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authorized to grant Performance Units to Participants with terms and conditions as the Committee shall determine not inconsistent with the provisions of the Plan.</w:t>
      </w:r>
    </w:p>
    <w:p>
      <w:pPr>
        <w:spacing w:after="0" w:line="161" w:lineRule="exact"/>
        <w:rPr>
          <w:rFonts w:ascii="Times New Roman" w:cs="Times New Roman" w:eastAsia="Times New Roman" w:hAnsi="Times New Roman"/>
          <w:sz w:val="18"/>
          <w:szCs w:val="18"/>
          <w:color w:val="auto"/>
        </w:rPr>
      </w:pPr>
    </w:p>
    <w:p>
      <w:pPr>
        <w:ind w:left="640" w:hanging="320"/>
        <w:spacing w:after="0" w:line="25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i w:val="1"/>
          <w:iCs w:val="1"/>
          <w:color w:val="auto"/>
        </w:rPr>
        <w:t>Stock Appreciation Rights (SARs)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right="960" w:hanging="320"/>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authorized to grant SARs to Participants with terms and conditions as the Committee shall determine not inconsistent with the provisions of the Plan.</w:t>
      </w:r>
    </w:p>
    <w:p>
      <w:pPr>
        <w:spacing w:after="0" w:line="159" w:lineRule="exact"/>
        <w:rPr>
          <w:rFonts w:ascii="Times New Roman" w:cs="Times New Roman" w:eastAsia="Times New Roman" w:hAnsi="Times New Roman"/>
          <w:sz w:val="18"/>
          <w:szCs w:val="18"/>
          <w:color w:val="auto"/>
        </w:rPr>
      </w:pPr>
    </w:p>
    <w:p>
      <w:pPr>
        <w:ind w:left="640" w:right="180" w:hanging="320"/>
        <w:spacing w:after="0" w:line="267"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of each SAR shall be fixed by the Committee but shall not exceed 10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i w:val="1"/>
          <w:iCs w:val="1"/>
          <w:color w:val="auto"/>
        </w:rPr>
        <w:t>General Provisions Applicable to Awards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hanging="32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granted for no cash consideration or for such minimal cash consideration as may be required by applicable law.</w:t>
      </w:r>
    </w:p>
    <w:p>
      <w:pPr>
        <w:spacing w:after="0" w:line="225" w:lineRule="exact"/>
        <w:rPr>
          <w:rFonts w:ascii="Times New Roman" w:cs="Times New Roman" w:eastAsia="Times New Roman" w:hAnsi="Times New Roman"/>
          <w:sz w:val="18"/>
          <w:szCs w:val="18"/>
          <w:color w:val="auto"/>
        </w:rPr>
      </w:pPr>
    </w:p>
    <w:p>
      <w:pPr>
        <w:ind w:left="640" w:right="360" w:hanging="320"/>
        <w:spacing w:after="0" w:line="261"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79" w:lineRule="exact"/>
        <w:rPr>
          <w:rFonts w:ascii="Times New Roman" w:cs="Times New Roman" w:eastAsia="Times New Roman" w:hAnsi="Times New Roman"/>
          <w:sz w:val="18"/>
          <w:szCs w:val="18"/>
          <w:color w:val="auto"/>
        </w:rPr>
      </w:pPr>
    </w:p>
    <w:p>
      <w:pPr>
        <w:ind w:left="640" w:hanging="320"/>
        <w:spacing w:after="0" w:line="25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11(f)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187" w:lineRule="exact"/>
        <w:rPr>
          <w:rFonts w:ascii="Times New Roman" w:cs="Times New Roman" w:eastAsia="Times New Roman" w:hAnsi="Times New Roman"/>
          <w:sz w:val="18"/>
          <w:szCs w:val="18"/>
          <w:color w:val="auto"/>
        </w:rPr>
      </w:pPr>
    </w:p>
    <w:p>
      <w:pPr>
        <w:ind w:left="640" w:hanging="320"/>
        <w:spacing w:after="0" w:line="254"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188" w:lineRule="exact"/>
        <w:rPr>
          <w:rFonts w:ascii="Times New Roman" w:cs="Times New Roman" w:eastAsia="Times New Roman" w:hAnsi="Times New Roman"/>
          <w:sz w:val="18"/>
          <w:szCs w:val="18"/>
          <w:color w:val="auto"/>
        </w:rPr>
      </w:pPr>
    </w:p>
    <w:p>
      <w:pPr>
        <w:ind w:left="640" w:hanging="320"/>
        <w:spacing w:after="0" w:line="258"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bookmarkStart w:id="18" w:name="page19"/>
    <w:bookmarkEnd w:id="18"/>
    <w:p>
      <w:pPr>
        <w:ind w:left="320" w:hanging="320"/>
        <w:spacing w:after="0" w:line="252"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expressly determines otherwise in the Award Agreement, any Award of an Option, SAR, or Restricted Stock is intended to qualify as a stock right exempt under Section 409A, and the Plan and each Award Agreement will be interpreted and administered in a manner consistent with such intention. In the event that any provision of the Plan or an Award Agreement is determined by the Committee to not comply with the applicable requirement of Section 409A, the Committee will have the authority to take such actions and make such changes to the Plan or Award Agreement deemed necessary to comply with Section 409A. Each payment made under an Award will be treated as a separate payment for purposes of Section 409A. Unless the Committee expressly determines otherwise in the Award Agreement, with respect to any other Award that would constitute deferred compensation within the meaning of Section 409A, the Award Agreement shall set forth the time and form of payment and the election rights, if any, of the holder in a manner that is intended to avoid the imposition of additional taxes and penalties under Section 409A. Notwithstanding any provision of the Plan or any Award Agreement, if at the time of termination of a Participant’s employment or service with the Company the Participant is a Specified Employee and any payments upon such termination under the Plan or such Award Agreement would constitute deferred compensation within the meaning of Section 409A, the Participant will not be entitled to such payments until the earlier of (a) the date that is six months after such termination or (b) any earlier date that does not result in any additional tax or interest to such Participant under Section 409A. Any delayed payment to a Specified Employee will be made without interest. The Company makes no representation or covenant that any Award granted under the Plan will comply with Section 409A. In no event will the Company be liable for any additional tax, interest or penalties that may be imposed on a Participant by Section 409A or any damages due to a failure to comply with Section 409A.</w:t>
      </w:r>
    </w:p>
    <w:p>
      <w:pPr>
        <w:spacing w:after="0" w:line="194" w:lineRule="exact"/>
        <w:rPr>
          <w:rFonts w:ascii="Times New Roman" w:cs="Times New Roman" w:eastAsia="Times New Roman" w:hAnsi="Times New Roman"/>
          <w:sz w:val="18"/>
          <w:szCs w:val="18"/>
          <w:color w:val="auto"/>
        </w:rPr>
      </w:pPr>
    </w:p>
    <w:p>
      <w:pPr>
        <w:ind w:left="320" w:right="720" w:hanging="320"/>
        <w:spacing w:after="0" w:line="282"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not have the authority to provide in any Award granted hereunder for the automatic award of an Option upon the exercise or settlement of such Award.</w:t>
      </w:r>
    </w:p>
    <w:p>
      <w:pPr>
        <w:spacing w:after="0" w:line="16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experiences an Involuntary Termination within 24 months after a Change in Control, then,</w:t>
      </w:r>
    </w:p>
    <w:p>
      <w:pPr>
        <w:spacing w:after="0" w:line="225" w:lineRule="exact"/>
        <w:rPr>
          <w:rFonts w:ascii="Times New Roman" w:cs="Times New Roman" w:eastAsia="Times New Roman" w:hAnsi="Times New Roman"/>
          <w:sz w:val="18"/>
          <w:szCs w:val="18"/>
          <w:color w:val="auto"/>
        </w:rPr>
      </w:pPr>
    </w:p>
    <w:p>
      <w:pPr>
        <w:ind w:left="640" w:right="240" w:hanging="316"/>
        <w:spacing w:after="0" w:line="266"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 Option or SAR, the Option or SAR shall immediately become fully vested and exercisable, and (B) in the case of Restricted Stock, Restricted Stock Units, Performance Units or Other Stock-Based awards, any restrictions applicable to the Award shall lapse and the applicable Award shall immediately become fully vested , in each case upon the effective date of such termination;</w:t>
      </w:r>
    </w:p>
    <w:p>
      <w:pPr>
        <w:spacing w:after="0" w:line="175" w:lineRule="exact"/>
        <w:rPr>
          <w:rFonts w:ascii="Times New Roman" w:cs="Times New Roman" w:eastAsia="Times New Roman" w:hAnsi="Times New Roman"/>
          <w:sz w:val="18"/>
          <w:szCs w:val="18"/>
          <w:color w:val="auto"/>
        </w:rPr>
      </w:pPr>
    </w:p>
    <w:p>
      <w:pPr>
        <w:ind w:left="640" w:right="320" w:hanging="316"/>
        <w:spacing w:after="0" w:line="258"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without additional tax or penalty by Section 409A, the shares underlying Restricted Stock Units, Performance Units or Other Stock-Based Awards held by the Participant will be issued on, or as soon as practicable (but no later than 60 days) after, the Participant’s Involuntary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Participant is a Specified Employee upon such termination, the shares will be issued on, or as soon as practicable (but no more than 10 days) after, the first day of the seventh month following such Involuntary Termination; and</w:t>
      </w:r>
    </w:p>
    <w:p>
      <w:pPr>
        <w:spacing w:after="0" w:line="183" w:lineRule="exact"/>
        <w:rPr>
          <w:rFonts w:ascii="Times New Roman" w:cs="Times New Roman" w:eastAsia="Times New Roman" w:hAnsi="Times New Roman"/>
          <w:sz w:val="18"/>
          <w:szCs w:val="18"/>
          <w:color w:val="auto"/>
        </w:rPr>
      </w:pPr>
    </w:p>
    <w:p>
      <w:pPr>
        <w:ind w:left="640" w:right="580" w:hanging="316"/>
        <w:spacing w:after="0" w:line="282"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issuance of shares as specified in (ii) above is not permitted without additional tax or penalty by Section 409A, the Award will continue to full term and the shares will be issued at the issuance date specified in the Award</w:t>
      </w:r>
    </w:p>
    <w:p>
      <w:pPr>
        <w:spacing w:after="0" w:line="2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760" w:top="580" w:right="439" w:bottom="1440" w:gutter="0" w:footer="0" w:header="0"/>
        </w:sectPr>
      </w:pPr>
    </w:p>
    <w:bookmarkStart w:id="19" w:name="page20"/>
    <w:bookmarkEnd w:id="19"/>
    <w:p>
      <w:pPr>
        <w:ind w:left="960"/>
        <w:spacing w:after="0"/>
        <w:rPr>
          <w:sz w:val="20"/>
          <w:szCs w:val="20"/>
          <w:color w:val="auto"/>
        </w:rPr>
      </w:pPr>
      <w:r>
        <w:rPr>
          <w:rFonts w:ascii="Times New Roman" w:cs="Times New Roman" w:eastAsia="Times New Roman" w:hAnsi="Times New Roman"/>
          <w:sz w:val="18"/>
          <w:szCs w:val="18"/>
          <w:color w:val="auto"/>
        </w:rPr>
        <w:t>Agreement as if the Participant were still an employee of the Company or any Affiliate on such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Cancellation or Clawback of Awards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right="20" w:hanging="320"/>
        <w:spacing w:after="0" w:line="25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are not limited to, termination with or without Cause, violation of Company policies, breach of non-competition, non-solicitation, confidentiality or other restrictive covenants, or requirements to comply with minimum stock ownership requirements, that may apply to the Participant, or other conduct by the Participant that is detrimental to the business or reputation of the Company and/or its Affiliates.</w:t>
      </w:r>
    </w:p>
    <w:p>
      <w:pPr>
        <w:spacing w:after="0" w:line="187" w:lineRule="exact"/>
        <w:rPr>
          <w:rFonts w:ascii="Times New Roman" w:cs="Times New Roman" w:eastAsia="Times New Roman" w:hAnsi="Times New Roman"/>
          <w:sz w:val="18"/>
          <w:szCs w:val="18"/>
          <w:color w:val="auto"/>
        </w:rPr>
      </w:pPr>
    </w:p>
    <w:p>
      <w:pPr>
        <w:ind w:left="620" w:hanging="300"/>
        <w:spacing w:after="0" w:line="254"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full authority to implement any policies and procedures necessary to comply with any reduction, cancellation, forfeiture or recoupment requirement imposed under any applicable laws, rules, regulations or stock exchange listing standards or under any associated Company recoupment policy, including, without limitation, Section 954 of the Dodd-Frank Wall Street Reform and Consumer Protection Act, Section 10D of the Exchange Act and any rules promulgated thereunder and any other regulatory regimes, including Rule 10D-1 of the Exchange Act and Section 5608 of the Nasdaq Listing Rules. For the avoidance of doubt and notwithstanding anything to the contrary contained herein or otherwise, any Award shall be subject to any such policy or procedure, and the Committee may, to the extent permitted by applicable law and stock exchange rules or by any applicable Company policy or arrangement, and shall, to the extent required, cancel or require reimbursement of any Award or any Shares issued or cash received upon vesting, exercise or settlement of any such Award or sale of Shares underlying such Award.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right="100" w:hanging="320"/>
        <w:spacing w:after="0" w:line="255"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expressly provided in an Award Agreement or in the Plan, the Board may amend, alter, suspend, discontinue, or terminate the Plan or any portion thereof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materially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88" w:lineRule="exact"/>
        <w:rPr>
          <w:rFonts w:ascii="Times New Roman" w:cs="Times New Roman" w:eastAsia="Times New Roman" w:hAnsi="Times New Roman"/>
          <w:sz w:val="18"/>
          <w:szCs w:val="18"/>
          <w:color w:val="auto"/>
        </w:rPr>
      </w:pPr>
    </w:p>
    <w:p>
      <w:pPr>
        <w:ind w:left="640" w:right="220" w:hanging="320"/>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waive any conditions or rights under, or amend, alter, suspend, discontinue or terminate, any Award theretofore granted, prospectively or retroactively,</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580" w:right="439" w:bottom="1440" w:gutter="0" w:footer="0" w:header="0"/>
        </w:sectPr>
      </w:pPr>
    </w:p>
    <w:bookmarkStart w:id="20" w:name="page21"/>
    <w:bookmarkEnd w:id="20"/>
    <w:p>
      <w:pPr>
        <w:ind w:left="640"/>
        <w:spacing w:after="0" w:line="252" w:lineRule="auto"/>
        <w:rPr>
          <w:sz w:val="20"/>
          <w:szCs w:val="20"/>
          <w:color w:val="auto"/>
        </w:rPr>
      </w:pPr>
      <w:r>
        <w:rPr>
          <w:rFonts w:ascii="Times New Roman" w:cs="Times New Roman" w:eastAsia="Times New Roman" w:hAnsi="Times New Roman"/>
          <w:sz w:val="18"/>
          <w:szCs w:val="18"/>
          <w:color w:val="auto"/>
        </w:rPr>
        <w:t xml:space="preserve">without the consent of any relevant Participant or holder or beneficiary of an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 such action shall materially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w:t>
      </w:r>
      <w:r>
        <w:rPr>
          <w:rFonts w:ascii="Times New Roman" w:cs="Times New Roman" w:eastAsia="Times New Roman" w:hAnsi="Times New Roman"/>
          <w:sz w:val="18"/>
          <w:szCs w:val="18"/>
          <w:i w:val="1"/>
          <w:iCs w:val="1"/>
          <w:color w:val="auto"/>
        </w:rPr>
        <w:t>Award Value</w:t>
      </w:r>
      <w:r>
        <w:rPr>
          <w:rFonts w:ascii="Times New Roman" w:cs="Times New Roman" w:eastAsia="Times New Roman" w:hAnsi="Times New Roman"/>
          <w:sz w:val="18"/>
          <w:szCs w:val="18"/>
          <w:color w:val="auto"/>
        </w:rPr>
        <w:t>”),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13(b) will comply with Section 409A.</w:t>
      </w:r>
    </w:p>
    <w:p>
      <w:pPr>
        <w:spacing w:after="0" w:line="197" w:lineRule="exact"/>
        <w:rPr>
          <w:sz w:val="20"/>
          <w:szCs w:val="20"/>
          <w:color w:val="auto"/>
        </w:rPr>
      </w:pPr>
    </w:p>
    <w:p>
      <w:pPr>
        <w:ind w:left="640" w:right="60" w:hanging="320"/>
        <w:spacing w:after="0" w:line="255"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188" w:lineRule="exact"/>
        <w:rPr>
          <w:rFonts w:ascii="Times New Roman" w:cs="Times New Roman" w:eastAsia="Times New Roman" w:hAnsi="Times New Roman"/>
          <w:sz w:val="18"/>
          <w:szCs w:val="18"/>
          <w:color w:val="auto"/>
        </w:rPr>
      </w:pPr>
    </w:p>
    <w:p>
      <w:pPr>
        <w:ind w:left="640" w:right="540" w:hanging="320"/>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right="120" w:hanging="320"/>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independent contractor, Participant or other person shall have any claim to be granted any Award under the Plan, and there is no obligation for uniformity of</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578" w:right="439" w:bottom="1440" w:gutter="0" w:footer="0" w:header="0"/>
        </w:sectPr>
      </w:pPr>
    </w:p>
    <w:bookmarkStart w:id="21" w:name="page22"/>
    <w:bookmarkEnd w:id="21"/>
    <w:p>
      <w:pPr>
        <w:ind w:left="320" w:right="160"/>
        <w:spacing w:after="0" w:line="282" w:lineRule="auto"/>
        <w:rPr>
          <w:sz w:val="20"/>
          <w:szCs w:val="20"/>
          <w:color w:val="auto"/>
        </w:rPr>
      </w:pPr>
      <w:r>
        <w:rPr>
          <w:rFonts w:ascii="Times New Roman" w:cs="Times New Roman" w:eastAsia="Times New Roman" w:hAnsi="Times New Roman"/>
          <w:sz w:val="18"/>
          <w:szCs w:val="18"/>
          <w:color w:val="auto"/>
        </w:rPr>
        <w:t>treatment of employees, independent contractors, Participants, or holders or beneficiaries of Awards, either collectively or individually, under the Plan. The terms and conditions of Awards need not be the same with respect to each recipient.</w:t>
      </w:r>
    </w:p>
    <w:p>
      <w:pPr>
        <w:spacing w:after="0" w:line="162" w:lineRule="exact"/>
        <w:rPr>
          <w:sz w:val="20"/>
          <w:szCs w:val="20"/>
          <w:color w:val="auto"/>
        </w:rPr>
      </w:pPr>
    </w:p>
    <w:p>
      <w:pPr>
        <w:ind w:left="320" w:right="20" w:hanging="320"/>
        <w:spacing w:after="0" w:line="258"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delegation to management shall conform with the requirements of the General Corporation Law of Delaware, as in effect from time to time.</w:t>
      </w:r>
    </w:p>
    <w:p>
      <w:pPr>
        <w:spacing w:after="0" w:line="183" w:lineRule="exact"/>
        <w:rPr>
          <w:rFonts w:ascii="Times New Roman" w:cs="Times New Roman" w:eastAsia="Times New Roman" w:hAnsi="Times New Roman"/>
          <w:sz w:val="18"/>
          <w:szCs w:val="18"/>
          <w:color w:val="auto"/>
        </w:rPr>
      </w:pPr>
    </w:p>
    <w:p>
      <w:pPr>
        <w:ind w:left="320" w:hanging="320"/>
        <w:spacing w:after="0" w:line="256"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187" w:lineRule="exact"/>
        <w:rPr>
          <w:rFonts w:ascii="Times New Roman" w:cs="Times New Roman" w:eastAsia="Times New Roman" w:hAnsi="Times New Roman"/>
          <w:sz w:val="18"/>
          <w:szCs w:val="18"/>
          <w:color w:val="auto"/>
        </w:rPr>
      </w:pPr>
    </w:p>
    <w:p>
      <w:pPr>
        <w:ind w:left="320" w:right="1080" w:hanging="320"/>
        <w:spacing w:after="0" w:line="282"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61" w:lineRule="exact"/>
        <w:rPr>
          <w:rFonts w:ascii="Times New Roman" w:cs="Times New Roman" w:eastAsia="Times New Roman" w:hAnsi="Times New Roman"/>
          <w:sz w:val="18"/>
          <w:szCs w:val="18"/>
          <w:color w:val="auto"/>
        </w:rPr>
      </w:pPr>
    </w:p>
    <w:p>
      <w:pPr>
        <w:ind w:left="320" w:right="100" w:hanging="320"/>
        <w:spacing w:after="0" w:line="261"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79" w:lineRule="exact"/>
        <w:rPr>
          <w:rFonts w:ascii="Times New Roman" w:cs="Times New Roman" w:eastAsia="Times New Roman" w:hAnsi="Times New Roman"/>
          <w:sz w:val="18"/>
          <w:szCs w:val="18"/>
          <w:color w:val="auto"/>
        </w:rPr>
      </w:pPr>
    </w:p>
    <w:p>
      <w:pPr>
        <w:ind w:left="320" w:right="120" w:hanging="320"/>
        <w:spacing w:after="0" w:line="258"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3" w:lineRule="exact"/>
        <w:rPr>
          <w:rFonts w:ascii="Times New Roman" w:cs="Times New Roman" w:eastAsia="Times New Roman" w:hAnsi="Times New Roman"/>
          <w:sz w:val="18"/>
          <w:szCs w:val="18"/>
          <w:color w:val="auto"/>
        </w:rPr>
      </w:pPr>
    </w:p>
    <w:p>
      <w:pPr>
        <w:jc w:val="both"/>
        <w:ind w:left="320" w:right="20" w:hanging="320"/>
        <w:spacing w:after="0" w:line="266"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2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760" w:top="580" w:right="479" w:bottom="1440" w:gutter="0" w:footer="0" w:header="0"/>
        </w:sectPr>
      </w:pPr>
    </w:p>
    <w:bookmarkStart w:id="22" w:name="page23"/>
    <w:bookmarkEnd w:id="22"/>
    <w:p>
      <w:pPr>
        <w:ind w:left="640" w:hanging="320"/>
        <w:spacing w:after="0" w:line="26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i w:val="1"/>
          <w:iCs w:val="1"/>
          <w:color w:val="auto"/>
        </w:rPr>
        <w:t>Effective Date of the Plan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effective as of the date of its approval by the stockholders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i w:val="1"/>
          <w:iCs w:val="1"/>
          <w:color w:val="auto"/>
        </w:rPr>
        <w:t>Term of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Award shall be granted under the Plan after April 25, 2034. However, unless otherwise expressly provided in the Plan or in an applicable Award Agreement, any Award theretofore granted may extend beyond such date, and the authority of the Committee and the Board under Section 13 to amend, alter, adjust, suspend, discontinue, or terminate any such Award, or to waive any conditions or rights under any such Award, and to amend the Plan, shall extend beyond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Plan shall be construed in accordance with and governed by the laws of the State of Texas without giving effect to the principles of conflict of laws thereof.</w:t>
      </w:r>
    </w:p>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440" w:top="580" w:right="65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Exhibit 107.1</w:t>
            </w:r>
          </w:p>
        </w:tc>
        <w:tc>
          <w:tcPr>
            <w:tcW w:w="100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Calculation of Filing Fee Tables</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Form S-8</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7"/>
              </w:rPr>
              <w:t>(Form Type)</w:t>
            </w: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Texas Instruments Incorporated</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684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8"/>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80" w:type="dxa"/>
            <w:vAlign w:val="bottom"/>
          </w:tcPr>
          <w:p>
            <w:pPr>
              <w:spacing w:after="0"/>
              <w:rPr>
                <w:sz w:val="18"/>
                <w:szCs w:val="18"/>
                <w:color w:val="auto"/>
              </w:rPr>
            </w:pPr>
          </w:p>
        </w:tc>
        <w:tc>
          <w:tcPr>
            <w:tcW w:w="17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Rate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21"/>
        </w:trPr>
        <w:tc>
          <w:tcPr>
            <w:tcW w:w="11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 Title</w:t>
            </w:r>
          </w:p>
        </w:tc>
        <w:tc>
          <w:tcPr>
            <w:tcW w:w="80" w:type="dxa"/>
            <w:vAlign w:val="bottom"/>
          </w:tcPr>
          <w:p>
            <w:pPr>
              <w:spacing w:after="0"/>
              <w:rPr>
                <w:sz w:val="19"/>
                <w:szCs w:val="19"/>
                <w:color w:val="auto"/>
              </w:rPr>
            </w:pPr>
          </w:p>
        </w:tc>
        <w:tc>
          <w:tcPr>
            <w:tcW w:w="17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Calculation</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16"/>
                <w:szCs w:val="16"/>
                <w:color w:val="auto"/>
              </w:rPr>
              <w:t>Registered</w:t>
            </w:r>
            <w:r>
              <w:rPr>
                <w:rFonts w:ascii="Times New Roman" w:cs="Times New Roman" w:eastAsia="Times New Roman" w:hAnsi="Times New Roman"/>
                <w:sz w:val="25"/>
                <w:szCs w:val="25"/>
                <w:color w:val="auto"/>
                <w:vertAlign w:val="superscript"/>
              </w:rPr>
              <w:t>(1)</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9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Rule</w:t>
            </w:r>
          </w:p>
        </w:tc>
        <w:tc>
          <w:tcPr>
            <w:tcW w:w="11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3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Offering Price</w:t>
            </w:r>
            <w:r>
              <w:rPr>
                <w:rFonts w:ascii="Times New Roman" w:cs="Times New Roman" w:eastAsia="Times New Roman" w:hAnsi="Times New Roman"/>
                <w:sz w:val="25"/>
                <w:szCs w:val="25"/>
                <w:color w:val="auto"/>
                <w:vertAlign w:val="superscript"/>
              </w:rPr>
              <w:t>(3)</w:t>
            </w:r>
          </w:p>
        </w:tc>
        <w:tc>
          <w:tcPr>
            <w:tcW w:w="9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Fee</w:t>
            </w:r>
            <w:r>
              <w:rPr>
                <w:rFonts w:ascii="Times New Roman" w:cs="Times New Roman" w:eastAsia="Times New Roman" w:hAnsi="Times New Roman"/>
                <w:sz w:val="25"/>
                <w:szCs w:val="25"/>
                <w:color w:val="auto"/>
                <w:vertAlign w:val="superscript"/>
              </w:rPr>
              <w:t>(4)</w:t>
            </w: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98"/>
        </w:trPr>
        <w:tc>
          <w:tcPr>
            <w:tcW w:w="11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center"/>
              <w:spacing w:after="0" w:line="298" w:lineRule="exact"/>
              <w:rPr>
                <w:sz w:val="20"/>
                <w:szCs w:val="20"/>
                <w:color w:val="auto"/>
              </w:rPr>
            </w:pPr>
            <w:r>
              <w:rPr>
                <w:rFonts w:ascii="Times New Roman" w:cs="Times New Roman" w:eastAsia="Times New Roman" w:hAnsi="Times New Roman"/>
                <w:sz w:val="18"/>
                <w:szCs w:val="18"/>
                <w:color w:val="auto"/>
                <w:w w:val="91"/>
              </w:rPr>
              <w:t xml:space="preserve">Unit </w:t>
            </w:r>
            <w:r>
              <w:rPr>
                <w:rFonts w:ascii="Times New Roman" w:cs="Times New Roman" w:eastAsia="Times New Roman" w:hAnsi="Times New Roman"/>
                <w:sz w:val="29"/>
                <w:szCs w:val="29"/>
                <w:color w:val="auto"/>
                <w:w w:val="91"/>
                <w:vertAlign w:val="superscript"/>
              </w:rPr>
              <w:t>(3)</w:t>
            </w:r>
          </w:p>
        </w:tc>
        <w:tc>
          <w:tcPr>
            <w:tcW w:w="13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80" w:type="dxa"/>
            <w:vAlign w:val="bottom"/>
          </w:tcPr>
          <w:p>
            <w:pPr>
              <w:spacing w:after="0"/>
              <w:rPr>
                <w:sz w:val="19"/>
                <w:szCs w:val="19"/>
                <w:color w:val="auto"/>
              </w:rPr>
            </w:pPr>
          </w:p>
        </w:tc>
        <w:tc>
          <w:tcPr>
            <w:tcW w:w="17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Rule 457(c) and Rule</w:t>
            </w:r>
          </w:p>
        </w:tc>
        <w:tc>
          <w:tcPr>
            <w:tcW w:w="11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6"/>
                <w:szCs w:val="16"/>
                <w:color w:val="auto"/>
              </w:rPr>
              <w:t xml:space="preserve">33,000,000 </w:t>
            </w:r>
            <w:r>
              <w:rPr>
                <w:rFonts w:ascii="Times New Roman" w:cs="Times New Roman" w:eastAsia="Times New Roman" w:hAnsi="Times New Roman"/>
                <w:sz w:val="25"/>
                <w:szCs w:val="25"/>
                <w:color w:val="auto"/>
                <w:vertAlign w:val="superscript"/>
              </w:rPr>
              <w:t>(2)</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$161.77</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$5,338,410,000</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0.00014760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$787,949.32</w:t>
            </w:r>
          </w:p>
        </w:tc>
      </w:tr>
      <w:tr>
        <w:trPr>
          <w:trHeight w:val="234"/>
        </w:trPr>
        <w:tc>
          <w:tcPr>
            <w:tcW w:w="1140" w:type="dxa"/>
            <w:vAlign w:val="bottom"/>
            <w:tcBorders>
              <w:left w:val="single" w:sz="8" w:color="auto"/>
              <w:right w:val="single" w:sz="8" w:color="auto"/>
            </w:tcBorders>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457(h)</w:t>
            </w:r>
          </w:p>
        </w:tc>
        <w:tc>
          <w:tcPr>
            <w:tcW w:w="112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2"/>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gridSpan w:val="2"/>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1140" w:type="dxa"/>
            <w:vAlign w:val="bottom"/>
            <w:tcBorders>
              <w:left w:val="single" w:sz="8" w:color="auto"/>
            </w:tcBorders>
          </w:tcPr>
          <w:p>
            <w:pPr>
              <w:spacing w:after="0"/>
              <w:rPr>
                <w:sz w:val="20"/>
                <w:szCs w:val="20"/>
                <w:color w:val="auto"/>
              </w:rPr>
            </w:pPr>
          </w:p>
        </w:tc>
        <w:tc>
          <w:tcPr>
            <w:tcW w:w="4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12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$787,949.32</w:t>
            </w:r>
          </w:p>
        </w:tc>
      </w:tr>
      <w:tr>
        <w:trPr>
          <w:trHeight w:val="27"/>
        </w:trPr>
        <w:tc>
          <w:tcPr>
            <w:tcW w:w="1140" w:type="dxa"/>
            <w:vAlign w:val="bottom"/>
            <w:tcBorders>
              <w:left w:val="single" w:sz="8" w:color="auto"/>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304"/>
        </w:trPr>
        <w:tc>
          <w:tcPr>
            <w:tcW w:w="1140" w:type="dxa"/>
            <w:vAlign w:val="bottom"/>
            <w:tcBorders>
              <w:left w:val="single" w:sz="8" w:color="auto"/>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center"/>
              <w:ind w:left="1590"/>
              <w:spacing w:after="0" w:line="303" w:lineRule="exact"/>
              <w:rPr>
                <w:sz w:val="20"/>
                <w:szCs w:val="20"/>
                <w:color w:val="auto"/>
              </w:rPr>
            </w:pPr>
            <w:r>
              <w:rPr>
                <w:rFonts w:ascii="Times New Roman" w:cs="Times New Roman" w:eastAsia="Times New Roman" w:hAnsi="Times New Roman"/>
                <w:sz w:val="18"/>
                <w:szCs w:val="18"/>
                <w:b w:val="1"/>
                <w:bCs w:val="1"/>
                <w:color w:val="auto"/>
                <w:w w:val="96"/>
              </w:rPr>
              <w:t>Total Fee Offsets</w:t>
            </w:r>
            <w:r>
              <w:rPr>
                <w:rFonts w:ascii="Times New Roman" w:cs="Times New Roman" w:eastAsia="Times New Roman" w:hAnsi="Times New Roman"/>
                <w:sz w:val="29"/>
                <w:szCs w:val="29"/>
                <w:color w:val="auto"/>
                <w:w w:val="96"/>
                <w:vertAlign w:val="superscript"/>
              </w:rPr>
              <w:t>(5)</w:t>
            </w:r>
          </w:p>
        </w:tc>
        <w:tc>
          <w:tcPr>
            <w:tcW w:w="17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140" w:type="dxa"/>
            <w:vAlign w:val="bottom"/>
            <w:tcBorders>
              <w:left w:val="single" w:sz="8" w:color="auto"/>
            </w:tcBorders>
          </w:tcPr>
          <w:p>
            <w:pPr>
              <w:spacing w:after="0"/>
              <w:rPr>
                <w:sz w:val="20"/>
                <w:szCs w:val="20"/>
                <w:color w:val="auto"/>
              </w:rPr>
            </w:pPr>
          </w:p>
        </w:tc>
        <w:tc>
          <w:tcPr>
            <w:tcW w:w="320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7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$787,949.32</w:t>
            </w:r>
          </w:p>
        </w:tc>
      </w:tr>
      <w:tr>
        <w:trPr>
          <w:trHeight w:val="27"/>
        </w:trPr>
        <w:tc>
          <w:tcPr>
            <w:tcW w:w="1140" w:type="dxa"/>
            <w:vAlign w:val="bottom"/>
            <w:tcBorders>
              <w:left w:val="single" w:sz="8" w:color="auto"/>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of Texas Instruments Incorporated (the “Registrant”)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common stock.</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33,000,000 shares of the Registrant’s common stock reserved for issuance under the Texas Instruments 2024 Long-Term Incentive Plan (the “LTIP”).</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(h) of the Securities Act, solely for the purpose of calculating the registration fee for the shares to be reserved under the LTIP, on the basis of the average of the high and low prices of the Registrant’s common stock as reported on the Nasdaq Global Select Market (“Nasdaq”) on April 19, 2024, which date is within five business days prior to filing this Registration Statement.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to the nearest cent.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abstractNum>
  <w:abstractNum w:abstractNumId="1">
    <w:nsid w:val="41A7C4C9"/>
    <w:multiLevelType w:val="hybridMultilevel"/>
    <w:lvl w:ilvl="0">
      <w:lvlJc w:val="left"/>
      <w:lvlText w:val="(%1)"/>
      <w:numFmt w:val="decimal"/>
      <w:start w:val="1"/>
    </w:lvl>
    <w:lvl w:ilvl="1">
      <w:lvlJc w:val="left"/>
      <w:lvlText w:val="(%2)"/>
      <w:numFmt w:val="lowerRoman"/>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5">
    <w:nsid w:val="519B500D"/>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5"/>
    </w:lvl>
    <w:lvl w:ilvl="3">
      <w:lvlJc w:val="left"/>
      <w:lvlText w:val="(%4)"/>
      <w:numFmt w:val="upperLetter"/>
      <w:start w:val="1"/>
    </w:lvl>
  </w:abstractNum>
  <w:abstractNum w:abstractNumId="6">
    <w:nsid w:val="431BD7B7"/>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
    <w:nsid w:val="3F2DBA31"/>
    <w:multiLevelType w:val="hybridMultilevel"/>
    <w:lvl w:ilvl="0">
      <w:lvlJc w:val="left"/>
      <w:lvlText w:val="%1"/>
      <w:numFmt w:val="lowerLetter"/>
      <w:start w:val="1"/>
    </w:lvl>
    <w:lvl w:ilvl="1">
      <w:lvlJc w:val="left"/>
      <w:lvlText w:val="(%2)"/>
      <w:numFmt w:val="lowerLetter"/>
      <w:start w:val="13"/>
    </w:lvl>
  </w:abstractNum>
  <w:abstractNum w:abstractNumId="8">
    <w:nsid w:val="7C83E458"/>
    <w:multiLevelType w:val="hybridMultilevel"/>
    <w:lvl w:ilvl="0">
      <w:lvlJc w:val="left"/>
      <w:lvlText w:val="(%1)"/>
      <w:numFmt w:val="lowerLetter"/>
      <w:start w:val="16"/>
    </w:lvl>
    <w:lvl w:ilvl="1">
      <w:lvlJc w:val="left"/>
      <w:lvlText w:val="(%2)"/>
      <w:numFmt w:val="lowerLetter"/>
      <w:start w:val="18"/>
    </w:lvl>
  </w:abstractNum>
  <w:abstractNum w:abstractNumId="9">
    <w:nsid w:val="257130A3"/>
    <w:multiLevelType w:val="hybridMultilevel"/>
    <w:lvl w:ilvl="0">
      <w:lvlJc w:val="left"/>
      <w:lvlText w:val="(%1)"/>
      <w:numFmt w:val="lowerLetter"/>
      <w:start w:val="19"/>
    </w:lvl>
    <w:lvl w:ilvl="1">
      <w:lvlJc w:val="left"/>
      <w:lvlText w:val="(%2)"/>
      <w:numFmt w:val="lowerLetter"/>
      <w:start w:val="21"/>
    </w:lvl>
    <w:lvl w:ilvl="2">
      <w:lvlJc w:val="left"/>
      <w:lvlText w:val="(%3)"/>
      <w:numFmt w:val="lowerLetter"/>
      <w:start w:val="23"/>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2"/>
    </w:lvl>
  </w:abstractNum>
  <w:abstractNum w:abstractNumId="12">
    <w:nsid w:val="628C895D"/>
    <w:multiLevelType w:val="hybridMultilevel"/>
    <w:lvl w:ilvl="0">
      <w:lvlJc w:val="left"/>
      <w:lvlText w:val="(%1)"/>
      <w:numFmt w:val="lowerLetter"/>
      <w:start w:val="1"/>
    </w:lvl>
    <w:lvl w:ilvl="1">
      <w:lvlJc w:val="left"/>
      <w:lvlText w:val="(%2)"/>
      <w:numFmt w:val="lowerLetter"/>
      <w:start w:val="2"/>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3"/>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6"/>
    </w:lvl>
    <w:lvl w:ilvl="1">
      <w:lvlJc w:val="left"/>
      <w:lvlText w:val="(%2)"/>
      <w:numFmt w:val="lowerRoman"/>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1)"/>
      <w:numFmt w:val="lowerLetter"/>
      <w:start w:val="8"/>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17" Type="http://schemas.openxmlformats.org/officeDocument/2006/relationships/hyperlink" Target="https://www.sec.gov/Archives/edgar/data/97476/000009747615000003/txn-12312014xexhibit3a.htm" TargetMode="External"/><Relationship Id="rId18"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2024-04-26T11:58:02Z</dcterms:created>
  <dcterms:modified xsi:type="dcterms:W3CDTF">2024-04-26T11:58:02Z</dcterms:modified>
</cp:coreProperties>
</file>