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September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September 21, 2017, regarding a share repurchase program and planned dividend increase, attached hereto as Exhibit 99 is incorporated by reference herein.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00"/>
          </w:cols>
          <w:pgMar w:left="240" w:top="125" w:right="359" w:bottom="1440" w:gutter="0" w:footer="0" w:header="0"/>
        </w:sectPr>
      </w:pPr>
    </w:p>
    <w:p>
      <w:pPr>
        <w:spacing w:after="0" w:line="225" w:lineRule="exact"/>
        <w:rPr>
          <w:sz w:val="20"/>
          <w:szCs w:val="20"/>
          <w:color w:val="auto"/>
        </w:rPr>
      </w:pPr>
    </w:p>
    <w:p>
      <w:pPr>
        <w:jc w:val="center"/>
        <w:ind w:left="140"/>
        <w:spacing w:after="0" w:line="428" w:lineRule="auto"/>
        <w:rPr>
          <w:sz w:val="20"/>
          <w:szCs w:val="20"/>
          <w:color w:val="auto"/>
        </w:rPr>
      </w:pPr>
      <w:r>
        <w:rPr>
          <w:rFonts w:ascii="Arial" w:cs="Arial" w:eastAsia="Arial" w:hAnsi="Arial"/>
          <w:sz w:val="16"/>
          <w:szCs w:val="16"/>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-92075</wp:posOffset>
            </wp:positionV>
            <wp:extent cx="654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1450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0975" cy="889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1020" w:space="240"/>
            <w:col w:w="10040"/>
          </w:cols>
          <w:pgMar w:left="240" w:top="125" w:right="359" w:bottom="1440" w:gutter="0" w:footer="0" w:header="0"/>
          <w:type w:val="continuous"/>
        </w:sectPr>
      </w:pPr>
    </w:p>
    <w:p>
      <w:pPr>
        <w:jc w:val="both"/>
        <w:ind w:left="1260" w:right="8120" w:hanging="768"/>
        <w:spacing w:after="0" w:line="381" w:lineRule="auto"/>
        <w:tabs>
          <w:tab w:leader="none" w:pos="1260" w:val="left"/>
        </w:tabs>
        <w:numPr>
          <w:ilvl w:val="0"/>
          <w:numId w:val="2"/>
        </w:numPr>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Registrant’s News Release</w:t>
        </w:r>
      </w:hyperlink>
      <w:r>
        <w:rPr>
          <w:rFonts w:ascii="Arial" w:cs="Arial" w:eastAsia="Arial" w:hAnsi="Arial"/>
          <w:sz w:val="15"/>
          <w:szCs w:val="15"/>
          <w:u w:val="single" w:color="auto"/>
          <w:color w:val="0000EE"/>
        </w:rPr>
        <w:t xml:space="preserve"> </w:t>
      </w:r>
      <w:r>
        <w:rPr>
          <w:rFonts w:ascii="Arial" w:cs="Arial" w:eastAsia="Arial" w:hAnsi="Arial"/>
          <w:sz w:val="15"/>
          <w:szCs w:val="15"/>
          <w:color w:val="000000"/>
        </w:rPr>
        <w:t>Dated September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21, 2017</w:t>
            </w:r>
          </w:p>
        </w:tc>
        <w:tc>
          <w:tcPr>
            <w:tcW w:w="2480" w:type="dxa"/>
            <w:vAlign w:val="bottom"/>
          </w:tcPr>
          <w:p>
            <w:pPr>
              <w:ind w:left="18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195"/>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30"/>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w:t>
      </w:r>
    </w:p>
    <w:p>
      <w:pPr>
        <w:spacing w:after="0" w:line="297"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TI to return more cash to shareholders with 24% dividend increase and authorization for additional $6.0 billion in share repurchases</w:t>
      </w:r>
    </w:p>
    <w:p>
      <w:pPr>
        <w:spacing w:after="0" w:line="136"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DALLAS (Sept. 21, 2017) – Texas Instruments Incorporated (TI) (NASDAQ: TXN) today said it will raise its quarterly cash dividend by 24 percent, from $0.50 per share to $0.62, or $2.48 annualized. The higher dividend will be payable November 13, 2017, to stockholders of record on October 31, 2017, contingent upon formal declaration by the board of directors at its regular meeting in October.</w:t>
      </w:r>
    </w:p>
    <w:p>
      <w:pPr>
        <w:spacing w:after="0" w:line="185"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The board of directors also authorized the company to repurchase an additional $6.0 billion of its common stock over time. This is in addition to approximately $4.6 billion of previously authorized repurchases that remained at the end of June 2017.</w:t>
      </w:r>
    </w:p>
    <w:p>
      <w:pPr>
        <w:spacing w:after="0" w:line="105"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Dividend increases and share repurchases are both part of TI's capital management strategy and reflect the company’s strong free cash flow generation and commitment to return excess cash to shareholders. With today’s announcement, the company has increased dividends each of the past 14 years, and through consistent share repurchases has reduced outstanding shares by 42 percent since the end of 2004. Over the last 12 months, TI paid 47 percent of free cash flow in dividends.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7"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We urge you to carefully consider the following important factors that could cause actual results to differ materially from the expectations of TI or our management:</w:t>
      </w:r>
    </w:p>
    <w:p>
      <w:pPr>
        <w:spacing w:after="0" w:line="173" w:lineRule="exact"/>
        <w:rPr>
          <w:sz w:val="20"/>
          <w:szCs w:val="20"/>
          <w:color w:val="auto"/>
        </w:rPr>
      </w:pPr>
    </w:p>
    <w:p>
      <w:pPr>
        <w:ind w:left="880" w:hanging="440"/>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Market demand for semiconductors, particularly in TI’s end markets;</w:t>
      </w:r>
    </w:p>
    <w:p>
      <w:pPr>
        <w:spacing w:after="0" w:line="8" w:lineRule="exact"/>
        <w:rPr>
          <w:rFonts w:ascii="Arial" w:cs="Arial" w:eastAsia="Arial" w:hAnsi="Arial"/>
          <w:sz w:val="22"/>
          <w:szCs w:val="22"/>
          <w:color w:val="auto"/>
        </w:rPr>
      </w:pPr>
    </w:p>
    <w:p>
      <w:pPr>
        <w:ind w:left="880" w:hanging="440"/>
        <w:spacing w:after="0" w:line="230"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TI’s ability to compete in products and prices in an intensely competitive industry;</w:t>
      </w:r>
    </w:p>
    <w:p>
      <w:pPr>
        <w:ind w:left="880" w:right="340" w:hanging="440"/>
        <w:spacing w:after="0" w:line="230"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Customer demand that differs from forecasts and the financial impact of inadequate or excess TI inventory that results from demand that differs from projections;</w:t>
      </w:r>
    </w:p>
    <w:p>
      <w:pPr>
        <w:spacing w:after="0" w:line="1" w:lineRule="exact"/>
        <w:rPr>
          <w:rFonts w:ascii="Arial" w:cs="Arial" w:eastAsia="Arial" w:hAnsi="Arial"/>
          <w:sz w:val="22"/>
          <w:szCs w:val="22"/>
          <w:color w:val="auto"/>
        </w:rPr>
      </w:pPr>
    </w:p>
    <w:p>
      <w:pPr>
        <w:ind w:left="880" w:hanging="440"/>
        <w:spacing w:after="0"/>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TI’s ability to develop, manufacture and market innovative products in a rapidly changing technological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Page 2</w:t>
      </w:r>
    </w:p>
    <w:p>
      <w:pPr>
        <w:spacing w:after="0" w:line="213" w:lineRule="exact"/>
        <w:rPr>
          <w:sz w:val="20"/>
          <w:szCs w:val="20"/>
          <w:color w:val="auto"/>
        </w:rPr>
      </w:pPr>
    </w:p>
    <w:p>
      <w:pPr>
        <w:ind w:left="440" w:right="180" w:hanging="440"/>
        <w:spacing w:after="0" w:line="234"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3" w:lineRule="exact"/>
        <w:rPr>
          <w:rFonts w:ascii="Arial" w:cs="Arial" w:eastAsia="Arial" w:hAnsi="Arial"/>
          <w:sz w:val="22"/>
          <w:szCs w:val="22"/>
          <w:color w:val="auto"/>
        </w:rPr>
      </w:pPr>
    </w:p>
    <w:p>
      <w:pPr>
        <w:ind w:left="440" w:right="16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Natural events such as severe weather, geological events or health epidemics in the locations in which TI, our customers or our suppliers operate;</w:t>
      </w:r>
    </w:p>
    <w:p>
      <w:pPr>
        <w:spacing w:after="0" w:line="1" w:lineRule="exact"/>
        <w:rPr>
          <w:rFonts w:ascii="Arial" w:cs="Arial" w:eastAsia="Arial" w:hAnsi="Arial"/>
          <w:sz w:val="22"/>
          <w:szCs w:val="22"/>
          <w:color w:val="auto"/>
        </w:rPr>
      </w:pPr>
    </w:p>
    <w:p>
      <w:pPr>
        <w:ind w:left="44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Breaches or disruptions of TI’s information technology systems or those of our customers or suppliers;</w:t>
      </w:r>
    </w:p>
    <w:p>
      <w:pPr>
        <w:ind w:left="440" w:right="8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Timely implementation of new manufacturing technologies and installation of manufacturing equipment, or the ability to obtain needed third-party foundry and assembly/test subcontract services;</w:t>
      </w:r>
    </w:p>
    <w:p>
      <w:pPr>
        <w:spacing w:after="0" w:line="1" w:lineRule="exact"/>
        <w:rPr>
          <w:rFonts w:ascii="Arial" w:cs="Arial" w:eastAsia="Arial" w:hAnsi="Arial"/>
          <w:sz w:val="22"/>
          <w:szCs w:val="22"/>
          <w:color w:val="auto"/>
        </w:rPr>
      </w:pPr>
    </w:p>
    <w:p>
      <w:pPr>
        <w:ind w:left="440" w:right="76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Availability and cost of raw materials, utilities, manufacturing equipment, third-party manufacturing services and manufacturing technology;</w:t>
      </w:r>
    </w:p>
    <w:p>
      <w:pPr>
        <w:spacing w:after="0" w:line="1" w:lineRule="exact"/>
        <w:rPr>
          <w:rFonts w:ascii="Arial" w:cs="Arial" w:eastAsia="Arial" w:hAnsi="Arial"/>
          <w:sz w:val="22"/>
          <w:szCs w:val="22"/>
          <w:color w:val="auto"/>
        </w:rPr>
      </w:pPr>
    </w:p>
    <w:p>
      <w:pPr>
        <w:ind w:left="440" w:right="2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2" w:lineRule="exact"/>
        <w:rPr>
          <w:rFonts w:ascii="Arial" w:cs="Arial" w:eastAsia="Arial" w:hAnsi="Arial"/>
          <w:sz w:val="22"/>
          <w:szCs w:val="22"/>
          <w:color w:val="auto"/>
        </w:rPr>
      </w:pPr>
    </w:p>
    <w:p>
      <w:pPr>
        <w:ind w:left="440" w:right="80" w:hanging="440"/>
        <w:spacing w:after="0" w:line="267"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Product liability or warranty claims, claims based on epidemic or delivery failure, or other claims relating to TI products, manufacturing, services, design or communications, or recalls by TI customers for a product containing a TI part;</w:t>
      </w:r>
    </w:p>
    <w:p>
      <w:pPr>
        <w:ind w:left="440" w:right="50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spacing w:after="0" w:line="2" w:lineRule="exact"/>
        <w:rPr>
          <w:rFonts w:ascii="Arial" w:cs="Arial" w:eastAsia="Arial" w:hAnsi="Arial"/>
          <w:sz w:val="22"/>
          <w:szCs w:val="22"/>
          <w:color w:val="auto"/>
        </w:rPr>
      </w:pPr>
    </w:p>
    <w:p>
      <w:pPr>
        <w:ind w:left="44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loss suffered by a customer or distributor of TI with respect to TI-consigned inventory;</w:t>
      </w:r>
    </w:p>
    <w:p>
      <w:pPr>
        <w:ind w:left="440" w:right="58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Financial difficulties of distributors or their promotion of competing product lines to TI’s detriment, or the loss of a significant number of distributors;</w:t>
      </w:r>
    </w:p>
    <w:p>
      <w:pPr>
        <w:spacing w:after="0" w:line="1" w:lineRule="exact"/>
        <w:rPr>
          <w:rFonts w:ascii="Arial" w:cs="Arial" w:eastAsia="Arial" w:hAnsi="Arial"/>
          <w:sz w:val="22"/>
          <w:szCs w:val="22"/>
          <w:color w:val="auto"/>
        </w:rPr>
      </w:pPr>
    </w:p>
    <w:p>
      <w:pPr>
        <w:ind w:left="440" w:right="56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Losses or curtailments of purchases from key customers or the timing and amount of distributor and other customer inventory adjustments;</w:t>
      </w:r>
    </w:p>
    <w:p>
      <w:pPr>
        <w:spacing w:after="0" w:line="1" w:lineRule="exact"/>
        <w:rPr>
          <w:rFonts w:ascii="Arial" w:cs="Arial" w:eastAsia="Arial" w:hAnsi="Arial"/>
          <w:sz w:val="22"/>
          <w:szCs w:val="22"/>
          <w:color w:val="auto"/>
        </w:rPr>
      </w:pPr>
    </w:p>
    <w:p>
      <w:pPr>
        <w:ind w:left="440" w:right="6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TI’s ability to maintain or improve profit margins, including our ability to utilize our manufacturing facilities at sufficient levels to cover our fixed operating costs, in an intensely competitive and cyclical industry;</w:t>
      </w:r>
    </w:p>
    <w:p>
      <w:pPr>
        <w:spacing w:after="0" w:line="1" w:lineRule="exact"/>
        <w:rPr>
          <w:rFonts w:ascii="Arial" w:cs="Arial" w:eastAsia="Arial" w:hAnsi="Arial"/>
          <w:sz w:val="22"/>
          <w:szCs w:val="22"/>
          <w:color w:val="auto"/>
        </w:rPr>
      </w:pPr>
    </w:p>
    <w:p>
      <w:pPr>
        <w:ind w:left="440" w:right="38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TI’s ability to maintain and enforce a strong intellectual property portfolio and maintain freedom of operation; or TI’s exposure to infringement claims;</w:t>
      </w:r>
    </w:p>
    <w:p>
      <w:pPr>
        <w:spacing w:after="0" w:line="1" w:lineRule="exact"/>
        <w:rPr>
          <w:rFonts w:ascii="Arial" w:cs="Arial" w:eastAsia="Arial" w:hAnsi="Arial"/>
          <w:sz w:val="22"/>
          <w:szCs w:val="22"/>
          <w:color w:val="auto"/>
        </w:rPr>
      </w:pPr>
    </w:p>
    <w:p>
      <w:pPr>
        <w:ind w:left="440" w:right="440" w:hanging="440"/>
        <w:spacing w:after="0" w:line="241" w:lineRule="auto"/>
        <w:tabs>
          <w:tab w:leader="none" w:pos="44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Instability in the global credit and financial markets that affects TI’s ability to fund our daily operations, invest in the business, make strategic acquisitions, or make principal and interest payments on our debt;</w:t>
      </w:r>
    </w:p>
    <w:p>
      <w:pPr>
        <w:spacing w:after="0" w:line="1" w:lineRule="exact"/>
        <w:rPr>
          <w:rFonts w:ascii="Arial" w:cs="Arial" w:eastAsia="Arial" w:hAnsi="Arial"/>
          <w:sz w:val="21"/>
          <w:szCs w:val="21"/>
          <w:color w:val="auto"/>
        </w:rPr>
      </w:pPr>
    </w:p>
    <w:p>
      <w:pPr>
        <w:ind w:left="44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Increases in health care and pension benefit costs;</w:t>
      </w:r>
    </w:p>
    <w:p>
      <w:pPr>
        <w:ind w:left="440" w:hanging="440"/>
        <w:spacing w:after="0" w:line="230" w:lineRule="auto"/>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TI’s ability to recruit and retain skilled engineering, management and technical personnel;</w:t>
      </w:r>
    </w:p>
    <w:p>
      <w:pPr>
        <w:ind w:left="440" w:right="300" w:hanging="440"/>
        <w:spacing w:after="0" w:line="267"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TI’s ability to successfully integrate and realize opportunities for growth from acquisitions, or our ability to realize our expectations regarding the amount and timing of restructuring charges and associated cost savings; and</w:t>
      </w:r>
    </w:p>
    <w:p>
      <w:pPr>
        <w:ind w:left="440" w:hanging="440"/>
        <w:spacing w:after="0"/>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Impairments of TI’s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480695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2" w:right="239" w:bottom="1440" w:gutter="0" w:footer="0" w:header="0"/>
        </w:sectPr>
      </w:pPr>
    </w:p>
    <w:bookmarkStart w:id="5" w:name="page6"/>
    <w:bookmarkEnd w:id="5"/>
    <w:p>
      <w:pPr>
        <w:ind w:left="10820"/>
        <w:spacing w:after="0"/>
        <w:rPr>
          <w:sz w:val="20"/>
          <w:szCs w:val="20"/>
          <w:color w:val="auto"/>
        </w:rPr>
      </w:pPr>
      <w:r>
        <w:rPr>
          <w:rFonts w:ascii="Arial" w:cs="Arial" w:eastAsia="Arial" w:hAnsi="Arial"/>
          <w:sz w:val="18"/>
          <w:szCs w:val="18"/>
          <w:b w:val="1"/>
          <w:bCs w:val="1"/>
          <w:color w:val="auto"/>
        </w:rPr>
        <w:t>Page 3</w:t>
      </w:r>
    </w:p>
    <w:p>
      <w:pPr>
        <w:spacing w:after="0" w:line="259"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Texas Instruments</w:t>
      </w:r>
    </w:p>
    <w:p>
      <w:pPr>
        <w:spacing w:after="0" w:line="212"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21"/>
          <w:szCs w:val="21"/>
          <w:u w:val="single" w:color="auto"/>
          <w:color w:val="auto"/>
        </w:rPr>
        <w:t>www.ti.com</w:t>
      </w:r>
      <w:r>
        <w:rPr>
          <w:rFonts w:ascii="Arial" w:cs="Arial" w:eastAsia="Arial" w:hAnsi="Arial"/>
          <w:sz w:val="21"/>
          <w:szCs w:val="21"/>
          <w:color w:val="auto"/>
        </w:rPr>
        <w:t>.</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2019-12-29T04:17:12Z</dcterms:created>
  <dcterms:modified xsi:type="dcterms:W3CDTF">2019-12-29T04:17:12Z</dcterms:modified>
</cp:coreProperties>
</file>