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DATE OF REPORT (DATE OF EARLIEST EVENT REPORTED): July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5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(Exact name of registrant as specified in charter)</w:t>
            </w:r>
          </w:p>
        </w:tc>
        <w:tc>
          <w:tcPr>
            <w:tcW w:w="1440" w:type="dxa"/>
            <w:vAlign w:val="bottom"/>
          </w:tcPr>
          <w:p>
            <w:pPr>
              <w:spacing w:after="0"/>
              <w:rPr>
                <w:sz w:val="19"/>
                <w:szCs w:val="19"/>
                <w:color w:val="auto"/>
              </w:rPr>
            </w:pPr>
          </w:p>
        </w:tc>
      </w:tr>
      <w:tr>
        <w:trPr>
          <w:trHeight w:val="158"/>
        </w:trPr>
        <w:tc>
          <w:tcPr>
            <w:tcW w:w="1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5"/>
        </w:trPr>
        <w:tc>
          <w:tcPr>
            <w:tcW w:w="1780" w:type="dxa"/>
            <w:vAlign w:val="bottom"/>
          </w:tcPr>
          <w:p>
            <w:pPr>
              <w:jc w:val="center"/>
              <w:ind w:right="186"/>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gridSpan w:val="2"/>
          </w:tcPr>
          <w:p>
            <w:pPr>
              <w:ind w:left="2500"/>
              <w:spacing w:after="0"/>
              <w:rPr>
                <w:sz w:val="20"/>
                <w:szCs w:val="20"/>
                <w:color w:val="auto"/>
              </w:rPr>
            </w:pPr>
            <w:r>
              <w:rPr>
                <w:rFonts w:ascii="Arial" w:cs="Arial" w:eastAsia="Arial" w:hAnsi="Arial"/>
                <w:sz w:val="18"/>
                <w:szCs w:val="18"/>
                <w:b w:val="1"/>
                <w:bCs w:val="1"/>
                <w:color w:val="auto"/>
              </w:rPr>
              <w:t>001-03761</w:t>
            </w:r>
          </w:p>
        </w:tc>
        <w:tc>
          <w:tcPr>
            <w:tcW w:w="1760" w:type="dxa"/>
            <w:vAlign w:val="bottom"/>
          </w:tcPr>
          <w:p>
            <w:pPr>
              <w:spacing w:after="0"/>
              <w:rPr>
                <w:sz w:val="24"/>
                <w:szCs w:val="24"/>
                <w:color w:val="auto"/>
              </w:rPr>
            </w:pPr>
          </w:p>
        </w:tc>
        <w:tc>
          <w:tcPr>
            <w:tcW w:w="1440" w:type="dxa"/>
            <w:vAlign w:val="bottom"/>
          </w:tcPr>
          <w:p>
            <w:pPr>
              <w:jc w:val="center"/>
              <w:ind w:left="36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178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560" w:type="dxa"/>
            <w:vAlign w:val="bottom"/>
          </w:tcPr>
          <w:p>
            <w:pPr>
              <w:spacing w:after="0"/>
              <w:rPr>
                <w:sz w:val="12"/>
                <w:szCs w:val="12"/>
                <w:color w:val="auto"/>
              </w:rPr>
            </w:pPr>
          </w:p>
        </w:tc>
        <w:tc>
          <w:tcPr>
            <w:tcW w:w="4140" w:type="dxa"/>
            <w:vAlign w:val="bottom"/>
            <w:gridSpan w:val="2"/>
          </w:tcPr>
          <w:p>
            <w:pPr>
              <w:ind w:left="940"/>
              <w:spacing w:after="0" w:line="149" w:lineRule="exact"/>
              <w:rPr>
                <w:sz w:val="20"/>
                <w:szCs w:val="20"/>
                <w:color w:val="auto"/>
              </w:rPr>
            </w:pPr>
            <w:r>
              <w:rPr>
                <w:rFonts w:ascii="Arial" w:cs="Arial" w:eastAsia="Arial" w:hAnsi="Arial"/>
                <w:sz w:val="14"/>
                <w:szCs w:val="14"/>
                <w:b w:val="1"/>
                <w:bCs w:val="1"/>
                <w:color w:val="auto"/>
              </w:rPr>
              <w:t>(Commission</w:t>
            </w:r>
          </w:p>
        </w:tc>
        <w:tc>
          <w:tcPr>
            <w:tcW w:w="144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780" w:type="dxa"/>
            <w:vAlign w:val="bottom"/>
          </w:tcPr>
          <w:p>
            <w:pPr>
              <w:jc w:val="center"/>
              <w:ind w:right="166"/>
              <w:spacing w:after="0"/>
              <w:rPr>
                <w:sz w:val="20"/>
                <w:szCs w:val="20"/>
                <w:color w:val="auto"/>
              </w:rPr>
            </w:pPr>
            <w:r>
              <w:rPr>
                <w:rFonts w:ascii="Arial" w:cs="Arial" w:eastAsia="Arial" w:hAnsi="Arial"/>
                <w:sz w:val="14"/>
                <w:szCs w:val="14"/>
                <w:b w:val="1"/>
                <w:bCs w:val="1"/>
                <w:color w:val="auto"/>
                <w:w w:val="87"/>
              </w:rPr>
              <w:t>of incorporation)</w:t>
            </w:r>
          </w:p>
        </w:tc>
        <w:tc>
          <w:tcPr>
            <w:tcW w:w="1560" w:type="dxa"/>
            <w:vAlign w:val="bottom"/>
          </w:tcPr>
          <w:p>
            <w:pPr>
              <w:spacing w:after="0"/>
              <w:rPr>
                <w:sz w:val="15"/>
                <w:szCs w:val="15"/>
                <w:color w:val="auto"/>
              </w:rPr>
            </w:pPr>
          </w:p>
        </w:tc>
        <w:tc>
          <w:tcPr>
            <w:tcW w:w="4140" w:type="dxa"/>
            <w:vAlign w:val="bottom"/>
            <w:gridSpan w:val="2"/>
          </w:tcPr>
          <w:p>
            <w:pPr>
              <w:ind w:left="960"/>
              <w:spacing w:after="0"/>
              <w:rPr>
                <w:sz w:val="20"/>
                <w:szCs w:val="20"/>
                <w:color w:val="auto"/>
              </w:rPr>
            </w:pPr>
            <w:r>
              <w:rPr>
                <w:rFonts w:ascii="Arial" w:cs="Arial" w:eastAsia="Arial" w:hAnsi="Arial"/>
                <w:sz w:val="14"/>
                <w:szCs w:val="14"/>
                <w:b w:val="1"/>
                <w:bCs w:val="1"/>
                <w:color w:val="auto"/>
              </w:rPr>
              <w:t>file number)</w:t>
            </w:r>
          </w:p>
        </w:tc>
        <w:tc>
          <w:tcPr>
            <w:tcW w:w="1440" w:type="dxa"/>
            <w:vAlign w:val="bottom"/>
          </w:tcPr>
          <w:p>
            <w:pPr>
              <w:jc w:val="center"/>
              <w:ind w:left="346"/>
              <w:spacing w:after="0"/>
              <w:rPr>
                <w:sz w:val="20"/>
                <w:szCs w:val="20"/>
                <w:color w:val="auto"/>
              </w:rPr>
            </w:pPr>
            <w:r>
              <w:rPr>
                <w:rFonts w:ascii="Arial" w:cs="Arial" w:eastAsia="Arial" w:hAnsi="Arial"/>
                <w:sz w:val="14"/>
                <w:szCs w:val="14"/>
                <w:b w:val="1"/>
                <w:bCs w:val="1"/>
                <w:color w:val="auto"/>
                <w:w w:val="87"/>
              </w:rPr>
              <w:t>identification no.)</w:t>
            </w:r>
          </w:p>
        </w:tc>
      </w:tr>
      <w:tr>
        <w:trPr>
          <w:trHeight w:val="364"/>
        </w:trPr>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5"/>
              </w:rPr>
              <w:t>12500 TI BOULEVARD</w:t>
            </w:r>
          </w:p>
        </w:tc>
        <w:tc>
          <w:tcPr>
            <w:tcW w:w="144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89"/>
              </w:rPr>
              <w:t>P.O. BOX 660199</w:t>
            </w:r>
          </w:p>
        </w:tc>
        <w:tc>
          <w:tcPr>
            <w:tcW w:w="1440" w:type="dxa"/>
            <w:vAlign w:val="bottom"/>
          </w:tcPr>
          <w:p>
            <w:pPr>
              <w:spacing w:after="0"/>
              <w:rPr>
                <w:sz w:val="18"/>
                <w:szCs w:val="18"/>
                <w:color w:val="auto"/>
              </w:rPr>
            </w:pPr>
          </w:p>
        </w:tc>
      </w:tr>
      <w:tr>
        <w:trPr>
          <w:trHeight w:val="218"/>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3"/>
              </w:rPr>
              <w:t>DALLAS, TEXAS 75266-0199</w:t>
            </w:r>
          </w:p>
        </w:tc>
        <w:tc>
          <w:tcPr>
            <w:tcW w:w="1440" w:type="dxa"/>
            <w:vAlign w:val="bottom"/>
          </w:tcPr>
          <w:p>
            <w:pPr>
              <w:spacing w:after="0"/>
              <w:rPr>
                <w:sz w:val="18"/>
                <w:szCs w:val="18"/>
                <w:color w:val="auto"/>
              </w:rPr>
            </w:pPr>
          </w:p>
        </w:tc>
      </w:tr>
      <w:tr>
        <w:trPr>
          <w:trHeight w:val="174"/>
        </w:trPr>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40" w:type="dxa"/>
            <w:vAlign w:val="bottom"/>
          </w:tcPr>
          <w:p>
            <w:pPr>
              <w:spacing w:after="0"/>
              <w:rPr>
                <w:sz w:val="15"/>
                <w:szCs w:val="15"/>
                <w:color w:val="auto"/>
              </w:rPr>
            </w:pPr>
          </w:p>
        </w:tc>
      </w:tr>
      <w:tr>
        <w:trPr>
          <w:trHeight w:val="363"/>
        </w:trPr>
        <w:tc>
          <w:tcPr>
            <w:tcW w:w="1780" w:type="dxa"/>
            <w:vAlign w:val="bottom"/>
          </w:tcPr>
          <w:p>
            <w:pPr>
              <w:spacing w:after="0"/>
              <w:rPr>
                <w:sz w:val="24"/>
                <w:szCs w:val="24"/>
                <w:color w:val="auto"/>
              </w:rPr>
            </w:pPr>
          </w:p>
        </w:tc>
        <w:tc>
          <w:tcPr>
            <w:tcW w:w="5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Registrant’s telephone number, including area code: (972) 995-3773</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w:t>
      </w:r>
      <w:r>
        <w:rPr>
          <w:rFonts w:ascii="Arial" w:cs="Arial" w:eastAsia="Arial" w:hAnsi="Arial"/>
          <w:sz w:val="18"/>
          <w:szCs w:val="18"/>
          <w:color w:val="auto"/>
        </w:rPr>
        <w:t>1.5</w:t>
      </w:r>
      <w:r>
        <w:rPr>
          <w:rFonts w:ascii="Arial" w:cs="Arial" w:eastAsia="Arial" w:hAnsi="Arial"/>
          <w:sz w:val="18"/>
          <w:szCs w:val="18"/>
          <w:i w:val="1"/>
          <w:iCs w:val="1"/>
          <w:color w:val="auto"/>
        </w:rPr>
        <w:t xml:space="preserve"> Billion of Notes</w:t>
      </w:r>
    </w:p>
    <w:p>
      <w:pPr>
        <w:spacing w:after="0" w:line="90"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On August 6, 2012, Texas Instruments Incorporated (“Texas Instruments”) expects to consummate the issuance and sale of $750,000,000 aggregate principal amount of its 0.450% Notes due 2015 and $750,000,000 aggregate principal amount of its 1.650% Notes due 2019 (all together, the “Notes”), pursuant to an underwriting agreement filed herewith as Exhibit 4.1 dated July 30, 2012 among Texas Instruments and Citigroup Global Markets Inc., J.P. Morgan Securities LLC and Morgan Stanley &amp; Co. LLC, as representatives of the several underwriters named therein. The Notes will be issued pursuant to an Indenture dated as of May 23, 2011 (the “Indenture”) between Texas Instruments and U.S. Bank National Association, as trustee, and an officer’s certificate issued pursuant thereto.</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are being offered pursuant to Texas Instruments’ Registration Statement on Form S-3 filed on February 24, 2010 (Reg. No. 333-165045), including the prospectus contained therein (the “Registration Statement”), and a related preliminary prospectus supplement dated July 30, 2012 and a prospectus supplement dated July 30, 2012.</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material terms and conditions of the Notes are set forth in the Indenture filed as Exhibit 4.2 to the Current Report of Texas Instruments on Form 8-K dated May 23, 2011 and the Officer’s Certificate filed herewith as Exhibit 4.2 and incorporated by reference herein.</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560" w:type="dxa"/>
            <w:vAlign w:val="bottom"/>
          </w:tcPr>
          <w:p>
            <w:pPr>
              <w:spacing w:after="0"/>
              <w:rPr>
                <w:sz w:val="14"/>
                <w:szCs w:val="14"/>
                <w:color w:val="auto"/>
              </w:rPr>
            </w:pPr>
          </w:p>
        </w:tc>
        <w:tc>
          <w:tcPr>
            <w:tcW w:w="10440" w:type="dxa"/>
            <w:vAlign w:val="bottom"/>
          </w:tcPr>
          <w:p>
            <w:pPr>
              <w:spacing w:after="0"/>
              <w:rPr>
                <w:sz w:val="14"/>
                <w:szCs w:val="14"/>
                <w:color w:val="auto"/>
              </w:rPr>
            </w:pPr>
          </w:p>
        </w:tc>
      </w:tr>
      <w:tr>
        <w:trPr>
          <w:trHeight w:val="166"/>
        </w:trPr>
        <w:tc>
          <w:tcPr>
            <w:tcW w:w="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10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Description</w:t>
            </w:r>
          </w:p>
        </w:tc>
      </w:tr>
      <w:tr>
        <w:trPr>
          <w:trHeight w:val="302"/>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w w:val="91"/>
              </w:rPr>
              <w:t>Underwriting Agreement, dated July 30, 2012, among the Company and Citigroup Global Markets Inc., J.P. Morgan Securities LLC and Morgan</w:t>
            </w:r>
          </w:p>
        </w:tc>
      </w:tr>
      <w:tr>
        <w:trPr>
          <w:trHeight w:val="222"/>
        </w:trPr>
        <w:tc>
          <w:tcPr>
            <w:tcW w:w="420" w:type="dxa"/>
            <w:vAlign w:val="bottom"/>
          </w:tcPr>
          <w:p>
            <w:pPr>
              <w:spacing w:after="0"/>
              <w:rPr>
                <w:sz w:val="19"/>
                <w:szCs w:val="19"/>
                <w:color w:val="auto"/>
              </w:rPr>
            </w:pP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Stanley &amp; Co. LLC, as representatives of the several underwriters named in Schedule II therein</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Officer’s Certificate setting forth the terms of the Notes</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5.1</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23.1</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Consent of Davis Polk &amp; Wardwell LLP (contained in Exhibit 5.1)</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TEXAS INSTRUMENTS INCORPORATED</w:t>
            </w:r>
          </w:p>
        </w:tc>
      </w:tr>
      <w:tr>
        <w:trPr>
          <w:trHeight w:val="433"/>
        </w:trPr>
        <w:tc>
          <w:tcPr>
            <w:tcW w:w="3540" w:type="dxa"/>
            <w:vAlign w:val="bottom"/>
          </w:tcPr>
          <w:p>
            <w:pPr>
              <w:spacing w:after="0"/>
              <w:rPr>
                <w:sz w:val="20"/>
                <w:szCs w:val="20"/>
                <w:color w:val="auto"/>
              </w:rPr>
            </w:pPr>
            <w:r>
              <w:rPr>
                <w:rFonts w:ascii="Arial" w:cs="Arial" w:eastAsia="Arial" w:hAnsi="Arial"/>
                <w:sz w:val="18"/>
                <w:szCs w:val="18"/>
                <w:color w:val="auto"/>
              </w:rPr>
              <w:t>Date: August 6, 2012</w:t>
            </w:r>
          </w:p>
        </w:tc>
        <w:tc>
          <w:tcPr>
            <w:tcW w:w="7880" w:type="dxa"/>
            <w:vAlign w:val="bottom"/>
            <w:gridSpan w:val="2"/>
          </w:tcPr>
          <w:p>
            <w:pPr>
              <w:ind w:left="2040"/>
              <w:spacing w:after="0"/>
              <w:rPr>
                <w:sz w:val="20"/>
                <w:szCs w:val="20"/>
                <w:color w:val="auto"/>
              </w:rPr>
            </w:pPr>
            <w:r>
              <w:rPr>
                <w:rFonts w:ascii="Arial" w:cs="Arial" w:eastAsia="Arial" w:hAnsi="Arial"/>
                <w:sz w:val="18"/>
                <w:szCs w:val="18"/>
                <w:color w:val="auto"/>
              </w:rPr>
              <w:t>By: /s/ Joseph F. Hubach</w:t>
            </w:r>
          </w:p>
        </w:tc>
      </w:tr>
      <w:tr>
        <w:trPr>
          <w:trHeight w:val="202"/>
        </w:trPr>
        <w:tc>
          <w:tcPr>
            <w:tcW w:w="3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Joseph F. Hubach</w:t>
            </w:r>
          </w:p>
        </w:tc>
      </w:tr>
      <w:tr>
        <w:trPr>
          <w:trHeight w:val="222"/>
        </w:trPr>
        <w:tc>
          <w:tcPr>
            <w:tcW w:w="3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Senior Vice President, Secretary and General Counsel</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w:t>
      </w:r>
    </w:p>
    <w:p>
      <w:pPr>
        <w:spacing w:after="0" w:line="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$750,000,000 principal amount of the 0.450% Notes due 2015 and $750,000,000 principal amount of the 1.650% Notes due 2019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 The Offered Securities will be issued pursuant to the Indenture, dated as of May 23, 2011, between the Company and U.S. Bank National Association, as trustee.</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3:15 p.m. (New York time) on the date hereof.</w:t>
      </w:r>
    </w:p>
    <w:p>
      <w:pPr>
        <w:spacing w:after="0" w:line="107"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August 6, 2012, or at such other time, not later than August 13, 2012, as shall be designated by the Manager.</w:t>
      </w:r>
    </w:p>
    <w:p>
      <w:pPr>
        <w:spacing w:after="0" w:line="9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July 30, 2012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Citigroup Global Markets Inc., J.P. Morgan Securities LLC and Morgan Stanley &amp; Co. LLC, whose authority hereunder may be exercised by them jointly, (v) clause (c) of the second paragraph of the Standard Provisions shall be deleted and replaced in its entirety with the</w:t>
      </w:r>
    </w:p>
    <w:p>
      <w:pPr>
        <w:sectPr>
          <w:pgSz w:w="11900" w:h="16838" w:orient="portrait"/>
          <w:cols w:equalWidth="0" w:num="1">
            <w:col w:w="11420"/>
          </w:cols>
          <w:pgMar w:left="240" w:top="125" w:right="239" w:bottom="1440" w:gutter="0" w:footer="0" w:header="0"/>
        </w:sectPr>
      </w:pPr>
    </w:p>
    <w:bookmarkStart w:id="5" w:name="page6"/>
    <w:bookmarkEnd w:id="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text: “certain of its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issuable under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entered into by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(vi) section III(c)(vii) shall be deleted and replaced in its entirety with the following text: “the statements in the Time of Sale Prospectus under “Material U.S. Federal Income Tax Consequences” and “Underwriting” relating to legal matters fairly summarize in all material respects such legal matters”, (vii) a new section III(c)(xii) shall be added, containing the following text: “the execution, delivery and performance of this Agreement, the Indenture and the Offered Securities will not contravene any provision of applicable law”, (viii) immediately before the period ending the last sentence of the second paragraph of Section VI, the following text shall be inserted: “, it being understood and agreed that the only such information furnished by any Underwriter consists of the information described as such in Schedule IV to the Underwriting Agreement”, (ix) in Section VIII(a)(i), the phrase “the NASDAQ Global Market” shall be deleted and replaced in its entirety by the phrase “The NASDAQ Stock Market” and (x) in Section VIII(a)(ii), the phrase “the New York Stock Exchange” shall be deleted and replaced in its entirety by the phrase “The NASDAQ Stock Market”.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several Underwriters listed in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Schedule II hereto</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Jack D. McSpadden,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Jack D. McSpadden, Jr.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Managing Director</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Robert Bottamedi</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Yurij Slyz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Yurij Slyz</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Executive Director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Vice President and Treasurer</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99"/>
              </w:rPr>
              <w:t>SCHEDULE I</w:t>
            </w:r>
          </w:p>
        </w:tc>
      </w:tr>
      <w:tr>
        <w:trPr>
          <w:trHeight w:val="228"/>
        </w:trPr>
        <w:tc>
          <w:tcPr>
            <w:tcW w:w="3340" w:type="dxa"/>
            <w:vAlign w:val="bottom"/>
          </w:tcPr>
          <w:p>
            <w:pPr>
              <w:spacing w:after="0"/>
              <w:rPr>
                <w:sz w:val="19"/>
                <w:szCs w:val="19"/>
                <w:color w:val="auto"/>
              </w:rPr>
            </w:pPr>
          </w:p>
        </w:tc>
        <w:tc>
          <w:tcPr>
            <w:tcW w:w="7500" w:type="dxa"/>
            <w:vAlign w:val="bottom"/>
            <w:gridSpan w:val="3"/>
          </w:tcPr>
          <w:p>
            <w:pPr>
              <w:jc w:val="center"/>
              <w:ind w:right="2740"/>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297"/>
        </w:trPr>
        <w:tc>
          <w:tcPr>
            <w:tcW w:w="3340" w:type="dxa"/>
            <w:vAlign w:val="bottom"/>
          </w:tcPr>
          <w:p>
            <w:pPr>
              <w:spacing w:after="0"/>
              <w:rPr>
                <w:sz w:val="24"/>
                <w:szCs w:val="24"/>
                <w:color w:val="auto"/>
              </w:rPr>
            </w:pPr>
          </w:p>
        </w:tc>
        <w:tc>
          <w:tcPr>
            <w:tcW w:w="750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7"/>
              </w:rPr>
              <w:t>TEXAS INSTRUMENTS INCORPORATED</w:t>
            </w:r>
          </w:p>
        </w:tc>
      </w:tr>
      <w:tr>
        <w:trPr>
          <w:trHeight w:val="297"/>
        </w:trPr>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96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87"/>
              </w:rPr>
              <w:t>Pricing Term Sheet</w:t>
            </w:r>
          </w:p>
        </w:tc>
      </w:tr>
      <w:tr>
        <w:trPr>
          <w:trHeight w:val="259"/>
        </w:trPr>
        <w:tc>
          <w:tcPr>
            <w:tcW w:w="3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w:t>
            </w:r>
            <w:r>
              <w:rPr>
                <w:rFonts w:ascii="Arial" w:cs="Arial" w:eastAsia="Arial" w:hAnsi="Arial"/>
                <w:sz w:val="18"/>
                <w:szCs w:val="18"/>
                <w:u w:val="single" w:color="auto"/>
                <w:color w:val="auto"/>
                <w:w w:val="86"/>
              </w:rPr>
              <w:t>450%</w:t>
            </w:r>
            <w:r>
              <w:rPr>
                <w:rFonts w:ascii="Arial" w:cs="Arial" w:eastAsia="Arial" w:hAnsi="Arial"/>
                <w:sz w:val="18"/>
                <w:szCs w:val="18"/>
                <w:color w:val="auto"/>
                <w:w w:val="86"/>
              </w:rPr>
              <w:t xml:space="preserve"> Notes due 2015</w:t>
            </w:r>
          </w:p>
        </w:tc>
        <w:tc>
          <w:tcPr>
            <w:tcW w:w="4280" w:type="dxa"/>
            <w:vAlign w:val="bottom"/>
          </w:tcPr>
          <w:p>
            <w:pPr>
              <w:spacing w:after="0"/>
              <w:rPr>
                <w:sz w:val="22"/>
                <w:szCs w:val="22"/>
                <w:color w:val="auto"/>
              </w:rPr>
            </w:pPr>
          </w:p>
        </w:tc>
      </w:tr>
      <w:tr>
        <w:trPr>
          <w:trHeight w:val="431"/>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1540" w:type="dxa"/>
            <w:vAlign w:val="bottom"/>
          </w:tcPr>
          <w:p>
            <w:pPr>
              <w:spacing w:after="0"/>
              <w:rPr>
                <w:sz w:val="24"/>
                <w:szCs w:val="24"/>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Texas Instruments Incorporated (“TI”)</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$750,000,000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Maturity:</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3, 2015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0.450%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99.547% of principal amount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87"/>
              </w:rPr>
              <w:t>February 3 and August 3 beginning on February 3, 2013, and on the</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maturity date.</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Day Count Convention:</w:t>
            </w:r>
          </w:p>
        </w:tc>
        <w:tc>
          <w:tcPr>
            <w:tcW w:w="3220" w:type="dxa"/>
            <w:vAlign w:val="bottom"/>
            <w:gridSpan w:val="2"/>
          </w:tcPr>
          <w:p>
            <w:pPr>
              <w:ind w:left="2720"/>
              <w:spacing w:after="0"/>
              <w:rPr>
                <w:sz w:val="20"/>
                <w:szCs w:val="20"/>
                <w:color w:val="auto"/>
              </w:rPr>
            </w:pPr>
            <w:r>
              <w:rPr>
                <w:rFonts w:ascii="Arial" w:cs="Arial" w:eastAsia="Arial" w:hAnsi="Arial"/>
                <w:sz w:val="18"/>
                <w:szCs w:val="18"/>
                <w:color w:val="auto"/>
                <w:w w:val="87"/>
              </w:rPr>
              <w:t>30/360</w:t>
            </w:r>
          </w:p>
        </w:tc>
        <w:tc>
          <w:tcPr>
            <w:tcW w:w="428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$744,727,500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0.250% due July 15, 2015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30 basis points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0.603%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500" w:type="dxa"/>
            <w:vAlign w:val="bottom"/>
            <w:gridSpan w:val="3"/>
          </w:tcPr>
          <w:p>
            <w:pPr>
              <w:ind w:left="2720"/>
              <w:spacing w:after="0"/>
              <w:rPr>
                <w:sz w:val="20"/>
                <w:szCs w:val="20"/>
                <w:color w:val="auto"/>
              </w:rPr>
            </w:pPr>
            <w:r>
              <w:rPr>
                <w:rFonts w:ascii="Arial" w:cs="Arial" w:eastAsia="Arial" w:hAnsi="Arial"/>
                <w:sz w:val="18"/>
                <w:szCs w:val="18"/>
                <w:color w:val="auto"/>
              </w:rPr>
              <w:t>99-27; 0.303%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Make-Whole Call:</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98"/>
              </w:rPr>
              <w:t>At any time at a discount rate of Treasury plus 5 basis points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July 30, 2012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6, 2012 (T+5)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Denominations:</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$2,000 and multiples of $1,000 thereafter</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CUSIP/ISIN:</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882508AT1 / US882508AT13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Ratings:</w:t>
            </w: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Moody’s: A1 (stable outlook)</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S&amp;P: A+ (stable outlook)</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Fitch: A+ (negative outlook)</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54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J.P. Morgan Securities LLC</w:t>
            </w:r>
          </w:p>
        </w:tc>
      </w:t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Morgan Stanley &amp; Co. LLC</w:t>
            </w:r>
          </w:p>
        </w:tc>
      </w:tr>
      <w:tr>
        <w:trPr>
          <w:trHeight w:val="222"/>
        </w:trPr>
        <w:tc>
          <w:tcPr>
            <w:tcW w:w="3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Mizuho Securities USA Inc.</w:t>
            </w:r>
          </w:p>
        </w:tc>
      </w:tr>
      <w:tr>
        <w:trPr>
          <w:trHeight w:val="378"/>
        </w:trPr>
        <w:tc>
          <w:tcPr>
            <w:tcW w:w="3340" w:type="dxa"/>
            <w:vAlign w:val="bottom"/>
          </w:tcPr>
          <w:p>
            <w:pPr>
              <w:spacing w:after="0"/>
              <w:rPr>
                <w:sz w:val="24"/>
                <w:szCs w:val="24"/>
                <w:color w:val="auto"/>
              </w:rPr>
            </w:pPr>
          </w:p>
        </w:tc>
        <w:tc>
          <w:tcPr>
            <w:tcW w:w="322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5</w:t>
            </w:r>
          </w:p>
        </w:tc>
        <w:tc>
          <w:tcPr>
            <w:tcW w:w="4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40"/>
          </w:cols>
          <w:pgMar w:left="240" w:top="274" w:right="8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1.</w:t>
            </w:r>
            <w:r>
              <w:rPr>
                <w:rFonts w:ascii="Arial" w:cs="Arial" w:eastAsia="Arial" w:hAnsi="Arial"/>
                <w:sz w:val="18"/>
                <w:szCs w:val="18"/>
                <w:u w:val="single" w:color="auto"/>
                <w:color w:val="auto"/>
                <w:w w:val="85"/>
              </w:rPr>
              <w:t>650%</w:t>
            </w:r>
            <w:r>
              <w:rPr>
                <w:rFonts w:ascii="Arial" w:cs="Arial" w:eastAsia="Arial" w:hAnsi="Arial"/>
                <w:sz w:val="18"/>
                <w:szCs w:val="18"/>
                <w:color w:val="auto"/>
                <w:w w:val="85"/>
              </w:rPr>
              <w:t xml:space="preserve"> Notes due 2019</w:t>
            </w:r>
          </w:p>
        </w:tc>
        <w:tc>
          <w:tcPr>
            <w:tcW w:w="4280" w:type="dxa"/>
            <w:vAlign w:val="bottom"/>
          </w:tcPr>
          <w:p>
            <w:pPr>
              <w:spacing w:after="0"/>
              <w:rPr>
                <w:sz w:val="17"/>
                <w:szCs w:val="17"/>
                <w:color w:val="auto"/>
              </w:rPr>
            </w:pPr>
          </w:p>
        </w:tc>
      </w:tr>
      <w:tr>
        <w:trPr>
          <w:trHeight w:val="431"/>
        </w:trPr>
        <w:tc>
          <w:tcPr>
            <w:tcW w:w="4880" w:type="dxa"/>
            <w:vAlign w:val="bottom"/>
          </w:tcPr>
          <w:p>
            <w:pPr>
              <w:spacing w:after="0"/>
              <w:rPr>
                <w:sz w:val="20"/>
                <w:szCs w:val="20"/>
                <w:color w:val="auto"/>
              </w:rPr>
            </w:pPr>
            <w:r>
              <w:rPr>
                <w:rFonts w:ascii="Arial" w:cs="Arial" w:eastAsia="Arial" w:hAnsi="Arial"/>
                <w:sz w:val="18"/>
                <w:szCs w:val="18"/>
                <w:color w:val="auto"/>
              </w:rPr>
              <w:t>Issuer:</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Texas Instruments Incorporated (“TI”)</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Principal Amount:</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$750,000,000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Maturity: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3, 2019</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Coupon:</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1.650%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Price to Public:</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99.390% of principal amount</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87"/>
              </w:rPr>
              <w:t>February 3 and August 3 beginning on February 3, 2013, and on the</w:t>
            </w:r>
          </w:p>
        </w:tc>
      </w:tr>
      <w:tr>
        <w:trPr>
          <w:trHeight w:val="216"/>
        </w:trPr>
        <w:tc>
          <w:tcPr>
            <w:tcW w:w="488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maturity date.</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Day Count Convention:</w:t>
            </w:r>
          </w:p>
        </w:tc>
        <w:tc>
          <w:tcPr>
            <w:tcW w:w="1680" w:type="dxa"/>
            <w:vAlign w:val="bottom"/>
          </w:tcPr>
          <w:p>
            <w:pPr>
              <w:ind w:left="1180"/>
              <w:spacing w:after="0"/>
              <w:rPr>
                <w:sz w:val="20"/>
                <w:szCs w:val="20"/>
                <w:color w:val="auto"/>
              </w:rPr>
            </w:pPr>
            <w:r>
              <w:rPr>
                <w:rFonts w:ascii="Arial" w:cs="Arial" w:eastAsia="Arial" w:hAnsi="Arial"/>
                <w:sz w:val="18"/>
                <w:szCs w:val="18"/>
                <w:color w:val="auto"/>
                <w:w w:val="87"/>
              </w:rPr>
              <w:t>30/360</w:t>
            </w:r>
          </w:p>
        </w:tc>
        <w:tc>
          <w:tcPr>
            <w:tcW w:w="4280" w:type="dxa"/>
            <w:vAlign w:val="bottom"/>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$742,425,000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Benchmark Treasury: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0.875% due July 31, 2019</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75 basis points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Yield to Maturity:</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1.743%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99-06+; 0.993%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Make-Whole Call:</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w w:val="93"/>
              </w:rPr>
              <w:t>At any time at a discount rate of Treasury plus 12.5 basis points</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Trade Date:</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July 30, 2012</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Settlement Date:</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August 6, 2012 (T+5)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Denominations: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$2,000 and multiples of $1,000 thereafter</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CUSIP/ISIN:</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882508AU8 / US882508AU85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Ratings: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Moody’s: A1 (stable outlook)</w:t>
            </w:r>
          </w:p>
        </w:tc>
      </w:tr>
      <w:tr>
        <w:trPr>
          <w:trHeight w:val="216"/>
        </w:trPr>
        <w:tc>
          <w:tcPr>
            <w:tcW w:w="488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S&amp;P: A+ (stable outlook)</w:t>
            </w:r>
          </w:p>
        </w:tc>
      </w:tr>
      <w:tr>
        <w:trPr>
          <w:trHeight w:val="222"/>
        </w:trPr>
        <w:tc>
          <w:tcPr>
            <w:tcW w:w="488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Fitch: A+ (negative outlook)</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488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J.P. Morgan Securities LLC</w:t>
            </w:r>
          </w:p>
        </w:tc>
      </w:tr>
      <w:tr>
        <w:trPr>
          <w:trHeight w:val="216"/>
        </w:trPr>
        <w:tc>
          <w:tcPr>
            <w:tcW w:w="4880" w:type="dxa"/>
            <w:vAlign w:val="bottom"/>
          </w:tcPr>
          <w:p>
            <w:pPr>
              <w:spacing w:after="0"/>
              <w:rPr>
                <w:sz w:val="18"/>
                <w:szCs w:val="18"/>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Morgan Stanley &amp; Co. LLC</w:t>
            </w:r>
          </w:p>
        </w:tc>
      </w:tr>
      <w:tr>
        <w:trPr>
          <w:trHeight w:val="222"/>
        </w:trPr>
        <w:tc>
          <w:tcPr>
            <w:tcW w:w="4880" w:type="dxa"/>
            <w:vAlign w:val="bottom"/>
          </w:tcPr>
          <w:p>
            <w:pPr>
              <w:spacing w:after="0"/>
              <w:rPr>
                <w:sz w:val="19"/>
                <w:szCs w:val="19"/>
                <w:color w:val="auto"/>
              </w:rPr>
            </w:pPr>
          </w:p>
        </w:tc>
        <w:tc>
          <w:tcPr>
            <w:tcW w:w="5960" w:type="dxa"/>
            <w:vAlign w:val="bottom"/>
            <w:gridSpan w:val="2"/>
          </w:tcPr>
          <w:p>
            <w:pPr>
              <w:ind w:left="1180"/>
              <w:spacing w:after="0"/>
              <w:rPr>
                <w:sz w:val="20"/>
                <w:szCs w:val="20"/>
                <w:color w:val="auto"/>
              </w:rPr>
            </w:pPr>
            <w:r>
              <w:rPr>
                <w:rFonts w:ascii="Arial" w:cs="Arial" w:eastAsia="Arial" w:hAnsi="Arial"/>
                <w:sz w:val="18"/>
                <w:szCs w:val="18"/>
                <w:color w:val="auto"/>
              </w:rPr>
              <w:t>Mizuho Securities USA Inc.</w:t>
            </w:r>
          </w:p>
        </w:tc>
      </w:tr>
      <w:tr>
        <w:trPr>
          <w:trHeight w:val="378"/>
        </w:trPr>
        <w:tc>
          <w:tcPr>
            <w:tcW w:w="4880" w:type="dxa"/>
            <w:vAlign w:val="bottom"/>
          </w:tcPr>
          <w:p>
            <w:pPr>
              <w:spacing w:after="0"/>
              <w:rPr>
                <w:sz w:val="24"/>
                <w:szCs w:val="24"/>
                <w:color w:val="auto"/>
              </w:rPr>
            </w:pPr>
          </w:p>
        </w:tc>
        <w:tc>
          <w:tcPr>
            <w:tcW w:w="1680" w:type="dxa"/>
            <w:vAlign w:val="bottom"/>
          </w:tcPr>
          <w:p>
            <w:pPr>
              <w:ind w:left="800"/>
              <w:spacing w:after="0"/>
              <w:rPr>
                <w:sz w:val="20"/>
                <w:szCs w:val="20"/>
                <w:color w:val="auto"/>
              </w:rPr>
            </w:pPr>
            <w:r>
              <w:rPr>
                <w:rFonts w:ascii="Arial" w:cs="Arial" w:eastAsia="Arial" w:hAnsi="Arial"/>
                <w:sz w:val="18"/>
                <w:szCs w:val="18"/>
                <w:color w:val="auto"/>
              </w:rPr>
              <w:t>6</w:t>
            </w:r>
          </w:p>
        </w:tc>
        <w:tc>
          <w:tcPr>
            <w:tcW w:w="4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40"/>
          </w:cols>
          <w:pgMar w:left="240" w:top="257" w:right="8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August 6</w:t>
      </w:r>
      <w:r>
        <w:rPr>
          <w:rFonts w:ascii="Arial" w:cs="Arial" w:eastAsia="Arial" w:hAnsi="Arial"/>
          <w:sz w:val="16"/>
          <w:szCs w:val="16"/>
          <w:color w:val="auto"/>
        </w:rPr>
        <w:t>,</w:t>
      </w:r>
      <w:r>
        <w:rPr>
          <w:rFonts w:ascii="Arial" w:cs="Arial" w:eastAsia="Arial" w:hAnsi="Arial"/>
          <w:sz w:val="16"/>
          <w:szCs w:val="16"/>
          <w:b w:val="1"/>
          <w:bCs w:val="1"/>
          <w:color w:val="auto"/>
        </w:rPr>
        <w:t xml:space="preserve"> 2012,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11" w:lineRule="exact"/>
        <w:rPr>
          <w:sz w:val="20"/>
          <w:szCs w:val="20"/>
          <w:color w:val="auto"/>
        </w:rPr>
      </w:pPr>
    </w:p>
    <w:p>
      <w:pPr>
        <w:ind w:right="220"/>
        <w:spacing w:after="0" w:line="316" w:lineRule="auto"/>
        <w:rPr>
          <w:sz w:val="20"/>
          <w:szCs w:val="20"/>
          <w:color w:val="auto"/>
        </w:rPr>
      </w:pPr>
      <w:r>
        <w:rPr>
          <w:rFonts w:ascii="Arial" w:cs="Arial" w:eastAsia="Arial" w:hAnsi="Arial"/>
          <w:sz w:val="15"/>
          <w:szCs w:val="15"/>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1-877-858-5407, J.P. Morgan Securities LLC at 1-212-834-4533 or Morgan Stanley &amp; Co. LLC at 1-866-718-1649.</w:t>
      </w:r>
    </w:p>
    <w:p>
      <w:pPr>
        <w:spacing w:after="0" w:line="96"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UNDERWRITING AGREEMENT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39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450%</w:t>
            </w:r>
            <w:r>
              <w:rPr>
                <w:rFonts w:ascii="Arial" w:cs="Arial" w:eastAsia="Arial" w:hAnsi="Arial"/>
                <w:sz w:val="14"/>
                <w:szCs w:val="14"/>
                <w:b w:val="1"/>
                <w:bCs w:val="1"/>
                <w:color w:val="auto"/>
              </w:rPr>
              <w:t xml:space="preserve"> Notes due 2015</w:t>
            </w:r>
          </w:p>
        </w:tc>
        <w:tc>
          <w:tcPr>
            <w:tcW w:w="42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92"/>
              </w:rPr>
              <w:t>1.</w:t>
            </w:r>
            <w:r>
              <w:rPr>
                <w:rFonts w:ascii="Arial" w:cs="Arial" w:eastAsia="Arial" w:hAnsi="Arial"/>
                <w:sz w:val="14"/>
                <w:szCs w:val="14"/>
                <w:b w:val="1"/>
                <w:bCs w:val="1"/>
                <w:u w:val="single" w:color="auto"/>
                <w:color w:val="auto"/>
                <w:w w:val="92"/>
              </w:rPr>
              <w:t>650%</w:t>
            </w:r>
            <w:r>
              <w:rPr>
                <w:rFonts w:ascii="Arial" w:cs="Arial" w:eastAsia="Arial" w:hAnsi="Arial"/>
                <w:sz w:val="14"/>
                <w:szCs w:val="14"/>
                <w:b w:val="1"/>
                <w:bCs w:val="1"/>
                <w:color w:val="auto"/>
                <w:w w:val="92"/>
              </w:rPr>
              <w:t xml:space="preserve"> Notes due 2019</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240,000,000</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240,000,000</w:t>
            </w:r>
          </w:p>
        </w:tc>
        <w:tc>
          <w:tcPr>
            <w:tcW w:w="4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4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82,500,000</w:t>
            </w:r>
          </w:p>
        </w:tc>
        <w:tc>
          <w:tcPr>
            <w:tcW w:w="4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34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16,701,000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11,931,000</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 Incorporated</w:t>
            </w:r>
          </w:p>
        </w:tc>
        <w:tc>
          <w:tcPr>
            <w:tcW w:w="34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11,931,000</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SMBC Nikko Capital Markets Limited</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11,931,000</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34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11,931,000</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11,931,000</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4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7,161,000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7,161,000</w:t>
            </w:r>
          </w:p>
        </w:tc>
        <w:tc>
          <w:tcPr>
            <w:tcW w:w="4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34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7,161,000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340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7,161,000</w:t>
            </w:r>
          </w:p>
        </w:tc>
        <w:tc>
          <w:tcPr>
            <w:tcW w:w="40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7,161,000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20" w:type="dxa"/>
            <w:vAlign w:val="bottom"/>
            <w:vMerge w:val="restart"/>
          </w:tcPr>
          <w:p>
            <w:pPr>
              <w:jc w:val="right"/>
              <w:ind w:right="1952"/>
              <w:spacing w:after="0"/>
              <w:rPr>
                <w:sz w:val="20"/>
                <w:szCs w:val="20"/>
                <w:color w:val="auto"/>
              </w:rPr>
            </w:pPr>
            <w:r>
              <w:rPr>
                <w:rFonts w:ascii="Arial" w:cs="Arial" w:eastAsia="Arial" w:hAnsi="Arial"/>
                <w:sz w:val="18"/>
                <w:szCs w:val="18"/>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274" w:right="1440" w:bottom="1440" w:gutter="0" w:footer="0" w:header="0"/>
        </w:sectPr>
      </w:pPr>
    </w:p>
    <w:bookmarkStart w:id="13" w:name="page14"/>
    <w:bookmarkEnd w:id="13"/>
    <w:p>
      <w:pPr>
        <w:jc w:val="center"/>
        <w:ind w:right="3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1" w:lineRule="exact"/>
        <w:rPr>
          <w:sz w:val="20"/>
          <w:szCs w:val="20"/>
          <w:color w:val="auto"/>
        </w:rPr>
      </w:pPr>
    </w:p>
    <w:p>
      <w:pPr>
        <w:jc w:val="center"/>
        <w:ind w:right="334"/>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ind w:left="246"/>
        <w:spacing w:after="0"/>
        <w:rPr>
          <w:sz w:val="20"/>
          <w:szCs w:val="20"/>
          <w:color w:val="auto"/>
        </w:rPr>
      </w:pPr>
      <w:r>
        <w:rPr>
          <w:rFonts w:ascii="Arial" w:cs="Arial" w:eastAsia="Arial" w:hAnsi="Arial"/>
          <w:sz w:val="16"/>
          <w:szCs w:val="16"/>
          <w:color w:val="auto"/>
        </w:rPr>
        <w:t>The only information that the Underwriters have furnished to the Company in writing expressly for use in the Prospectus Supplement is:</w:t>
      </w:r>
    </w:p>
    <w:p>
      <w:pPr>
        <w:spacing w:after="0" w:line="113"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third paragraph of text under the caption “Underwriting” in the Prospectus Supplement, concerning the terms offered by the Underwriters;</w:t>
      </w:r>
    </w:p>
    <w:p>
      <w:pPr>
        <w:spacing w:after="0" w:line="113"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18"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6"/>
          </w:cols>
          <w:pgMar w:left="694" w:top="27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165" w:lineRule="exact"/>
        <w:rPr>
          <w:sz w:val="20"/>
          <w:szCs w:val="20"/>
          <w:color w:val="auto"/>
        </w:rPr>
      </w:pPr>
    </w:p>
    <w:p>
      <w:pPr>
        <w:ind w:left="10460"/>
        <w:spacing w:after="0"/>
        <w:rPr>
          <w:sz w:val="20"/>
          <w:szCs w:val="20"/>
          <w:color w:val="auto"/>
        </w:rPr>
      </w:pPr>
      <w:r>
        <w:rPr>
          <w:rFonts w:ascii="Arial" w:cs="Arial" w:eastAsia="Arial" w:hAnsi="Arial"/>
          <w:sz w:val="16"/>
          <w:szCs w:val="16"/>
          <w:color w:val="auto"/>
        </w:rPr>
        <w:t>July 30, 2012</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1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From time to time in one or more offerings on terms determined at the time of sale, the Company proposes to issue and sell (a) its common stock, $1.00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(b) its preferred stock, $25.00 par value per share (the “</w:t>
      </w:r>
      <w:r>
        <w:rPr>
          <w:rFonts w:ascii="Arial" w:cs="Arial" w:eastAsia="Arial" w:hAnsi="Arial"/>
          <w:sz w:val="15"/>
          <w:szCs w:val="15"/>
          <w:b w:val="1"/>
          <w:bCs w:val="1"/>
          <w:color w:val="auto"/>
        </w:rPr>
        <w:t>Preferred Stock</w:t>
      </w:r>
      <w:r>
        <w:rPr>
          <w:rFonts w:ascii="Arial" w:cs="Arial" w:eastAsia="Arial" w:hAnsi="Arial"/>
          <w:sz w:val="15"/>
          <w:szCs w:val="15"/>
          <w:color w:val="auto"/>
        </w:rPr>
        <w:t>”), (c) certain of its debt securities (the “</w:t>
      </w:r>
      <w:r>
        <w:rPr>
          <w:rFonts w:ascii="Arial" w:cs="Arial" w:eastAsia="Arial" w:hAnsi="Arial"/>
          <w:sz w:val="15"/>
          <w:szCs w:val="15"/>
          <w:b w:val="1"/>
          <w:bCs w:val="1"/>
          <w:color w:val="auto"/>
        </w:rPr>
        <w:t>Debt</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issuable under an indenture (the “</w:t>
      </w:r>
      <w:r>
        <w:rPr>
          <w:rFonts w:ascii="Arial" w:cs="Arial" w:eastAsia="Arial" w:hAnsi="Arial"/>
          <w:sz w:val="15"/>
          <w:szCs w:val="15"/>
          <w:b w:val="1"/>
          <w:bCs w:val="1"/>
          <w:color w:val="auto"/>
        </w:rPr>
        <w:t>Indenture</w:t>
      </w:r>
      <w:r>
        <w:rPr>
          <w:rFonts w:ascii="Arial" w:cs="Arial" w:eastAsia="Arial" w:hAnsi="Arial"/>
          <w:sz w:val="15"/>
          <w:szCs w:val="15"/>
          <w:color w:val="auto"/>
        </w:rPr>
        <w:t>”) to be entered into by the Company and U.S. Bank National Association, as trustee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1" w:lineRule="exact"/>
        <w:rPr>
          <w:sz w:val="20"/>
          <w:szCs w:val="20"/>
          <w:color w:val="auto"/>
        </w:rPr>
      </w:pPr>
    </w:p>
    <w:p>
      <w:pPr>
        <w:ind w:right="30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w:t>
      </w:r>
      <w:r>
        <w:rPr>
          <w:rFonts w:ascii="Arial" w:cs="Arial" w:eastAsia="Arial" w:hAnsi="Arial"/>
          <w:sz w:val="18"/>
          <w:szCs w:val="18"/>
          <w:b w:val="1"/>
          <w:bCs w:val="1"/>
          <w:color w:val="auto"/>
        </w:rPr>
        <w:t>Warrants</w:t>
      </w:r>
      <w:r>
        <w:rPr>
          <w:rFonts w:ascii="Arial" w:cs="Arial" w:eastAsia="Arial" w:hAnsi="Arial"/>
          <w:sz w:val="18"/>
          <w:szCs w:val="18"/>
          <w:color w:val="auto"/>
        </w:rPr>
        <w:t>”), and (e) units consisting of Common Stock, Preferred Stock, Debt Securities or Warrants or any combination thereof (“</w:t>
      </w:r>
      <w:r>
        <w:rPr>
          <w:rFonts w:ascii="Arial" w:cs="Arial" w:eastAsia="Arial" w:hAnsi="Arial"/>
          <w:sz w:val="18"/>
          <w:szCs w:val="18"/>
          <w:b w:val="1"/>
          <w:bCs w:val="1"/>
          <w:color w:val="auto"/>
        </w:rPr>
        <w:t>Units</w:t>
      </w:r>
      <w:r>
        <w:rPr>
          <w:rFonts w:ascii="Arial" w:cs="Arial" w:eastAsia="Arial" w:hAnsi="Arial"/>
          <w:sz w:val="18"/>
          <w:szCs w:val="18"/>
          <w:color w:val="auto"/>
        </w:rPr>
        <w:t>”). The Common Stock, Preferred Stock, Debt Securities, Warrants and Units are each 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138" w:lineRule="exact"/>
        <w:rPr>
          <w:sz w:val="20"/>
          <w:szCs w:val="20"/>
          <w:color w:val="auto"/>
        </w:rPr>
      </w:pPr>
    </w:p>
    <w:p>
      <w:pPr>
        <w:ind w:right="100" w:firstLine="456"/>
        <w:spacing w:after="0" w:line="307" w:lineRule="auto"/>
        <w:rPr>
          <w:sz w:val="20"/>
          <w:szCs w:val="20"/>
          <w:color w:val="auto"/>
        </w:rPr>
      </w:pPr>
      <w:r>
        <w:rPr>
          <w:rFonts w:ascii="Arial" w:cs="Arial" w:eastAsia="Arial" w:hAnsi="Arial"/>
          <w:sz w:val="15"/>
          <w:szCs w:val="15"/>
          <w:color w:val="auto"/>
        </w:rPr>
        <w:t>The Company has filed with the Securities and Exchange Commission (the “</w:t>
      </w:r>
      <w:r>
        <w:rPr>
          <w:rFonts w:ascii="Arial" w:cs="Arial" w:eastAsia="Arial" w:hAnsi="Arial"/>
          <w:sz w:val="15"/>
          <w:szCs w:val="15"/>
          <w:b w:val="1"/>
          <w:bCs w:val="1"/>
          <w:color w:val="auto"/>
        </w:rPr>
        <w:t>Commission</w:t>
      </w:r>
      <w:r>
        <w:rPr>
          <w:rFonts w:ascii="Arial" w:cs="Arial" w:eastAsia="Arial" w:hAnsi="Arial"/>
          <w:sz w:val="15"/>
          <w:szCs w:val="15"/>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5"/>
          <w:szCs w:val="15"/>
          <w:b w:val="1"/>
          <w:bCs w:val="1"/>
          <w:color w:val="auto"/>
        </w:rPr>
        <w:t>Prospectus Supplement</w:t>
      </w:r>
      <w:r>
        <w:rPr>
          <w:rFonts w:ascii="Arial" w:cs="Arial" w:eastAsia="Arial" w:hAnsi="Arial"/>
          <w:sz w:val="15"/>
          <w:szCs w:val="15"/>
          <w:color w:val="auto"/>
        </w:rPr>
        <w:t>”) specifically relating to the Securities listed on Schedule I hereto (the “</w:t>
      </w:r>
      <w:r>
        <w:rPr>
          <w:rFonts w:ascii="Arial" w:cs="Arial" w:eastAsia="Arial" w:hAnsi="Arial"/>
          <w:sz w:val="15"/>
          <w:szCs w:val="15"/>
          <w:b w:val="1"/>
          <w:bCs w:val="1"/>
          <w:color w:val="auto"/>
        </w:rPr>
        <w:t>Offered Securities</w:t>
      </w:r>
      <w:r>
        <w:rPr>
          <w:rFonts w:ascii="Arial" w:cs="Arial" w:eastAsia="Arial" w:hAnsi="Arial"/>
          <w:sz w:val="15"/>
          <w:szCs w:val="15"/>
          <w:color w:val="auto"/>
        </w:rPr>
        <w:t>”) pursuant to Rule 424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The term “</w:t>
      </w:r>
      <w:r>
        <w:rPr>
          <w:rFonts w:ascii="Arial" w:cs="Arial" w:eastAsia="Arial" w:hAnsi="Arial"/>
          <w:sz w:val="15"/>
          <w:szCs w:val="15"/>
          <w:b w:val="1"/>
          <w:bCs w:val="1"/>
          <w:color w:val="auto"/>
        </w:rPr>
        <w:t>Registration Statement</w:t>
      </w:r>
      <w:r>
        <w:rPr>
          <w:rFonts w:ascii="Arial" w:cs="Arial" w:eastAsia="Arial" w:hAnsi="Arial"/>
          <w:sz w:val="15"/>
          <w:szCs w:val="15"/>
          <w:color w:val="auto"/>
        </w:rPr>
        <w:t>” means the 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5"/>
          <w:szCs w:val="15"/>
          <w:b w:val="1"/>
          <w:bCs w:val="1"/>
          <w:color w:val="auto"/>
        </w:rPr>
        <w:t>Base Prospectus</w:t>
      </w:r>
      <w:r>
        <w:rPr>
          <w:rFonts w:ascii="Arial" w:cs="Arial" w:eastAsia="Arial" w:hAnsi="Arial"/>
          <w:sz w:val="15"/>
          <w:szCs w:val="15"/>
          <w:color w:val="auto"/>
        </w:rPr>
        <w:t>” means the prospectus included in the Registration Statement. The term “</w:t>
      </w:r>
      <w:r>
        <w:rPr>
          <w:rFonts w:ascii="Arial" w:cs="Arial" w:eastAsia="Arial" w:hAnsi="Arial"/>
          <w:sz w:val="15"/>
          <w:szCs w:val="15"/>
          <w:b w:val="1"/>
          <w:bCs w:val="1"/>
          <w:color w:val="auto"/>
        </w:rPr>
        <w:t>Prospectus</w:t>
      </w:r>
      <w:r>
        <w:rPr>
          <w:rFonts w:ascii="Arial" w:cs="Arial" w:eastAsia="Arial" w:hAnsi="Arial"/>
          <w:sz w:val="15"/>
          <w:szCs w:val="15"/>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5"/>
          <w:szCs w:val="15"/>
          <w:b w:val="1"/>
          <w:bCs w:val="1"/>
          <w:color w:val="auto"/>
        </w:rPr>
        <w:t>preliminary prospectus</w:t>
      </w:r>
      <w:r>
        <w:rPr>
          <w:rFonts w:ascii="Arial" w:cs="Arial" w:eastAsia="Arial" w:hAnsi="Arial"/>
          <w:sz w:val="15"/>
          <w:szCs w:val="15"/>
          <w:color w:val="auto"/>
        </w:rPr>
        <w:t>” means a preliminary prospectus supplement specifically relating to the Offered Securities, together with the Base Prospectus. The term “</w:t>
      </w:r>
      <w:r>
        <w:rPr>
          <w:rFonts w:ascii="Arial" w:cs="Arial" w:eastAsia="Arial" w:hAnsi="Arial"/>
          <w:sz w:val="15"/>
          <w:szCs w:val="15"/>
          <w:b w:val="1"/>
          <w:bCs w:val="1"/>
          <w:color w:val="auto"/>
        </w:rPr>
        <w:t>free writing prospectus</w:t>
      </w:r>
      <w:r>
        <w:rPr>
          <w:rFonts w:ascii="Arial" w:cs="Arial" w:eastAsia="Arial" w:hAnsi="Arial"/>
          <w:sz w:val="15"/>
          <w:szCs w:val="15"/>
          <w:color w:val="auto"/>
        </w:rPr>
        <w:t>” has the meaning set forth in Rule 405 under the Securities Act. The term “</w:t>
      </w:r>
      <w:r>
        <w:rPr>
          <w:rFonts w:ascii="Arial" w:cs="Arial" w:eastAsia="Arial" w:hAnsi="Arial"/>
          <w:sz w:val="15"/>
          <w:szCs w:val="15"/>
          <w:b w:val="1"/>
          <w:bCs w:val="1"/>
          <w:color w:val="auto"/>
        </w:rPr>
        <w:t>issuer free writing</w:t>
      </w:r>
      <w:r>
        <w:rPr>
          <w:rFonts w:ascii="Arial" w:cs="Arial" w:eastAsia="Arial" w:hAnsi="Arial"/>
          <w:sz w:val="15"/>
          <w:szCs w:val="15"/>
          <w:color w:val="auto"/>
        </w:rPr>
        <w:t xml:space="preserve"> </w:t>
      </w:r>
      <w:r>
        <w:rPr>
          <w:rFonts w:ascii="Arial" w:cs="Arial" w:eastAsia="Arial" w:hAnsi="Arial"/>
          <w:sz w:val="15"/>
          <w:szCs w:val="15"/>
          <w:b w:val="1"/>
          <w:bCs w:val="1"/>
          <w:color w:val="auto"/>
        </w:rPr>
        <w:t>prospectus</w:t>
      </w:r>
      <w:r>
        <w:rPr>
          <w:rFonts w:ascii="Arial" w:cs="Arial" w:eastAsia="Arial" w:hAnsi="Arial"/>
          <w:sz w:val="15"/>
          <w:szCs w:val="15"/>
          <w:color w:val="auto"/>
        </w:rPr>
        <w:t>” has the meaning set forth in Rule 433 under the Securities Act. The term “</w:t>
      </w:r>
      <w:r>
        <w:rPr>
          <w:rFonts w:ascii="Arial" w:cs="Arial" w:eastAsia="Arial" w:hAnsi="Arial"/>
          <w:sz w:val="15"/>
          <w:szCs w:val="15"/>
          <w:b w:val="1"/>
          <w:bCs w:val="1"/>
          <w:color w:val="auto"/>
        </w:rPr>
        <w:t>Time of Sale Prospectus</w:t>
      </w:r>
      <w:r>
        <w:rPr>
          <w:rFonts w:ascii="Arial" w:cs="Arial" w:eastAsia="Arial" w:hAnsi="Arial"/>
          <w:sz w:val="15"/>
          <w:szCs w:val="15"/>
          <w:color w:val="auto"/>
        </w:rPr>
        <w:t>” means the Base Prospectus and preliminary</w:t>
      </w:r>
      <w:r>
        <w:rPr>
          <w:rFonts w:ascii="Arial" w:cs="Arial" w:eastAsia="Arial" w:hAnsi="Arial"/>
          <w:sz w:val="15"/>
          <w:szCs w:val="15"/>
          <w:b w:val="1"/>
          <w:bCs w:val="1"/>
          <w:color w:val="auto"/>
        </w:rPr>
        <w:t xml:space="preserve"> </w:t>
      </w:r>
      <w:r>
        <w:rPr>
          <w:rFonts w:ascii="Arial" w:cs="Arial" w:eastAsia="Arial" w:hAnsi="Arial"/>
          <w:sz w:val="15"/>
          <w:szCs w:val="15"/>
          <w:color w:val="auto"/>
        </w:rPr>
        <w:t>prospectus, if any, together with any additional documents or other information identified in Schedule III to the Underwriting Agreement.</w:t>
      </w:r>
    </w:p>
    <w:p>
      <w:pPr>
        <w:sectPr>
          <w:pgSz w:w="11900" w:h="16838" w:orient="portrait"/>
          <w:cols w:equalWidth="0" w:num="1">
            <w:col w:w="11420"/>
          </w:cols>
          <w:pgMar w:left="240" w:top="274" w:right="239" w:bottom="1440" w:gutter="0" w:footer="0" w:header="0"/>
        </w:sectPr>
      </w:pPr>
    </w:p>
    <w:bookmarkStart w:id="15" w:name="page16"/>
    <w:bookmarkEnd w:id="15"/>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0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left="460" w:right="80" w:firstLine="443"/>
        <w:spacing w:after="0" w:line="290" w:lineRule="auto"/>
        <w:tabs>
          <w:tab w:leader="none" w:pos="1137"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6" w:name="page17"/>
    <w:bookmarkEnd w:id="16"/>
    <w:p>
      <w:pPr>
        <w:ind w:right="580" w:firstLine="443"/>
        <w:spacing w:after="0" w:line="259"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Joseph F. Hubach, Esq., Senior Vice President, Secretary and General Counsel of the Company (or another lawyer of the Company reasonably satisfactory to the Underwriters), dated the Closing Date, to the effect (as applicable) that:</w:t>
      </w:r>
    </w:p>
    <w:p>
      <w:pPr>
        <w:spacing w:after="0" w:line="140" w:lineRule="exact"/>
        <w:rPr>
          <w:rFonts w:ascii="Arial" w:cs="Arial" w:eastAsia="Arial" w:hAnsi="Arial"/>
          <w:sz w:val="18"/>
          <w:szCs w:val="18"/>
          <w:color w:val="auto"/>
        </w:rPr>
      </w:pPr>
    </w:p>
    <w:p>
      <w:pPr>
        <w:ind w:left="460" w:right="160" w:firstLine="421"/>
        <w:spacing w:after="0" w:line="268" w:lineRule="auto"/>
        <w:tabs>
          <w:tab w:leader="none" w:pos="108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131" w:lineRule="exact"/>
        <w:rPr>
          <w:rFonts w:ascii="Arial" w:cs="Arial" w:eastAsia="Arial" w:hAnsi="Arial"/>
          <w:sz w:val="18"/>
          <w:szCs w:val="18"/>
          <w:color w:val="auto"/>
        </w:rPr>
      </w:pPr>
    </w:p>
    <w:p>
      <w:pPr>
        <w:ind w:left="460" w:firstLine="421"/>
        <w:spacing w:after="0" w:line="306" w:lineRule="auto"/>
        <w:tabs>
          <w:tab w:leader="none" w:pos="1138"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106" w:lineRule="exact"/>
        <w:rPr>
          <w:rFonts w:ascii="Arial" w:cs="Arial" w:eastAsia="Arial" w:hAnsi="Arial"/>
          <w:sz w:val="16"/>
          <w:szCs w:val="16"/>
          <w:color w:val="auto"/>
        </w:rPr>
      </w:pPr>
    </w:p>
    <w:p>
      <w:pPr>
        <w:ind w:left="1180" w:hanging="299"/>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171" w:lineRule="exact"/>
        <w:rPr>
          <w:rFonts w:ascii="Arial" w:cs="Arial" w:eastAsia="Arial" w:hAnsi="Arial"/>
          <w:sz w:val="18"/>
          <w:szCs w:val="18"/>
          <w:color w:val="auto"/>
        </w:rPr>
      </w:pPr>
    </w:p>
    <w:p>
      <w:pPr>
        <w:ind w:left="460" w:right="280" w:firstLine="421"/>
        <w:spacing w:after="0" w:line="268" w:lineRule="auto"/>
        <w:tabs>
          <w:tab w:leader="none" w:pos="11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131" w:lineRule="exact"/>
        <w:rPr>
          <w:rFonts w:ascii="Arial" w:cs="Arial" w:eastAsia="Arial" w:hAnsi="Arial"/>
          <w:sz w:val="18"/>
          <w:szCs w:val="18"/>
          <w:color w:val="auto"/>
        </w:rPr>
      </w:pPr>
    </w:p>
    <w:p>
      <w:pPr>
        <w:ind w:left="460" w:right="20" w:firstLine="421"/>
        <w:spacing w:after="0" w:line="290" w:lineRule="auto"/>
        <w:tabs>
          <w:tab w:leader="none" w:pos="1128"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as applicable, the Indenture, the Offered Securities, the Warrant Agreement and the Unit Agreement (each, a “</w:t>
      </w:r>
      <w:r>
        <w:rPr>
          <w:rFonts w:ascii="Arial" w:cs="Arial" w:eastAsia="Arial" w:hAnsi="Arial"/>
          <w:sz w:val="16"/>
          <w:szCs w:val="16"/>
          <w:b w:val="1"/>
          <w:bCs w:val="1"/>
          <w:color w:val="auto"/>
        </w:rPr>
        <w:t>Transaction Document</w:t>
      </w:r>
      <w:r>
        <w:rPr>
          <w:rFonts w:ascii="Arial" w:cs="Arial" w:eastAsia="Arial" w:hAnsi="Arial"/>
          <w:sz w:val="16"/>
          <w:szCs w:val="16"/>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118" w:lineRule="exact"/>
        <w:rPr>
          <w:rFonts w:ascii="Arial" w:cs="Arial" w:eastAsia="Arial" w:hAnsi="Arial"/>
          <w:sz w:val="16"/>
          <w:szCs w:val="16"/>
          <w:color w:val="auto"/>
        </w:rPr>
      </w:pPr>
    </w:p>
    <w:p>
      <w:pPr>
        <w:ind w:left="460" w:right="20" w:firstLine="421"/>
        <w:spacing w:after="0" w:line="255" w:lineRule="auto"/>
        <w:tabs>
          <w:tab w:leader="none" w:pos="1177" w:val="left"/>
        </w:tabs>
        <w:numPr>
          <w:ilvl w:val="1"/>
          <w:numId w:val="5"/>
        </w:numPr>
        <w:rPr>
          <w:rFonts w:ascii="Arial" w:cs="Arial" w:eastAsia="Arial" w:hAnsi="Arial"/>
          <w:sz w:val="18"/>
          <w:szCs w:val="18"/>
          <w:color w:val="auto"/>
        </w:rPr>
      </w:pPr>
      <w:r>
        <w:rPr>
          <w:rFonts w:ascii="Arial" w:cs="Arial" w:eastAsia="Arial" w:hAnsi="Arial"/>
          <w:sz w:val="18"/>
          <w:szCs w:val="18"/>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7" w:name="page18"/>
    <w:bookmarkEnd w:id="17"/>
    <w:p>
      <w:pPr>
        <w:ind w:left="-280" w:firstLine="421"/>
        <w:spacing w:after="0" w:line="284" w:lineRule="auto"/>
        <w:tabs>
          <w:tab w:leader="none" w:pos="48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00"/>
          </w:cols>
          <w:pgMar w:left="1440" w:top="280" w:right="259" w:bottom="1440" w:gutter="0" w:footer="0" w:header="0"/>
        </w:sectPr>
      </w:pPr>
    </w:p>
    <w:bookmarkStart w:id="18" w:name="page19"/>
    <w:bookmarkEnd w:id="18"/>
    <w:p>
      <w:pPr>
        <w:ind w:right="140" w:firstLine="443"/>
        <w:spacing w:after="0" w:line="268"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Davis Polk &amp; Wardwell LLP, special outside counsel to the Company, dated the Closing Date, to the effect (as applicable) that:</w:t>
      </w:r>
    </w:p>
    <w:p>
      <w:pPr>
        <w:spacing w:after="0" w:line="131"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40" w:lineRule="exact"/>
        <w:rPr>
          <w:rFonts w:ascii="Arial" w:cs="Arial" w:eastAsia="Arial" w:hAnsi="Arial"/>
          <w:sz w:val="18"/>
          <w:szCs w:val="18"/>
          <w:color w:val="auto"/>
        </w:rPr>
      </w:pPr>
    </w:p>
    <w:p>
      <w:pPr>
        <w:ind w:left="460" w:right="120" w:firstLine="421"/>
        <w:spacing w:after="0" w:line="291" w:lineRule="auto"/>
        <w:tabs>
          <w:tab w:leader="none" w:pos="1138"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Debt Securities are Offered Securities, (A) such Debt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120" w:lineRule="exact"/>
        <w:rPr>
          <w:rFonts w:ascii="Arial" w:cs="Arial" w:eastAsia="Arial" w:hAnsi="Arial"/>
          <w:sz w:val="16"/>
          <w:szCs w:val="16"/>
          <w:color w:val="auto"/>
        </w:rPr>
      </w:pPr>
    </w:p>
    <w:p>
      <w:pPr>
        <w:ind w:left="460" w:right="100" w:firstLine="421"/>
        <w:spacing w:after="0" w:line="294" w:lineRule="auto"/>
        <w:tabs>
          <w:tab w:leader="none" w:pos="1187"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115" w:lineRule="exact"/>
        <w:rPr>
          <w:rFonts w:ascii="Arial" w:cs="Arial" w:eastAsia="Arial" w:hAnsi="Arial"/>
          <w:sz w:val="16"/>
          <w:szCs w:val="16"/>
          <w:color w:val="auto"/>
        </w:rPr>
      </w:pPr>
    </w:p>
    <w:p>
      <w:pPr>
        <w:ind w:left="460" w:right="100" w:firstLine="421"/>
        <w:spacing w:after="0" w:line="294" w:lineRule="auto"/>
        <w:tabs>
          <w:tab w:leader="none" w:pos="1177"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(B) the Unit Agreement has been duly authorized, executed and delivered by, and is a valid and binding agreement of, the Company, enforceable in accordance with its terms, subject to the Enforceability Exceptions;</w:t>
      </w:r>
    </w:p>
    <w:p>
      <w:pPr>
        <w:spacing w:after="0" w:line="115" w:lineRule="exact"/>
        <w:rPr>
          <w:rFonts w:ascii="Arial" w:cs="Arial" w:eastAsia="Arial" w:hAnsi="Arial"/>
          <w:sz w:val="16"/>
          <w:szCs w:val="16"/>
          <w:color w:val="auto"/>
        </w:rPr>
      </w:pPr>
    </w:p>
    <w:p>
      <w:pPr>
        <w:ind w:left="1120" w:hanging="239"/>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9" w:name="page20"/>
    <w:bookmarkEnd w:id="19"/>
    <w:p>
      <w:pPr>
        <w:ind w:firstLine="421"/>
        <w:spacing w:after="0" w:line="259" w:lineRule="auto"/>
        <w:tabs>
          <w:tab w:leader="none" w:pos="717"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140" w:lineRule="exact"/>
        <w:rPr>
          <w:rFonts w:ascii="Arial" w:cs="Arial" w:eastAsia="Arial" w:hAnsi="Arial"/>
          <w:sz w:val="18"/>
          <w:szCs w:val="18"/>
          <w:color w:val="auto"/>
        </w:rPr>
      </w:pPr>
    </w:p>
    <w:p>
      <w:pPr>
        <w:ind w:right="60" w:firstLine="421"/>
        <w:spacing w:after="0" w:line="268" w:lineRule="auto"/>
        <w:tabs>
          <w:tab w:leader="none" w:pos="7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“Certain U.S. Tax Considerations” and “Underwriting” relating to legal matters fairly summarize in all material respects such legal matters;</w:t>
      </w:r>
    </w:p>
    <w:p>
      <w:pPr>
        <w:spacing w:after="0" w:line="125" w:lineRule="exact"/>
        <w:rPr>
          <w:rFonts w:ascii="Arial" w:cs="Arial" w:eastAsia="Arial" w:hAnsi="Arial"/>
          <w:sz w:val="18"/>
          <w:szCs w:val="18"/>
          <w:color w:val="auto"/>
        </w:rPr>
      </w:pPr>
    </w:p>
    <w:p>
      <w:pPr>
        <w:ind w:left="820" w:hanging="399"/>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Offered Securities that are convertible into or exercisable or exchangeable for other Securities (the “</w:t>
      </w:r>
      <w:r>
        <w:rPr>
          <w:rFonts w:ascii="Arial" w:cs="Arial" w:eastAsia="Arial" w:hAnsi="Arial"/>
          <w:sz w:val="16"/>
          <w:szCs w:val="16"/>
          <w:b w:val="1"/>
          <w:bCs w:val="1"/>
          <w:color w:val="auto"/>
        </w:rPr>
        <w:t>Underlying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165" w:lineRule="exact"/>
        <w:rPr>
          <w:sz w:val="20"/>
          <w:szCs w:val="20"/>
          <w:color w:val="auto"/>
        </w:rPr>
      </w:pPr>
    </w:p>
    <w:p>
      <w:pPr>
        <w:jc w:val="both"/>
        <w:ind w:right="20" w:firstLine="421"/>
        <w:spacing w:after="0" w:line="306" w:lineRule="auto"/>
        <w:tabs>
          <w:tab w:leader="none" w:pos="717"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106" w:lineRule="exact"/>
        <w:rPr>
          <w:rFonts w:ascii="Arial" w:cs="Arial" w:eastAsia="Arial" w:hAnsi="Arial"/>
          <w:sz w:val="16"/>
          <w:szCs w:val="16"/>
          <w:color w:val="auto"/>
        </w:rPr>
      </w:pPr>
    </w:p>
    <w:p>
      <w:pPr>
        <w:ind w:right="220" w:firstLine="421"/>
        <w:spacing w:after="0" w:line="306" w:lineRule="auto"/>
        <w:tabs>
          <w:tab w:leader="none" w:pos="66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distribution of the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 and</w:t>
      </w:r>
    </w:p>
    <w:p>
      <w:pPr>
        <w:spacing w:after="0" w:line="106" w:lineRule="exact"/>
        <w:rPr>
          <w:rFonts w:ascii="Arial" w:cs="Arial" w:eastAsia="Arial" w:hAnsi="Arial"/>
          <w:sz w:val="16"/>
          <w:szCs w:val="16"/>
          <w:color w:val="auto"/>
        </w:rPr>
      </w:pPr>
    </w:p>
    <w:p>
      <w:pPr>
        <w:ind w:right="20" w:firstLine="421"/>
        <w:spacing w:after="0" w:line="288" w:lineRule="auto"/>
        <w:tabs>
          <w:tab w:leader="none" w:pos="717" w:val="left"/>
        </w:tabs>
        <w:numPr>
          <w:ilvl w:val="0"/>
          <w:numId w:val="9"/>
        </w:numPr>
        <w:rPr>
          <w:rFonts w:ascii="Arial" w:cs="Arial" w:eastAsia="Arial" w:hAnsi="Arial"/>
          <w:sz w:val="16"/>
          <w:szCs w:val="16"/>
          <w:color w:val="auto"/>
        </w:rPr>
      </w:pPr>
      <w:r>
        <w:rPr>
          <w:rFonts w:ascii="Arial" w:cs="Arial" w:eastAsia="Arial" w:hAnsi="Arial"/>
          <w:sz w:val="16"/>
          <w:szCs w:val="16"/>
          <w:color w:val="auto"/>
        </w:rPr>
        <w:t>(A)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w:t>
      </w:r>
    </w:p>
    <w:p>
      <w:pPr>
        <w:spacing w:after="0" w:line="10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00"/>
          </w:cols>
          <w:pgMar w:left="1160" w:top="280" w:right="239" w:bottom="1440" w:gutter="0" w:footer="0" w:header="0"/>
        </w:sectPr>
      </w:pPr>
    </w:p>
    <w:bookmarkStart w:id="20" w:name="page21"/>
    <w:bookmarkEnd w:id="20"/>
    <w:p>
      <w:pPr>
        <w:ind w:left="9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 The Manager shall have received on the Closing Date an opinion of its own counsel, in a form acceptable to the Manager, dated the Closing Date.</w:t>
      </w:r>
    </w:p>
    <w:p>
      <w:pPr>
        <w:spacing w:after="0" w:line="20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It is understood that Joseph F. Hubach, Esq. may rely as to all matters relating to the laws of the State of New York upon the opinion of Davis Polk &amp; Wardwell LLP.</w:t>
      </w:r>
    </w:p>
    <w:p>
      <w:pPr>
        <w:spacing w:after="0" w:line="1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With respect to the matters set forth in (b)(vii) and (c)(xi) above, Joseph F. Hubach, Esq.,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113" w:lineRule="exact"/>
        <w:rPr>
          <w:sz w:val="20"/>
          <w:szCs w:val="20"/>
          <w:color w:val="auto"/>
        </w:rPr>
      </w:pPr>
    </w:p>
    <w:p>
      <w:pPr>
        <w:ind w:left="460" w:right="300" w:firstLine="443"/>
        <w:spacing w:after="0" w:line="256" w:lineRule="auto"/>
        <w:tabs>
          <w:tab w:leader="none" w:pos="11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 w:name="page22"/>
    <w:bookmarkEnd w:id="21"/>
    <w:p>
      <w:pPr>
        <w:ind w:right="80" w:firstLine="443"/>
        <w:spacing w:after="0" w:line="298" w:lineRule="auto"/>
        <w:tabs>
          <w:tab w:leader="none" w:pos="657"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used in Rule 15c3-1(c)(2)(vi)(F) under the Exchange Act, that, in the Manager’s judgment, is material and adverse.</w:t>
      </w:r>
    </w:p>
    <w:p>
      <w:pPr>
        <w:spacing w:after="0" w:line="112" w:lineRule="exact"/>
        <w:rPr>
          <w:rFonts w:ascii="Arial" w:cs="Arial" w:eastAsia="Arial" w:hAnsi="Arial"/>
          <w:sz w:val="16"/>
          <w:szCs w:val="16"/>
          <w:color w:val="auto"/>
        </w:rPr>
      </w:pPr>
    </w:p>
    <w:p>
      <w:pPr>
        <w:ind w:firstLine="443"/>
        <w:spacing w:after="0" w:line="256"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right="60" w:firstLine="443"/>
        <w:spacing w:after="0" w:line="306" w:lineRule="auto"/>
        <w:tabs>
          <w:tab w:leader="none" w:pos="67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106" w:lineRule="exact"/>
        <w:rPr>
          <w:rFonts w:ascii="Arial" w:cs="Arial" w:eastAsia="Arial" w:hAnsi="Arial"/>
          <w:sz w:val="16"/>
          <w:szCs w:val="16"/>
          <w:color w:val="auto"/>
        </w:rPr>
      </w:pPr>
    </w:p>
    <w:p>
      <w:pPr>
        <w:ind w:right="20" w:firstLine="443"/>
        <w:spacing w:after="0" w:line="335" w:lineRule="auto"/>
        <w:tabs>
          <w:tab w:leader="none" w:pos="687" w:val="left"/>
        </w:tabs>
        <w:numPr>
          <w:ilvl w:val="0"/>
          <w:numId w:val="12"/>
        </w:numPr>
        <w:rPr>
          <w:rFonts w:ascii="Arial" w:cs="Arial" w:eastAsia="Arial" w:hAnsi="Arial"/>
          <w:sz w:val="15"/>
          <w:szCs w:val="15"/>
          <w:color w:val="auto"/>
        </w:rPr>
      </w:pPr>
      <w:r>
        <w:rPr>
          <w:rFonts w:ascii="Arial" w:cs="Arial" w:eastAsia="Arial" w:hAnsi="Arial"/>
          <w:sz w:val="15"/>
          <w:szCs w:val="15"/>
          <w:color w:val="auto"/>
        </w:rPr>
        <w:t>Before amending or supplementing the Registration Statement, the Time of Sale Prospectus or the Prospectus with respect to the Offered Securities, to furnish the Manager a copy of each such proposed amendment or supplement and will not file any such proposed amendment or supplement to which the Manager reasonably objects unless, in the Company’s good faith judgment, the Company is required by law or regulation to make such filing.</w:t>
      </w:r>
    </w:p>
    <w:p>
      <w:pPr>
        <w:spacing w:after="0" w:line="88" w:lineRule="exact"/>
        <w:rPr>
          <w:rFonts w:ascii="Arial" w:cs="Arial" w:eastAsia="Arial" w:hAnsi="Arial"/>
          <w:sz w:val="15"/>
          <w:szCs w:val="15"/>
          <w:color w:val="auto"/>
        </w:rPr>
      </w:pPr>
    </w:p>
    <w:p>
      <w:pPr>
        <w:ind w:right="80" w:firstLine="443"/>
        <w:spacing w:after="0" w:line="268"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131" w:lineRule="exact"/>
        <w:rPr>
          <w:rFonts w:ascii="Arial" w:cs="Arial" w:eastAsia="Arial" w:hAnsi="Arial"/>
          <w:sz w:val="18"/>
          <w:szCs w:val="18"/>
          <w:color w:val="auto"/>
        </w:rPr>
      </w:pPr>
    </w:p>
    <w:p>
      <w:pPr>
        <w:ind w:right="220" w:firstLine="443"/>
        <w:spacing w:after="0" w:line="259"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40" w:lineRule="exact"/>
        <w:rPr>
          <w:rFonts w:ascii="Arial" w:cs="Arial" w:eastAsia="Arial" w:hAnsi="Arial"/>
          <w:sz w:val="18"/>
          <w:szCs w:val="18"/>
          <w:color w:val="auto"/>
        </w:rPr>
      </w:pPr>
    </w:p>
    <w:p>
      <w:pPr>
        <w:ind w:right="280" w:firstLine="443"/>
        <w:spacing w:after="0" w:line="268"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Time of Sale Prospectus is being used to solicit offers to buy the Offered Securities at a time when the Prospectus is not yet available to prospective</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700" w:top="280" w:right="299" w:bottom="1440" w:gutter="0" w:footer="0" w:header="0"/>
        </w:sectPr>
      </w:pPr>
    </w:p>
    <w:bookmarkStart w:id="22" w:name="page23"/>
    <w:bookmarkEnd w:id="2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118" w:lineRule="exact"/>
        <w:rPr>
          <w:sz w:val="20"/>
          <w:szCs w:val="20"/>
          <w:color w:val="auto"/>
        </w:rPr>
      </w:pPr>
    </w:p>
    <w:p>
      <w:pPr>
        <w:ind w:right="80" w:firstLine="443"/>
        <w:spacing w:after="0" w:line="286" w:lineRule="auto"/>
        <w:tabs>
          <w:tab w:leader="none" w:pos="6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127" w:lineRule="exact"/>
        <w:rPr>
          <w:rFonts w:ascii="Arial" w:cs="Arial" w:eastAsia="Arial" w:hAnsi="Arial"/>
          <w:sz w:val="16"/>
          <w:szCs w:val="16"/>
          <w:color w:val="auto"/>
        </w:rPr>
      </w:pPr>
    </w:p>
    <w:p>
      <w:pPr>
        <w:ind w:right="220" w:firstLine="443"/>
        <w:spacing w:after="0" w:line="332"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85" w:lineRule="exact"/>
        <w:rPr>
          <w:rFonts w:ascii="Arial" w:cs="Arial" w:eastAsia="Arial" w:hAnsi="Arial"/>
          <w:sz w:val="16"/>
          <w:szCs w:val="16"/>
          <w:color w:val="auto"/>
        </w:rPr>
      </w:pPr>
    </w:p>
    <w:p>
      <w:pPr>
        <w:ind w:right="60" w:firstLine="443"/>
        <w:spacing w:after="0" w:line="259"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23" w:name="page24"/>
    <w:bookmarkEnd w:id="23"/>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Company will satisfy the foregoing obligations by making available in the manner provided for by Rule 158 of the Securities Act copies of its annual report on Form 10-K and its current reports on Form 10-Q.</w:t>
      </w:r>
    </w:p>
    <w:p>
      <w:pPr>
        <w:spacing w:after="0" w:line="132" w:lineRule="exact"/>
        <w:rPr>
          <w:sz w:val="20"/>
          <w:szCs w:val="20"/>
          <w:color w:val="auto"/>
        </w:rPr>
      </w:pPr>
    </w:p>
    <w:p>
      <w:pPr>
        <w:ind w:right="40" w:firstLine="443"/>
        <w:spacing w:after="0" w:line="305" w:lineRule="auto"/>
        <w:tabs>
          <w:tab w:leader="none" w:pos="648" w:val="left"/>
        </w:tabs>
        <w:numPr>
          <w:ilvl w:val="1"/>
          <w:numId w:val="14"/>
        </w:numPr>
        <w:rPr>
          <w:rFonts w:ascii="Arial" w:cs="Arial" w:eastAsia="Arial" w:hAnsi="Arial"/>
          <w:sz w:val="15"/>
          <w:szCs w:val="15"/>
          <w:color w:val="auto"/>
        </w:rPr>
      </w:pPr>
      <w:r>
        <w:rPr>
          <w:rFonts w:ascii="Arial" w:cs="Arial" w:eastAsia="Arial" w:hAnsi="Arial"/>
          <w:sz w:val="15"/>
          <w:szCs w:val="15"/>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w:t>
      </w:r>
    </w:p>
    <w:p>
      <w:pPr>
        <w:ind w:left="220" w:hanging="216"/>
        <w:spacing w:after="0"/>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Offered Securities or (ii) commercial paper issued in the ordinary course of business) without the prior written consent of the Manager.</w:t>
      </w:r>
    </w:p>
    <w:p>
      <w:pPr>
        <w:spacing w:after="0" w:line="187" w:lineRule="exact"/>
        <w:rPr>
          <w:rFonts w:ascii="Arial" w:cs="Arial" w:eastAsia="Arial" w:hAnsi="Arial"/>
          <w:sz w:val="16"/>
          <w:szCs w:val="16"/>
          <w:color w:val="auto"/>
        </w:rPr>
      </w:pPr>
    </w:p>
    <w:p>
      <w:pPr>
        <w:ind w:right="100" w:firstLine="443"/>
        <w:spacing w:after="0" w:line="306" w:lineRule="auto"/>
        <w:tabs>
          <w:tab w:leader="none" w:pos="648" w:val="left"/>
        </w:tabs>
        <w:numPr>
          <w:ilvl w:val="1"/>
          <w:numId w:val="15"/>
        </w:numPr>
        <w:rPr>
          <w:rFonts w:ascii="Arial" w:cs="Arial" w:eastAsia="Arial" w:hAnsi="Arial"/>
          <w:sz w:val="16"/>
          <w:szCs w:val="16"/>
          <w:color w:val="auto"/>
        </w:rPr>
      </w:pPr>
      <w:r>
        <w:rPr>
          <w:rFonts w:ascii="Arial" w:cs="Arial" w:eastAsia="Arial" w:hAnsi="Arial"/>
          <w:sz w:val="16"/>
          <w:szCs w:val="16"/>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106" w:lineRule="exact"/>
        <w:rPr>
          <w:rFonts w:ascii="Arial" w:cs="Arial" w:eastAsia="Arial" w:hAnsi="Arial"/>
          <w:sz w:val="16"/>
          <w:szCs w:val="16"/>
          <w:color w:val="auto"/>
        </w:rPr>
      </w:pPr>
    </w:p>
    <w:p>
      <w:pPr>
        <w:ind w:firstLine="443"/>
        <w:spacing w:after="0" w:line="268" w:lineRule="auto"/>
        <w:tabs>
          <w:tab w:leader="none" w:pos="6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131" w:lineRule="exact"/>
        <w:rPr>
          <w:rFonts w:ascii="Arial" w:cs="Arial" w:eastAsia="Arial" w:hAnsi="Arial"/>
          <w:sz w:val="18"/>
          <w:szCs w:val="18"/>
          <w:color w:val="auto"/>
        </w:rPr>
      </w:pPr>
    </w:p>
    <w:p>
      <w:pPr>
        <w:ind w:firstLine="443"/>
        <w:spacing w:after="0" w:line="286" w:lineRule="auto"/>
        <w:tabs>
          <w:tab w:leader="none" w:pos="648" w:val="left"/>
        </w:tabs>
        <w:numPr>
          <w:ilvl w:val="1"/>
          <w:numId w:val="15"/>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24" w:name="page25"/>
    <w:bookmarkEnd w:id="24"/>
    <w:p>
      <w:pPr>
        <w:ind w:right="160" w:firstLine="443"/>
        <w:spacing w:after="0" w:line="294" w:lineRule="auto"/>
        <w:tabs>
          <w:tab w:leader="none" w:pos="736"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15" w:lineRule="exact"/>
        <w:rPr>
          <w:rFonts w:ascii="Arial" w:cs="Arial" w:eastAsia="Arial" w:hAnsi="Arial"/>
          <w:sz w:val="16"/>
          <w:szCs w:val="16"/>
          <w:color w:val="auto"/>
        </w:rPr>
      </w:pPr>
    </w:p>
    <w:p>
      <w:pPr>
        <w:ind w:firstLine="443"/>
        <w:spacing w:after="0" w:line="285" w:lineRule="auto"/>
        <w:tabs>
          <w:tab w:leader="none" w:pos="6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80" w:right="299" w:bottom="1440" w:gutter="0" w:footer="0" w:header="0"/>
        </w:sectPr>
      </w:pPr>
    </w:p>
    <w:bookmarkStart w:id="25" w:name="page26"/>
    <w:bookmarkEnd w:id="25"/>
    <w:p>
      <w:pPr>
        <w:ind w:left="5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90" w:lineRule="exact"/>
        <w:rPr>
          <w:sz w:val="20"/>
          <w:szCs w:val="20"/>
          <w:color w:val="auto"/>
        </w:rPr>
      </w:pPr>
    </w:p>
    <w:p>
      <w:pPr>
        <w:ind w:right="80" w:firstLine="443"/>
        <w:spacing w:after="0" w:line="298" w:lineRule="auto"/>
        <w:tabs>
          <w:tab w:leader="none" w:pos="6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12" w:lineRule="exact"/>
        <w:rPr>
          <w:rFonts w:ascii="Arial" w:cs="Arial" w:eastAsia="Arial" w:hAnsi="Arial"/>
          <w:sz w:val="16"/>
          <w:szCs w:val="16"/>
          <w:color w:val="auto"/>
        </w:rPr>
      </w:pPr>
    </w:p>
    <w:p>
      <w:pPr>
        <w:ind w:firstLine="443"/>
        <w:spacing w:after="0" w:line="284"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26" w:name="page27"/>
    <w:bookmarkEnd w:id="26"/>
    <w:p>
      <w:pPr>
        <w:ind w:firstLine="443"/>
        <w:spacing w:after="0" w:line="289" w:lineRule="auto"/>
        <w:tabs>
          <w:tab w:leader="none" w:pos="677"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118" w:lineRule="exact"/>
        <w:rPr>
          <w:rFonts w:ascii="Arial" w:cs="Arial" w:eastAsia="Arial" w:hAnsi="Arial"/>
          <w:sz w:val="16"/>
          <w:szCs w:val="16"/>
          <w:color w:val="auto"/>
        </w:rPr>
      </w:pPr>
    </w:p>
    <w:p>
      <w:pPr>
        <w:ind w:right="120" w:firstLine="443"/>
        <w:spacing w:after="0" w:line="255"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42" w:lineRule="exact"/>
        <w:rPr>
          <w:rFonts w:ascii="Arial" w:cs="Arial" w:eastAsia="Arial" w:hAnsi="Arial"/>
          <w:sz w:val="18"/>
          <w:szCs w:val="18"/>
          <w:color w:val="auto"/>
        </w:rPr>
      </w:pPr>
    </w:p>
    <w:p>
      <w:pPr>
        <w:jc w:val="both"/>
        <w:ind w:right="200" w:firstLine="443"/>
        <w:spacing w:after="0" w:line="259" w:lineRule="auto"/>
        <w:tabs>
          <w:tab w:leader="none" w:pos="6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40" w:lineRule="exact"/>
        <w:rPr>
          <w:rFonts w:ascii="Arial" w:cs="Arial" w:eastAsia="Arial" w:hAnsi="Arial"/>
          <w:sz w:val="18"/>
          <w:szCs w:val="18"/>
          <w:color w:val="auto"/>
        </w:rPr>
      </w:pPr>
    </w:p>
    <w:p>
      <w:pPr>
        <w:ind w:right="60" w:firstLine="443"/>
        <w:spacing w:after="0" w:line="254" w:lineRule="auto"/>
        <w:tabs>
          <w:tab w:leader="none" w:pos="6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144" w:lineRule="exact"/>
        <w:rPr>
          <w:rFonts w:ascii="Arial" w:cs="Arial" w:eastAsia="Arial" w:hAnsi="Arial"/>
          <w:sz w:val="18"/>
          <w:szCs w:val="18"/>
          <w:color w:val="auto"/>
        </w:rPr>
      </w:pPr>
    </w:p>
    <w:p>
      <w:pPr>
        <w:ind w:right="40" w:firstLine="443"/>
        <w:spacing w:after="0" w:line="259"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27" w:name="page28"/>
    <w:bookmarkEnd w:id="27"/>
    <w:p>
      <w:pPr>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40" w:lineRule="exact"/>
        <w:rPr>
          <w:sz w:val="20"/>
          <w:szCs w:val="20"/>
          <w:color w:val="auto"/>
        </w:rPr>
      </w:pPr>
    </w:p>
    <w:p>
      <w:pPr>
        <w:ind w:firstLine="443"/>
        <w:spacing w:after="0" w:line="255" w:lineRule="auto"/>
        <w:tabs>
          <w:tab w:leader="none" w:pos="6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142" w:lineRule="exact"/>
        <w:rPr>
          <w:rFonts w:ascii="Arial" w:cs="Arial" w:eastAsia="Arial" w:hAnsi="Arial"/>
          <w:sz w:val="18"/>
          <w:szCs w:val="18"/>
          <w:color w:val="auto"/>
        </w:rPr>
      </w:pPr>
    </w:p>
    <w:p>
      <w:pPr>
        <w:ind w:left="660" w:hanging="217"/>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71" w:lineRule="exact"/>
        <w:rPr>
          <w:rFonts w:ascii="Arial" w:cs="Arial" w:eastAsia="Arial" w:hAnsi="Arial"/>
          <w:sz w:val="18"/>
          <w:szCs w:val="18"/>
          <w:color w:val="auto"/>
        </w:rPr>
      </w:pPr>
    </w:p>
    <w:p>
      <w:pPr>
        <w:ind w:right="80" w:firstLine="443"/>
        <w:spacing w:after="0" w:line="291" w:lineRule="auto"/>
        <w:tabs>
          <w:tab w:leader="none" w:pos="6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120" w:lineRule="exact"/>
        <w:rPr>
          <w:rFonts w:ascii="Arial" w:cs="Arial" w:eastAsia="Arial" w:hAnsi="Arial"/>
          <w:sz w:val="16"/>
          <w:szCs w:val="16"/>
          <w:color w:val="auto"/>
        </w:rPr>
      </w:pPr>
    </w:p>
    <w:p>
      <w:pPr>
        <w:ind w:right="20" w:firstLine="443"/>
        <w:spacing w:after="0" w:line="305" w:lineRule="auto"/>
        <w:tabs>
          <w:tab w:leader="none" w:pos="687" w:val="left"/>
        </w:tabs>
        <w:numPr>
          <w:ilvl w:val="1"/>
          <w:numId w:val="19"/>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w:t>
      </w:r>
    </w:p>
    <w:p>
      <w:pPr>
        <w:jc w:val="both"/>
        <w:ind w:firstLine="4"/>
        <w:spacing w:after="0" w:line="331" w:lineRule="auto"/>
        <w:tabs>
          <w:tab w:leader="none" w:pos="307"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90" w:lineRule="exact"/>
        <w:rPr>
          <w:rFonts w:ascii="Arial" w:cs="Arial" w:eastAsia="Arial" w:hAnsi="Arial"/>
          <w:sz w:val="15"/>
          <w:szCs w:val="15"/>
          <w:color w:val="auto"/>
        </w:rPr>
      </w:pPr>
    </w:p>
    <w:p>
      <w:pPr>
        <w:ind w:right="160" w:firstLine="443"/>
        <w:spacing w:after="0" w:line="259" w:lineRule="auto"/>
        <w:tabs>
          <w:tab w:leader="none" w:pos="648"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28" w:name="page29"/>
    <w:bookmarkEnd w:id="28"/>
    <w:p>
      <w:pPr>
        <w:ind w:left="460" w:right="220" w:firstLine="443"/>
        <w:spacing w:after="0" w:line="259" w:lineRule="auto"/>
        <w:tabs>
          <w:tab w:leader="none" w:pos="1196"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4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15"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4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171" w:lineRule="exact"/>
        <w:rPr>
          <w:sz w:val="20"/>
          <w:szCs w:val="20"/>
          <w:color w:val="auto"/>
        </w:rPr>
      </w:pPr>
    </w:p>
    <w:p>
      <w:pPr>
        <w:ind w:right="320" w:firstLine="456"/>
        <w:spacing w:after="0" w:line="288"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9" w:name="page30"/>
    <w:bookmarkEnd w:id="2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30" w:name="page31"/>
    <w:bookmarkEnd w:id="3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31" w:name="page32"/>
    <w:bookmarkEnd w:id="31"/>
    <w:p>
      <w:pPr>
        <w:ind w:left="5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90" w:lineRule="exact"/>
        <w:rPr>
          <w:sz w:val="20"/>
          <w:szCs w:val="20"/>
          <w:color w:val="auto"/>
        </w:rPr>
      </w:pPr>
    </w:p>
    <w:p>
      <w:pPr>
        <w:ind w:left="460" w:right="160" w:firstLine="443"/>
        <w:spacing w:after="0" w:line="259"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40"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Global Market, (ii) trading of any securities of the Company shall have been suspended on the New York Stock Exchange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2" w:name="page33"/>
    <w:bookmarkEnd w:id="32"/>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2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33" w:name="page34"/>
    <w:bookmarkEnd w:id="33"/>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28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4.2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August 6, 2012</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Reference is made to the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Trustee is the trustee for any and all securities issued under the Indenture. Pursuant to Section 2.01 and Section 2.03 of the Indenture, the undersigned officer does hereby certify, in connection with the issuance of (i) $750,000,000 aggregate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0.450% Notes due 2015 (the “</w:t>
      </w:r>
      <w:r>
        <w:rPr>
          <w:rFonts w:ascii="Arial" w:cs="Arial" w:eastAsia="Arial" w:hAnsi="Arial"/>
          <w:sz w:val="16"/>
          <w:szCs w:val="16"/>
          <w:b w:val="1"/>
          <w:bCs w:val="1"/>
          <w:color w:val="auto"/>
        </w:rPr>
        <w:t>2015 Notes</w:t>
      </w:r>
      <w:r>
        <w:rPr>
          <w:rFonts w:ascii="Arial" w:cs="Arial" w:eastAsia="Arial" w:hAnsi="Arial"/>
          <w:sz w:val="16"/>
          <w:szCs w:val="16"/>
          <w:color w:val="auto"/>
        </w:rPr>
        <w:t>”) and (ii) $750,000,000 aggregate principal amount of 1.650% Notes due 2019 (the “</w:t>
      </w:r>
      <w:r>
        <w:rPr>
          <w:rFonts w:ascii="Arial" w:cs="Arial" w:eastAsia="Arial" w:hAnsi="Arial"/>
          <w:sz w:val="16"/>
          <w:szCs w:val="16"/>
          <w:b w:val="1"/>
          <w:bCs w:val="1"/>
          <w:color w:val="auto"/>
        </w:rPr>
        <w:t>2019 Notes</w:t>
      </w:r>
      <w:r>
        <w:rPr>
          <w:rFonts w:ascii="Arial" w:cs="Arial" w:eastAsia="Arial" w:hAnsi="Arial"/>
          <w:sz w:val="16"/>
          <w:szCs w:val="16"/>
          <w:color w:val="auto"/>
        </w:rPr>
        <w:t>”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420"/>
          </w:cols>
          <w:pgMar w:left="240" w:top="125" w:right="23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0.450% Notes due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3,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0.450%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3 and August 3, commencing on February 3, 2013</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Issuer may at its option redeem the 2015 Notes in whole or in part, at any time or from time to time prior to their maturity, on at least 30 days, but not more than</w:t>
      </w:r>
    </w:p>
    <w:p>
      <w:pPr>
        <w:sectPr>
          <w:pgSz w:w="11900" w:h="16838" w:orient="portrait"/>
          <w:cols w:equalWidth="0" w:num="2">
            <w:col w:w="3520" w:space="720"/>
            <w:col w:w="7180"/>
          </w:cols>
          <w:pgMar w:left="240" w:top="125" w:right="239" w:bottom="144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Notes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20" w:lineRule="exact"/>
        <w:rPr>
          <w:sz w:val="20"/>
          <w:szCs w:val="20"/>
          <w:color w:val="auto"/>
        </w:rPr>
      </w:pPr>
      <w:r>
        <w:rPr>
          <w:sz w:val="20"/>
          <w:szCs w:val="20"/>
          <w:color w:val="auto"/>
        </w:rPr>
        <w:br w:type="column"/>
      </w:r>
    </w:p>
    <w:p>
      <w:pPr>
        <w:ind w:left="5" w:right="740"/>
        <w:spacing w:after="0" w:line="332" w:lineRule="auto"/>
        <w:rPr>
          <w:sz w:val="20"/>
          <w:szCs w:val="20"/>
          <w:color w:val="auto"/>
        </w:rPr>
      </w:pPr>
      <w:r>
        <w:rPr>
          <w:rFonts w:ascii="Arial" w:cs="Arial" w:eastAsia="Arial" w:hAnsi="Arial"/>
          <w:sz w:val="16"/>
          <w:szCs w:val="16"/>
          <w:color w:val="auto"/>
        </w:rPr>
        <w:t>60 days, prior notice mailed to the registered address of each holder of the 2015 Notes, at a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-411480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5" w:hanging="205"/>
        <w:spacing w:after="0"/>
        <w:tabs>
          <w:tab w:leader="none" w:pos="2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 of the principal amount of the 2015 Notes being redeemed; and</w:t>
      </w:r>
    </w:p>
    <w:p>
      <w:pPr>
        <w:spacing w:after="0" w:line="90" w:lineRule="exact"/>
        <w:rPr>
          <w:rFonts w:ascii="Arial" w:cs="Arial" w:eastAsia="Arial" w:hAnsi="Arial"/>
          <w:sz w:val="18"/>
          <w:szCs w:val="18"/>
          <w:color w:val="auto"/>
        </w:rPr>
      </w:pPr>
    </w:p>
    <w:p>
      <w:pPr>
        <w:ind w:left="5" w:hanging="5"/>
        <w:spacing w:after="0" w:line="298" w:lineRule="auto"/>
        <w:tabs>
          <w:tab w:leader="none" w:pos="26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2015 Notes being redeemed at the Treasury Rate (as defined in the 2015 Notes) plus 5 basis points,</w:t>
      </w:r>
    </w:p>
    <w:p>
      <w:pPr>
        <w:spacing w:after="0" w:line="32" w:lineRule="exact"/>
        <w:rPr>
          <w:sz w:val="20"/>
          <w:szCs w:val="20"/>
          <w:color w:val="auto"/>
        </w:rPr>
      </w:pPr>
    </w:p>
    <w:p>
      <w:pPr>
        <w:ind w:left="5"/>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left="5" w:right="40"/>
        <w:spacing w:after="0" w:line="268" w:lineRule="auto"/>
        <w:rPr>
          <w:sz w:val="20"/>
          <w:szCs w:val="20"/>
          <w:color w:val="auto"/>
        </w:rPr>
      </w:pPr>
      <w:r>
        <w:rPr>
          <w:rFonts w:ascii="Arial" w:cs="Arial" w:eastAsia="Arial" w:hAnsi="Arial"/>
          <w:sz w:val="18"/>
          <w:szCs w:val="18"/>
          <w:color w:val="auto"/>
        </w:rPr>
        <w:t xml:space="preserve">The terms of the 2015 Notes shall include such other terms as are set forth in the form of 2015 Notes attached hereto as </w:t>
      </w:r>
      <w:r>
        <w:rPr>
          <w:rFonts w:ascii="Arial" w:cs="Arial" w:eastAsia="Arial" w:hAnsi="Arial"/>
          <w:sz w:val="18"/>
          <w:szCs w:val="18"/>
          <w:b w:val="1"/>
          <w:bCs w:val="1"/>
          <w:color w:val="auto"/>
        </w:rPr>
        <w:t>Exhibits A and B</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Arial" w:cs="Arial" w:eastAsia="Arial" w:hAnsi="Arial"/>
          <w:sz w:val="18"/>
          <w:szCs w:val="18"/>
          <w:color w:val="auto"/>
        </w:rPr>
        <w:t>1.650% Notes due 2019</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5"/>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$750,000,000</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August 3, 2019</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1.650% per annum</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8"/>
          <w:szCs w:val="18"/>
          <w:color w:val="auto"/>
        </w:rPr>
        <w:t>August 6, 2012</w:t>
      </w:r>
    </w:p>
    <w:p>
      <w:pPr>
        <w:spacing w:after="0" w:line="158" w:lineRule="exact"/>
        <w:rPr>
          <w:sz w:val="20"/>
          <w:szCs w:val="20"/>
          <w:color w:val="auto"/>
        </w:rPr>
      </w:pPr>
    </w:p>
    <w:p>
      <w:pPr>
        <w:ind w:left="1445"/>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520" w:space="715"/>
            <w:col w:w="7125"/>
          </w:cols>
          <w:pgMar w:left="240" w:top="280" w:right="299" w:bottom="1440" w:gutter="0" w:footer="0" w:header="0"/>
        </w:sectPr>
      </w:pPr>
    </w:p>
    <w:bookmarkStart w:id="36" w:name="page37"/>
    <w:bookmarkEnd w:id="36"/>
    <w:p>
      <w:pPr>
        <w:spacing w:after="0"/>
        <w:rPr>
          <w:sz w:val="20"/>
          <w:szCs w:val="20"/>
          <w:color w:val="auto"/>
        </w:rPr>
      </w:pPr>
      <w:r>
        <w:rPr>
          <w:rFonts w:ascii="Arial" w:cs="Arial" w:eastAsia="Arial" w:hAnsi="Arial"/>
          <w:sz w:val="15"/>
          <w:szCs w:val="15"/>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February 3 and August 3, commencing on February 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-266700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520" w:space="720"/>
            <w:col w:w="7120"/>
          </w:cols>
          <w:pgMar w:left="240" w:top="388" w:right="299" w:bottom="1440" w:gutter="0" w:footer="0" w:header="0"/>
        </w:sectPr>
      </w:pPr>
    </w:p>
    <w:p>
      <w:pPr>
        <w:spacing w:after="0"/>
        <w:rPr>
          <w:sz w:val="20"/>
          <w:szCs w:val="20"/>
          <w:color w:val="auto"/>
        </w:rPr>
      </w:pPr>
      <w:r>
        <w:rPr>
          <w:rFonts w:ascii="Arial" w:cs="Arial" w:eastAsia="Arial" w:hAnsi="Arial"/>
          <w:sz w:val="15"/>
          <w:szCs w:val="15"/>
          <w:i w:val="1"/>
          <w:iCs w:val="1"/>
          <w:color w:val="auto"/>
        </w:rPr>
        <w:t>Redemption:</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The Issuer may at its option redeem the 2019 Notes in whole or in part, at any time or from time to time prior to their maturity, on at least 30 days, but not more than 60 days, prior notice mailed to the registered address of each holder of the 2019 Notes, at a redemption price, calculated by the Issuer, equal to the greater of:</w:t>
      </w:r>
    </w:p>
    <w:p>
      <w:pPr>
        <w:spacing w:after="0" w:line="62" w:lineRule="exact"/>
        <w:rPr>
          <w:sz w:val="20"/>
          <w:szCs w:val="20"/>
          <w:color w:val="auto"/>
        </w:rPr>
      </w:pPr>
    </w:p>
    <w:p>
      <w:pPr>
        <w:sectPr>
          <w:pgSz w:w="11900" w:h="16838" w:orient="portrait"/>
          <w:cols w:equalWidth="0" w:num="2">
            <w:col w:w="3520" w:space="720"/>
            <w:col w:w="7120"/>
          </w:cols>
          <w:pgMar w:left="240" w:top="388" w:right="299" w:bottom="1440" w:gutter="0" w:footer="0" w:header="0"/>
          <w:type w:val="continuous"/>
        </w:sectPr>
      </w:pPr>
    </w:p>
    <w:p>
      <w:pPr>
        <w:ind w:left="4240"/>
        <w:spacing w:after="0"/>
        <w:rPr>
          <w:sz w:val="20"/>
          <w:szCs w:val="20"/>
          <w:color w:val="auto"/>
        </w:rPr>
      </w:pPr>
      <w:r>
        <w:rPr>
          <w:rFonts w:ascii="Arial" w:cs="Arial" w:eastAsia="Arial" w:hAnsi="Arial"/>
          <w:sz w:val="18"/>
          <w:szCs w:val="18"/>
          <w:color w:val="auto"/>
        </w:rPr>
        <w:t>(i) 100% of the principal amount of the 2019 Notes being redeemed; and</w:t>
      </w:r>
    </w:p>
    <w:p>
      <w:pPr>
        <w:spacing w:after="0" w:line="90" w:lineRule="exact"/>
        <w:rPr>
          <w:sz w:val="20"/>
          <w:szCs w:val="20"/>
          <w:color w:val="auto"/>
        </w:rPr>
      </w:pPr>
    </w:p>
    <w:p>
      <w:pPr>
        <w:ind w:left="4240"/>
        <w:spacing w:after="0" w:line="323" w:lineRule="auto"/>
        <w:rPr>
          <w:sz w:val="20"/>
          <w:szCs w:val="20"/>
          <w:color w:val="auto"/>
        </w:rPr>
      </w:pPr>
      <w:r>
        <w:rPr>
          <w:rFonts w:ascii="Arial" w:cs="Arial" w:eastAsia="Arial" w:hAnsi="Arial"/>
          <w:sz w:val="15"/>
          <w:szCs w:val="15"/>
          <w:color w:val="auto"/>
        </w:rPr>
        <w:t>(ii) 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2019 Notes being redeemed at the Treasury Rate (as defined in the 2019 Notes) plus 12.5 basis points,</w:t>
      </w:r>
    </w:p>
    <w:p>
      <w:pPr>
        <w:spacing w:after="0" w:line="1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60"/>
          </w:cols>
          <w:pgMar w:left="240" w:top="388" w:right="29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520" w:space="720"/>
            <w:col w:w="7120"/>
          </w:cols>
          <w:pgMar w:left="240" w:top="388"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3520" w:space="720"/>
            <w:col w:w="7120"/>
          </w:cols>
          <w:pgMar w:left="240" w:top="388"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$2,000 and multiples of $1,000 thereafter</w:t>
      </w:r>
    </w:p>
    <w:p>
      <w:pPr>
        <w:spacing w:after="0" w:line="151" w:lineRule="exact"/>
        <w:rPr>
          <w:sz w:val="20"/>
          <w:szCs w:val="20"/>
          <w:color w:val="auto"/>
        </w:rPr>
      </w:pPr>
    </w:p>
    <w:p>
      <w:pPr>
        <w:sectPr>
          <w:pgSz w:w="11900" w:h="16838" w:orient="portrait"/>
          <w:cols w:equalWidth="0" w:num="2">
            <w:col w:w="3520" w:space="720"/>
            <w:col w:w="7120"/>
          </w:cols>
          <w:pgMar w:left="240" w:top="388"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 xml:space="preserve">The terms of the 2019 Notes shall include such other terms as are set forth in the form of 2019 Notes attached hereto as </w:t>
      </w:r>
      <w:r>
        <w:rPr>
          <w:rFonts w:ascii="Arial" w:cs="Arial" w:eastAsia="Arial" w:hAnsi="Arial"/>
          <w:sz w:val="18"/>
          <w:szCs w:val="18"/>
          <w:b w:val="1"/>
          <w:bCs w:val="1"/>
          <w:color w:val="auto"/>
        </w:rPr>
        <w:t>Exhibits C and D</w:t>
      </w:r>
      <w:r>
        <w:rPr>
          <w:rFonts w:ascii="Arial" w:cs="Arial" w:eastAsia="Arial" w:hAnsi="Arial"/>
          <w:sz w:val="18"/>
          <w:szCs w:val="18"/>
          <w:color w:val="auto"/>
        </w:rPr>
        <w:t xml:space="preserve"> and in the Indenture.</w:t>
      </w:r>
    </w:p>
    <w:p>
      <w:pPr>
        <w:spacing w:after="0" w:line="118" w:lineRule="exact"/>
        <w:rPr>
          <w:sz w:val="20"/>
          <w:szCs w:val="20"/>
          <w:color w:val="auto"/>
        </w:rPr>
      </w:pPr>
    </w:p>
    <w:p>
      <w:pPr>
        <w:sectPr>
          <w:pgSz w:w="11900" w:h="16838" w:orient="portrait"/>
          <w:cols w:equalWidth="0" w:num="2">
            <w:col w:w="3520" w:space="720"/>
            <w:col w:w="7120"/>
          </w:cols>
          <w:pgMar w:left="240" w:top="388"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0"/>
          </w:cols>
          <w:pgMar w:left="240" w:top="388" w:right="299" w:bottom="1440" w:gutter="0" w:footer="0" w:header="0"/>
          <w:type w:val="continuous"/>
        </w:sectPr>
      </w:pPr>
    </w:p>
    <w:bookmarkStart w:id="37" w:name="page38"/>
    <w:bookmarkEnd w:id="37"/>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2015 Notes or the 2019 Notes, as the case may be, issued on the issue date, other than with respect to the date of issuance and the issue price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Any Additional Notes will be issued in accordance with Section 2.03 of the Indenture.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officers of the Issuer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TEXAS INSTRUMENTS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Title:</w:t>
        <w:tab/>
        <w:t>Vice President and Treasurer</w:t>
      </w:r>
    </w:p>
    <w:p>
      <w:pPr>
        <w:spacing w:after="0" w:line="18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759"/>
          </w:cols>
          <w:pgMar w:left="700" w:top="280" w:right="1440"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2015]</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0.450% Notes due 2015</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CUSIP No.: 882508AT1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US882508AT13</w:t>
      </w:r>
    </w:p>
    <w:p>
      <w:pPr>
        <w:spacing w:after="0" w:line="200" w:lineRule="exact"/>
        <w:rPr>
          <w:sz w:val="20"/>
          <w:szCs w:val="20"/>
          <w:color w:val="auto"/>
        </w:rPr>
      </w:pPr>
    </w:p>
    <w:p>
      <w:pPr>
        <w:sectPr>
          <w:pgSz w:w="11900" w:h="16838" w:orient="portrait"/>
          <w:cols w:equalWidth="0" w:num="2">
            <w:col w:w="8820" w:space="720"/>
            <w:col w:w="1880"/>
          </w:cols>
          <w:pgMar w:left="240" w:top="274" w:right="239" w:bottom="1440" w:gutter="0" w:footer="0" w:header="0"/>
          <w:type w:val="continuous"/>
        </w:sectPr>
      </w:pPr>
    </w:p>
    <w:p>
      <w:pPr>
        <w:spacing w:after="0" w:line="42"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August 3, 2015.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3 and August 3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3,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19 and July 19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41" w:name="page42"/>
    <w:bookmarkEnd w:id="4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15"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Secretary</w:t>
      </w:r>
    </w:p>
    <w:p>
      <w:pPr>
        <w:sectPr>
          <w:pgSz w:w="11900" w:h="16838" w:orient="portrait"/>
          <w:cols w:equalWidth="0" w:num="1">
            <w:col w:w="11140"/>
          </w:cols>
          <w:pgMar w:left="240" w:top="280" w:right="51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0.450% Notes due 2015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65" w:lineRule="exact"/>
        <w:rPr>
          <w:sz w:val="20"/>
          <w:szCs w:val="20"/>
          <w:color w:val="auto"/>
        </w:rPr>
      </w:pPr>
    </w:p>
    <w:p>
      <w:pPr>
        <w:ind w:right="12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August 6, 2012. Interest on this Note will be paid to but excluding the relevant Interest Payment Date. The Issuer will pay interest semi-annually in arrears on each Interest Payment Date, commencing February 3, 2013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0.450% Notes due 2015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August 6, 2012,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w:t>
      </w:r>
    </w:p>
    <w:p>
      <w:pPr>
        <w:sectPr>
          <w:pgSz w:w="11900" w:h="16838" w:orient="portrait"/>
          <w:cols w:equalWidth="0" w:num="1">
            <w:col w:w="11380"/>
          </w:cols>
          <w:pgMar w:left="240" w:top="280"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of them. To the extent the terms of the Indenture and this Note are inconsistent, the terms of the Indenture shall govern.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five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80"/>
          </w:cols>
          <w:pgMar w:left="240" w:top="280" w:right="279" w:bottom="1440" w:gutter="0" w:footer="0" w:header="0"/>
        </w:sectPr>
      </w:pPr>
    </w:p>
    <w:bookmarkStart w:id="45" w:name="page46"/>
    <w:bookmarkEnd w:id="45"/>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(i) Citigroup Global Markets Inc., J.P. Morgan Securities LLC, Morgan Stanley &amp; Co. LLC and Mizuho Securities USA Inc. (or their respective affiliates that are Primary Treasury Dealers) and their respective successors;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03"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360"/>
          </w:cols>
          <w:pgMar w:left="240" w:top="280" w:right="299" w:bottom="1440" w:gutter="0" w:footer="0" w:header="0"/>
        </w:sectPr>
      </w:pPr>
    </w:p>
    <w:bookmarkStart w:id="46" w:name="page47"/>
    <w:bookmarkEnd w:id="46"/>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 CUSIP Numbers.</w:t>
      </w:r>
    </w:p>
    <w:p>
      <w:pPr>
        <w:sectPr>
          <w:pgSz w:w="11900" w:h="16838" w:orient="portrait"/>
          <w:cols w:equalWidth="0" w:num="1">
            <w:col w:w="11400"/>
          </w:cols>
          <w:pgMar w:left="240" w:top="280" w:right="259" w:bottom="1440" w:gutter="0" w:footer="0" w:header="0"/>
        </w:sectPr>
      </w:pPr>
    </w:p>
    <w:bookmarkStart w:id="47" w:name="page48"/>
    <w:bookmarkEnd w:id="4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00"/>
          </w:cols>
          <w:pgMar w:left="240" w:top="280"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9400" w:type="dxa"/>
            <w:vAlign w:val="bottom"/>
            <w:gridSpan w:val="3"/>
          </w:tcPr>
          <w:p>
            <w:pPr>
              <w:ind w:left="80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05"/>
        </w:trPr>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r>
      <w:tr>
        <w:trPr>
          <w:trHeight w:val="331"/>
        </w:trPr>
        <w:tc>
          <w:tcPr>
            <w:tcW w:w="2020" w:type="dxa"/>
            <w:vAlign w:val="bottom"/>
            <w:gridSpan w:val="2"/>
          </w:tcPr>
          <w:p>
            <w:pPr>
              <w:spacing w:after="0"/>
              <w:rPr>
                <w:sz w:val="20"/>
                <w:szCs w:val="20"/>
                <w:color w:val="auto"/>
              </w:rPr>
            </w:pPr>
            <w:r>
              <w:rPr>
                <w:rFonts w:ascii="Arial" w:cs="Arial" w:eastAsia="Arial" w:hAnsi="Arial"/>
                <w:sz w:val="18"/>
                <w:szCs w:val="18"/>
                <w:color w:val="auto"/>
              </w:rPr>
              <w:t>Date:</w:t>
            </w:r>
          </w:p>
        </w:tc>
        <w:tc>
          <w:tcPr>
            <w:tcW w:w="9400" w:type="dxa"/>
            <w:vAlign w:val="bottom"/>
            <w:gridSpan w:val="3"/>
          </w:tcPr>
          <w:p>
            <w:pPr>
              <w:spacing w:after="0"/>
              <w:rPr>
                <w:sz w:val="20"/>
                <w:szCs w:val="20"/>
                <w:color w:val="auto"/>
              </w:rPr>
            </w:pPr>
            <w:r>
              <w:rPr>
                <w:rFonts w:ascii="Arial" w:cs="Arial" w:eastAsia="Arial" w:hAnsi="Arial"/>
                <w:sz w:val="18"/>
                <w:szCs w:val="18"/>
                <w:color w:val="auto"/>
              </w:rPr>
              <w:t>Your Signature:</w:t>
            </w:r>
          </w:p>
        </w:tc>
      </w:tr>
      <w:tr>
        <w:trPr>
          <w:trHeight w:val="20"/>
        </w:trPr>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148590</wp:posOffset>
            </wp:positionV>
            <wp:extent cx="3404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420"/>
          </w:cols>
          <w:pgMar w:left="240" w:top="280" w:right="239" w:bottom="1440" w:gutter="0" w:footer="0" w:header="0"/>
        </w:sectPr>
      </w:pPr>
    </w:p>
    <w:bookmarkStart w:id="49" w:name="page50"/>
    <w:bookmarkEnd w:id="49"/>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of decrease</w:t>
            </w:r>
          </w:p>
        </w:tc>
      </w:tr>
      <w:tr>
        <w:trPr>
          <w:trHeight w:val="149"/>
        </w:trPr>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68"/>
        </w:trPr>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Date of Exchange</w:t>
            </w:r>
          </w:p>
        </w:tc>
        <w:tc>
          <w:tcPr>
            <w:tcW w:w="78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Principal amount of</w:t>
            </w:r>
          </w:p>
        </w:tc>
        <w:tc>
          <w:tcPr>
            <w:tcW w:w="206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2060" w:type="dxa"/>
            <w:vAlign w:val="bottom"/>
          </w:tcPr>
          <w:p>
            <w:pPr>
              <w:spacing w:after="0"/>
              <w:rPr>
                <w:sz w:val="12"/>
                <w:szCs w:val="12"/>
                <w:color w:val="auto"/>
              </w:rPr>
            </w:pPr>
          </w:p>
        </w:tc>
      </w:tr>
      <w:tr>
        <w:trPr>
          <w:trHeight w:val="149"/>
        </w:trPr>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Amount of increase</w:t>
            </w:r>
          </w:p>
        </w:tc>
        <w:tc>
          <w:tcPr>
            <w:tcW w:w="2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 principal amount</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decrease (or</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75"/>
        </w:trPr>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 this Global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Trustee</w:t>
            </w:r>
          </w:p>
        </w:tc>
      </w:tr>
    </w:tbl>
    <w:p>
      <w:pPr>
        <w:sectPr>
          <w:pgSz w:w="11900" w:h="16838" w:orient="portrait"/>
          <w:cols w:equalWidth="0" w:num="2">
            <w:col w:w="4700" w:space="120"/>
            <w:col w:w="6600"/>
          </w:cols>
          <w:pgMar w:left="240" w:top="280" w:right="2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2015]</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0.450% Notes due 2015</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CUSIP No.: 882508AT1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US882508AT13</w:t>
      </w:r>
    </w:p>
    <w:p>
      <w:pPr>
        <w:spacing w:after="0" w:line="200" w:lineRule="exact"/>
        <w:rPr>
          <w:sz w:val="20"/>
          <w:szCs w:val="20"/>
          <w:color w:val="auto"/>
        </w:rPr>
      </w:pPr>
    </w:p>
    <w:p>
      <w:pPr>
        <w:sectPr>
          <w:pgSz w:w="11900" w:h="16838" w:orient="portrait"/>
          <w:cols w:equalWidth="0" w:num="2">
            <w:col w:w="8820" w:space="720"/>
            <w:col w:w="1880"/>
          </w:cols>
          <w:pgMar w:left="240" w:top="274" w:right="239" w:bottom="1440" w:gutter="0" w:footer="0" w:header="0"/>
          <w:type w:val="continuous"/>
        </w:sectPr>
      </w:pPr>
    </w:p>
    <w:p>
      <w:pPr>
        <w:spacing w:after="0" w:line="42" w:lineRule="exact"/>
        <w:rPr>
          <w:sz w:val="20"/>
          <w:szCs w:val="20"/>
          <w:color w:val="auto"/>
        </w:rPr>
      </w:pPr>
    </w:p>
    <w:p>
      <w:pPr>
        <w:ind w:left="10460"/>
        <w:spacing w:after="0"/>
        <w:rPr>
          <w:sz w:val="20"/>
          <w:szCs w:val="20"/>
          <w:color w:val="auto"/>
        </w:rPr>
      </w:pPr>
      <w:r>
        <w:rPr>
          <w:rFonts w:ascii="Arial" w:cs="Arial" w:eastAsia="Arial" w:hAnsi="Arial"/>
          <w:sz w:val="15"/>
          <w:szCs w:val="15"/>
          <w:color w:val="auto"/>
        </w:rPr>
        <w:t>$250,000,000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TWO HUNDRED FIFTY MILLION DOLLARS on August 3, 2015.</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3 and August 3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3,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19 and July 19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52" w:name="page53"/>
    <w:bookmarkEnd w:id="5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15"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Secretary</w:t>
      </w:r>
    </w:p>
    <w:p>
      <w:pPr>
        <w:sectPr>
          <w:pgSz w:w="11900" w:h="16838" w:orient="portrait"/>
          <w:cols w:equalWidth="0" w:num="1">
            <w:col w:w="11280"/>
          </w:cols>
          <w:pgMar w:left="240" w:top="280" w:right="37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0.450% Notes due 2015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65" w:lineRule="exact"/>
        <w:rPr>
          <w:sz w:val="20"/>
          <w:szCs w:val="20"/>
          <w:color w:val="auto"/>
        </w:rPr>
      </w:pPr>
    </w:p>
    <w:p>
      <w:pPr>
        <w:ind w:right="12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August 6, 2012. Interest on this Note will be paid to but excluding the relevant Interest Payment Date. The Issuer will pay interest semi-annually in arrears on each Interest Payment Date, commencing February 3, 2013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0.450% Notes due 2015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August 6, 2012,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ectPr>
          <w:pgSz w:w="11900" w:h="16838" w:orient="portrait"/>
          <w:cols w:equalWidth="0" w:num="1">
            <w:col w:w="11380"/>
          </w:cols>
          <w:pgMar w:left="240" w:top="280" w:right="27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five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80"/>
          </w:cols>
          <w:pgMar w:left="240" w:top="280" w:right="279" w:bottom="1440" w:gutter="0" w:footer="0" w:header="0"/>
        </w:sectPr>
      </w:pPr>
    </w:p>
    <w:bookmarkStart w:id="56" w:name="page57"/>
    <w:bookmarkEnd w:id="5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(i) Citigroup Global Markets Inc., J.P. Morgan Securities LLC, Morgan Stanley &amp; Co. LLC and Mizuho Securities USA Inc. (or their respective affiliates that are Primary Treasury Dealers) and their respective successors;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03"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360"/>
          </w:cols>
          <w:pgMar w:left="240" w:top="280" w:right="299" w:bottom="1440" w:gutter="0" w:footer="0" w:header="0"/>
        </w:sectPr>
      </w:pPr>
    </w:p>
    <w:bookmarkStart w:id="57" w:name="page58"/>
    <w:bookmarkEnd w:id="5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400"/>
          </w:cols>
          <w:pgMar w:left="240" w:top="280"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CUSIP Numbers.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00"/>
          </w:cols>
          <w:pgMar w:left="240" w:top="280"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40" w:type="dxa"/>
            <w:vAlign w:val="bottom"/>
            <w:gridSpan w:val="3"/>
          </w:tcPr>
          <w:p>
            <w:pPr>
              <w:ind w:left="100"/>
              <w:spacing w:after="0"/>
              <w:rPr>
                <w:sz w:val="20"/>
                <w:szCs w:val="20"/>
                <w:color w:val="auto"/>
              </w:rPr>
            </w:pPr>
            <w:r>
              <w:rPr>
                <w:rFonts w:ascii="Arial" w:cs="Arial" w:eastAsia="Arial" w:hAnsi="Arial"/>
                <w:sz w:val="18"/>
                <w:szCs w:val="18"/>
                <w:color w:val="auto"/>
              </w:rPr>
              <w:t>(Print or type assignee’s name, address and zip code)</w:t>
            </w:r>
          </w:p>
        </w:tc>
      </w:tr>
      <w:tr>
        <w:trPr>
          <w:trHeight w:val="378"/>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Arial" w:cs="Arial" w:eastAsia="Arial" w:hAnsi="Arial"/>
                <w:sz w:val="18"/>
                <w:szCs w:val="18"/>
                <w:color w:val="auto"/>
              </w:rPr>
              <w:t>(Insert assignee’s soc. sec. or tax I.D. No.)</w:t>
            </w:r>
          </w:p>
        </w:tc>
      </w:tr>
      <w:tr>
        <w:trPr>
          <w:trHeight w:val="378"/>
        </w:trPr>
        <w:tc>
          <w:tcPr>
            <w:tcW w:w="1780" w:type="dxa"/>
            <w:vAlign w:val="bottom"/>
            <w:gridSpan w:val="3"/>
          </w:tcPr>
          <w:p>
            <w:pPr>
              <w:spacing w:after="0"/>
              <w:rPr>
                <w:sz w:val="20"/>
                <w:szCs w:val="20"/>
                <w:color w:val="auto"/>
              </w:rPr>
            </w:pPr>
            <w:r>
              <w:rPr>
                <w:rFonts w:ascii="Arial" w:cs="Arial" w:eastAsia="Arial" w:hAnsi="Arial"/>
                <w:sz w:val="18"/>
                <w:szCs w:val="18"/>
                <w:color w:val="auto"/>
                <w:w w:val="94"/>
              </w:rPr>
              <w:t>and irrevocably appoint</w:t>
            </w:r>
          </w:p>
        </w:tc>
        <w:tc>
          <w:tcPr>
            <w:tcW w:w="9640" w:type="dxa"/>
            <w:vAlign w:val="bottom"/>
            <w:gridSpan w:val="3"/>
          </w:tcPr>
          <w:p>
            <w:pPr>
              <w:ind w:left="82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99"/>
        </w:trPr>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spacing w:after="0"/>
              <w:rPr>
                <w:sz w:val="24"/>
                <w:szCs w:val="24"/>
                <w:color w:val="auto"/>
              </w:rPr>
            </w:pP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w w:val="83"/>
              </w:rPr>
              <w:t>Date:</w:t>
            </w:r>
          </w:p>
        </w:tc>
        <w:tc>
          <w:tcPr>
            <w:tcW w:w="1100" w:type="dxa"/>
            <w:vAlign w:val="bottom"/>
            <w:tcBorders>
              <w:bottom w:val="single" w:sz="8" w:color="auto"/>
            </w:tcBorders>
          </w:tcPr>
          <w:p>
            <w:pPr>
              <w:spacing w:after="0"/>
              <w:rPr>
                <w:sz w:val="17"/>
                <w:szCs w:val="17"/>
                <w:color w:val="auto"/>
              </w:rPr>
            </w:pPr>
          </w:p>
        </w:tc>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w w:val="91"/>
              </w:rPr>
              <w:t>Your Signature:</w:t>
            </w:r>
          </w:p>
        </w:tc>
        <w:tc>
          <w:tcPr>
            <w:tcW w:w="1760" w:type="dxa"/>
            <w:vAlign w:val="bottom"/>
            <w:tcBorders>
              <w:bottom w:val="single" w:sz="8" w:color="auto"/>
            </w:tcBorders>
          </w:tcPr>
          <w:p>
            <w:pPr>
              <w:spacing w:after="0"/>
              <w:rPr>
                <w:sz w:val="17"/>
                <w:szCs w:val="17"/>
                <w:color w:val="auto"/>
              </w:rPr>
            </w:pPr>
          </w:p>
        </w:tc>
        <w:tc>
          <w:tcPr>
            <w:tcW w:w="70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294005</wp:posOffset>
            </wp:positionV>
            <wp:extent cx="3473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420"/>
          </w:cols>
          <w:pgMar w:left="240" w:top="280" w:right="239" w:bottom="1440" w:gutter="0" w:footer="0" w:header="0"/>
        </w:sectPr>
      </w:pPr>
    </w:p>
    <w:bookmarkStart w:id="60" w:name="page61"/>
    <w:bookmarkEnd w:id="60"/>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principal amount</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74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 of increase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principal amount</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14490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Principal amount of</w:t>
            </w:r>
          </w:p>
        </w:tc>
        <w:tc>
          <w:tcPr>
            <w:tcW w:w="1040" w:type="dxa"/>
            <w:vAlign w:val="bottom"/>
          </w:tcPr>
          <w:p>
            <w:pPr>
              <w:spacing w:after="0"/>
              <w:rPr>
                <w:sz w:val="14"/>
                <w:szCs w:val="14"/>
                <w:color w:val="auto"/>
              </w:rPr>
            </w:pPr>
          </w:p>
        </w:tc>
      </w:tr>
      <w:tr>
        <w:trPr>
          <w:trHeight w:val="149"/>
        </w:trPr>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this Global Note</w:t>
            </w:r>
          </w:p>
        </w:tc>
        <w:tc>
          <w:tcPr>
            <w:tcW w:w="1040" w:type="dxa"/>
            <w:vAlign w:val="bottom"/>
          </w:tcPr>
          <w:p>
            <w:pPr>
              <w:spacing w:after="0"/>
              <w:rPr>
                <w:sz w:val="12"/>
                <w:szCs w:val="12"/>
                <w:color w:val="auto"/>
              </w:rPr>
            </w:pPr>
          </w:p>
        </w:tc>
      </w:tr>
      <w:tr>
        <w:trPr>
          <w:trHeight w:val="149"/>
        </w:trPr>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Signature of</w:t>
            </w:r>
          </w:p>
        </w:tc>
      </w:tr>
      <w:tr>
        <w:trPr>
          <w:trHeight w:val="149"/>
        </w:trPr>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authorized officer</w:t>
            </w:r>
          </w:p>
        </w:tc>
      </w:tr>
      <w:tr>
        <w:trPr>
          <w:trHeight w:val="16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Trustee</w:t>
            </w:r>
          </w:p>
        </w:tc>
      </w:tr>
    </w:tbl>
    <w:p>
      <w:pPr>
        <w:sectPr>
          <w:pgSz w:w="11900" w:h="16838" w:orient="portrait"/>
          <w:cols w:equalWidth="0" w:num="3">
            <w:col w:w="5820" w:space="720"/>
            <w:col w:w="1420" w:space="720"/>
            <w:col w:w="2740"/>
          </w:cols>
          <w:pgMar w:left="240" w:top="280" w:right="23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2019]</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1.650% Notes due 2019</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CUSIP No.: 882508AU8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US882508AU85</w:t>
      </w:r>
    </w:p>
    <w:p>
      <w:pPr>
        <w:spacing w:after="0" w:line="134" w:lineRule="exact"/>
        <w:rPr>
          <w:sz w:val="20"/>
          <w:szCs w:val="20"/>
          <w:color w:val="auto"/>
        </w:rPr>
      </w:pPr>
    </w:p>
    <w:p>
      <w:pPr>
        <w:sectPr>
          <w:pgSz w:w="11900" w:h="16838" w:orient="portrait"/>
          <w:cols w:equalWidth="0" w:num="2">
            <w:col w:w="8780" w:space="720"/>
            <w:col w:w="1920"/>
          </w:cols>
          <w:pgMar w:left="240" w:top="274" w:right="239" w:bottom="1440" w:gutter="0" w:footer="0" w:header="0"/>
          <w:type w:val="continuous"/>
        </w:sect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August 3, 2019.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3 and August 3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3,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19 and July 19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63" w:name="page64"/>
    <w:bookmarkEnd w:id="6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Treasurer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140"/>
          </w:cols>
          <w:pgMar w:left="240" w:top="280" w:right="519" w:bottom="1440" w:gutter="0" w:footer="0" w:header="0"/>
        </w:sectPr>
      </w:pPr>
    </w:p>
    <w:bookmarkStart w:id="64" w:name="page65"/>
    <w:bookmarkEnd w:id="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1.650% Notes due 2019</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65" w:lineRule="exact"/>
        <w:rPr>
          <w:sz w:val="20"/>
          <w:szCs w:val="20"/>
          <w:color w:val="auto"/>
        </w:rPr>
      </w:pPr>
    </w:p>
    <w:p>
      <w:pPr>
        <w:ind w:right="12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August 6, 2012. Interest on this Note will be paid to but excluding the relevant Interest Payment Date. The Issuer will pay interest semi-annually in arrears on each Interest Payment Date, commencing February 3, 2013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1.650% Notes due 2019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August 6, 2012,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ectPr>
          <w:pgSz w:w="11900" w:h="16838" w:orient="portrait"/>
          <w:cols w:equalWidth="0" w:num="1">
            <w:col w:w="11380"/>
          </w:cols>
          <w:pgMar w:left="240" w:top="280" w:right="27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twelve and one-half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80"/>
          </w:cols>
          <w:pgMar w:left="240" w:top="280" w:right="279" w:bottom="1440" w:gutter="0" w:footer="0" w:header="0"/>
        </w:sectPr>
      </w:pPr>
    </w:p>
    <w:bookmarkStart w:id="67" w:name="page68"/>
    <w:bookmarkEnd w:id="67"/>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(i) Citigroup Global Markets Inc., J.P. Morgan Securities LLC, Morgan Stanley &amp; Co. LLC and Mizuho Securities USA Inc. (or their respective affiliates that are Primary Treasury Dealers) and their respective successors;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03"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360"/>
          </w:cols>
          <w:pgMar w:left="240" w:top="280" w:right="299" w:bottom="1440" w:gutter="0" w:footer="0" w:header="0"/>
        </w:sectPr>
      </w:pPr>
    </w:p>
    <w:bookmarkStart w:id="68" w:name="page69"/>
    <w:bookmarkEnd w:id="68"/>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400"/>
          </w:cols>
          <w:pgMar w:left="240" w:top="280" w:right="25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 CUSIP Numbers.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00"/>
          </w:cols>
          <w:pgMar w:left="240" w:top="280" w:right="359" w:bottom="1440" w:gutter="0" w:footer="0" w:header="0"/>
        </w:sectPr>
      </w:pPr>
    </w:p>
    <w:bookmarkStart w:id="70" w:name="page71"/>
    <w:bookmarkEnd w:id="7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 or type assignee’s name, address and zip code)</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(Insert assignee’s soc. sec. or tax I.D. No.)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0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w w:val="87"/>
              </w:rPr>
              <w:t>agent to transfer this Note on the books of the Issuer. The agent may substitute another to act for him.</w:t>
            </w:r>
          </w:p>
        </w:tc>
      </w:tr>
      <w:tr>
        <w:trPr>
          <w:trHeight w:val="542"/>
        </w:trPr>
        <w:tc>
          <w:tcPr>
            <w:tcW w:w="380" w:type="dxa"/>
            <w:vAlign w:val="bottom"/>
          </w:tcPr>
          <w:p>
            <w:pPr>
              <w:spacing w:after="0"/>
              <w:rPr>
                <w:sz w:val="20"/>
                <w:szCs w:val="20"/>
                <w:color w:val="auto"/>
              </w:rPr>
            </w:pPr>
            <w:r>
              <w:rPr>
                <w:rFonts w:ascii="Arial" w:cs="Arial" w:eastAsia="Arial" w:hAnsi="Arial"/>
                <w:sz w:val="18"/>
                <w:szCs w:val="18"/>
                <w:color w:val="auto"/>
                <w:w w:val="83"/>
              </w:rPr>
              <w:t>Date:</w:t>
            </w:r>
          </w:p>
        </w:tc>
        <w:tc>
          <w:tcPr>
            <w:tcW w:w="980" w:type="dxa"/>
            <w:vAlign w:val="bottom"/>
            <w:tcBorders>
              <w:bottom w:val="single" w:sz="8" w:color="auto"/>
            </w:tcBorders>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89"/>
              </w:rPr>
              <w:t>Your Signature:</w:t>
            </w:r>
          </w:p>
        </w:tc>
        <w:tc>
          <w:tcPr>
            <w:tcW w:w="1980" w:type="dxa"/>
            <w:vAlign w:val="bottom"/>
            <w:tcBorders>
              <w:bottom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234315</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5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31496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49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5016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165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-125730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340"/>
          </w:cols>
          <w:pgMar w:left="240" w:top="455" w:right="319" w:bottom="1440" w:gutter="0" w:footer="0" w:header="0"/>
        </w:sectPr>
      </w:pPr>
    </w:p>
    <w:bookmarkStart w:id="71" w:name="page72"/>
    <w:bookmarkEnd w:id="71"/>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6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 of increase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principal amount</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14408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Principal amount of</w:t>
            </w:r>
          </w:p>
        </w:tc>
        <w:tc>
          <w:tcPr>
            <w:tcW w:w="1180" w:type="dxa"/>
            <w:vAlign w:val="bottom"/>
          </w:tcPr>
          <w:p>
            <w:pPr>
              <w:spacing w:after="0"/>
              <w:rPr>
                <w:sz w:val="14"/>
                <w:szCs w:val="14"/>
                <w:color w:val="auto"/>
              </w:rPr>
            </w:pP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180" w:type="dxa"/>
            <w:vAlign w:val="bottom"/>
          </w:tcPr>
          <w:p>
            <w:pPr>
              <w:spacing w:after="0"/>
              <w:rPr>
                <w:sz w:val="12"/>
                <w:szCs w:val="12"/>
                <w:color w:val="auto"/>
              </w:rPr>
            </w:pPr>
          </w:p>
        </w:tc>
      </w:tr>
      <w:tr>
        <w:trPr>
          <w:trHeight w:val="149"/>
        </w:trPr>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6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5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Trustee</w:t>
            </w:r>
          </w:p>
        </w:tc>
      </w:tr>
    </w:tbl>
    <w:p>
      <w:pPr>
        <w:sectPr>
          <w:pgSz w:w="11900" w:h="16838" w:orient="portrait"/>
          <w:cols w:equalWidth="0" w:num="3">
            <w:col w:w="5700" w:space="720"/>
            <w:col w:w="1400" w:space="720"/>
            <w:col w:w="2880"/>
          </w:cols>
          <w:pgMar w:left="240" w:top="280" w:right="2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2019]</w:t>
      </w:r>
    </w:p>
    <w:p>
      <w:pPr>
        <w:spacing w:after="0" w:line="171"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680" w:firstLine="913"/>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1.650% Notes due 2019</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CUSIP No.: 882508AU8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US882508AU85</w:t>
      </w:r>
    </w:p>
    <w:p>
      <w:pPr>
        <w:spacing w:after="0" w:line="134" w:lineRule="exact"/>
        <w:rPr>
          <w:sz w:val="20"/>
          <w:szCs w:val="20"/>
          <w:color w:val="auto"/>
        </w:rPr>
      </w:pPr>
    </w:p>
    <w:p>
      <w:pPr>
        <w:sectPr>
          <w:pgSz w:w="11900" w:h="16838" w:orient="portrait"/>
          <w:cols w:equalWidth="0" w:num="2">
            <w:col w:w="8780" w:space="720"/>
            <w:col w:w="1920"/>
          </w:cols>
          <w:pgMar w:left="240" w:top="274" w:right="239" w:bottom="1440" w:gutter="0" w:footer="0" w:header="0"/>
          <w:type w:val="continuous"/>
        </w:sectPr>
      </w:pPr>
    </w:p>
    <w:p>
      <w:pPr>
        <w:ind w:left="10460"/>
        <w:spacing w:after="0"/>
        <w:rPr>
          <w:sz w:val="20"/>
          <w:szCs w:val="20"/>
          <w:color w:val="auto"/>
        </w:rPr>
      </w:pPr>
      <w:r>
        <w:rPr>
          <w:rFonts w:ascii="Arial" w:cs="Arial" w:eastAsia="Arial" w:hAnsi="Arial"/>
          <w:sz w:val="15"/>
          <w:szCs w:val="15"/>
          <w:color w:val="auto"/>
        </w:rPr>
        <w:t>$250,000,000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TWO HUNDRED FIFTY MILLION DOLLARS on August 3, 2019.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February 3 and August 3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February 3,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January 19 and July 19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74" w:name="page75"/>
    <w:bookmarkEnd w:id="7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140"/>
          </w:cols>
          <w:pgMar w:left="240" w:top="280" w:right="519" w:bottom="1440" w:gutter="0" w:footer="0" w:header="0"/>
        </w:sectPr>
      </w:pPr>
    </w:p>
    <w:bookmarkStart w:id="75" w:name="page76"/>
    <w:bookmarkEnd w:id="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r>
        <w:rPr>
          <w:rFonts w:ascii="Arial" w:cs="Arial" w:eastAsia="Arial" w:hAnsi="Arial"/>
          <w:sz w:val="16"/>
          <w:szCs w:val="16"/>
          <w:color w:val="auto"/>
        </w:rPr>
        <w: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1.650% Notes due 2019</w:t>
      </w:r>
    </w:p>
    <w:p>
      <w:pPr>
        <w:spacing w:after="0" w:line="293"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w:t>
      </w:r>
    </w:p>
    <w:p>
      <w:pPr>
        <w:spacing w:after="0" w:line="165" w:lineRule="exact"/>
        <w:rPr>
          <w:sz w:val="20"/>
          <w:szCs w:val="20"/>
          <w:color w:val="auto"/>
        </w:rPr>
      </w:pPr>
    </w:p>
    <w:p>
      <w:pPr>
        <w:ind w:right="120" w:firstLine="456"/>
        <w:spacing w:after="0" w:line="320" w:lineRule="auto"/>
        <w:rPr>
          <w:sz w:val="20"/>
          <w:szCs w:val="20"/>
          <w:color w:val="auto"/>
        </w:rPr>
      </w:pPr>
      <w:r>
        <w:rPr>
          <w:rFonts w:ascii="Arial" w:cs="Arial" w:eastAsia="Arial" w:hAnsi="Arial"/>
          <w:sz w:val="15"/>
          <w:szCs w:val="15"/>
          <w:color w:val="auto"/>
        </w:rPr>
        <w:t>Texas Instruments Incorporated (the “</w:t>
      </w:r>
      <w:r>
        <w:rPr>
          <w:rFonts w:ascii="Arial" w:cs="Arial" w:eastAsia="Arial" w:hAnsi="Arial"/>
          <w:sz w:val="15"/>
          <w:szCs w:val="15"/>
          <w:b w:val="1"/>
          <w:bCs w:val="1"/>
          <w:color w:val="auto"/>
        </w:rPr>
        <w:t>Issuer</w:t>
      </w:r>
      <w:r>
        <w:rPr>
          <w:rFonts w:ascii="Arial" w:cs="Arial" w:eastAsia="Arial" w:hAnsi="Arial"/>
          <w:sz w:val="15"/>
          <w:szCs w:val="15"/>
          <w:color w:val="auto"/>
        </w:rPr>
        <w:t>”) promises to pay interest on the principal amount of this Note at the rate per annum described above. Cash interest on the Notes will accrue from the most recent date to which interest has been paid; or, if no interest has been paid, from August 6, 2012. Interest on this Note will be paid to but excluding the relevant Interest Payment Date. The Issuer will pay interest semi-annually in arrears on each Interest Payment Date, commencing February 3, 2013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9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4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Indenture; Defined Terms.</w:t>
      </w:r>
    </w:p>
    <w:p>
      <w:pPr>
        <w:spacing w:after="0" w:line="165"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This Note is one of the 1.650% Notes due 2019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August 6, 2012,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ectPr>
          <w:pgSz w:w="11900" w:h="16838" w:orient="portrait"/>
          <w:cols w:equalWidth="0" w:num="1">
            <w:col w:w="11380"/>
          </w:cols>
          <w:pgMar w:left="240" w:top="280" w:right="279" w:bottom="1440" w:gutter="0" w:footer="0" w:header="0"/>
        </w:sectPr>
      </w:pPr>
    </w:p>
    <w:bookmarkStart w:id="77" w:name="page78"/>
    <w:bookmarkEnd w:id="77"/>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5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6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0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twelve and one-half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80"/>
          </w:cols>
          <w:pgMar w:left="240" w:top="280" w:right="279" w:bottom="1440" w:gutter="0" w:footer="0" w:header="0"/>
        </w:sectPr>
      </w:pPr>
    </w:p>
    <w:bookmarkStart w:id="78" w:name="page79"/>
    <w:bookmarkEnd w:id="78"/>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(i) Citigroup Global Markets Inc., J.P. Morgan Securities LLC, Morgan Stanley &amp; Co. LLC and Mizuho Securities USA Inc. (or their respective affiliates that are Primary Treasury Dealers) and their respective successors;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03"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360"/>
          </w:cols>
          <w:pgMar w:left="240" w:top="280" w:right="299" w:bottom="1440" w:gutter="0" w:footer="0" w:header="0"/>
        </w:sectPr>
      </w:pPr>
    </w:p>
    <w:bookmarkStart w:id="79" w:name="page80"/>
    <w:bookmarkEnd w:id="79"/>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3"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6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1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400"/>
          </w:cols>
          <w:pgMar w:left="240" w:top="280" w:right="259" w:bottom="1440" w:gutter="0" w:footer="0" w:header="0"/>
        </w:sectPr>
      </w:pPr>
    </w:p>
    <w:bookmarkStart w:id="80" w:name="page81"/>
    <w:bookmarkEnd w:id="80"/>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00"/>
          </w:cols>
          <w:pgMar w:left="240" w:top="280"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40" w:type="dxa"/>
            <w:vAlign w:val="bottom"/>
            <w:gridSpan w:val="3"/>
          </w:tcPr>
          <w:p>
            <w:pPr>
              <w:ind w:left="100"/>
              <w:spacing w:after="0"/>
              <w:rPr>
                <w:sz w:val="20"/>
                <w:szCs w:val="20"/>
                <w:color w:val="auto"/>
              </w:rPr>
            </w:pPr>
            <w:r>
              <w:rPr>
                <w:rFonts w:ascii="Arial" w:cs="Arial" w:eastAsia="Arial" w:hAnsi="Arial"/>
                <w:sz w:val="18"/>
                <w:szCs w:val="18"/>
                <w:color w:val="auto"/>
              </w:rPr>
              <w:t>(Print or type assignee’s name, address and zip code)</w:t>
            </w:r>
          </w:p>
        </w:tc>
      </w:tr>
      <w:tr>
        <w:trPr>
          <w:trHeight w:val="378"/>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Arial" w:cs="Arial" w:eastAsia="Arial" w:hAnsi="Arial"/>
                <w:sz w:val="18"/>
                <w:szCs w:val="18"/>
                <w:color w:val="auto"/>
              </w:rPr>
              <w:t>(Insert assignee’s soc. sec. or tax I.D. No.)</w:t>
            </w:r>
          </w:p>
        </w:tc>
      </w:tr>
      <w:tr>
        <w:trPr>
          <w:trHeight w:val="378"/>
        </w:trPr>
        <w:tc>
          <w:tcPr>
            <w:tcW w:w="1780" w:type="dxa"/>
            <w:vAlign w:val="bottom"/>
            <w:gridSpan w:val="3"/>
          </w:tcPr>
          <w:p>
            <w:pPr>
              <w:spacing w:after="0"/>
              <w:rPr>
                <w:sz w:val="20"/>
                <w:szCs w:val="20"/>
                <w:color w:val="auto"/>
              </w:rPr>
            </w:pPr>
            <w:r>
              <w:rPr>
                <w:rFonts w:ascii="Arial" w:cs="Arial" w:eastAsia="Arial" w:hAnsi="Arial"/>
                <w:sz w:val="18"/>
                <w:szCs w:val="18"/>
                <w:color w:val="auto"/>
                <w:w w:val="94"/>
              </w:rPr>
              <w:t>and irrevocably appoint</w:t>
            </w:r>
          </w:p>
        </w:tc>
        <w:tc>
          <w:tcPr>
            <w:tcW w:w="9640" w:type="dxa"/>
            <w:vAlign w:val="bottom"/>
            <w:gridSpan w:val="3"/>
          </w:tcPr>
          <w:p>
            <w:pPr>
              <w:ind w:left="82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05"/>
        </w:trPr>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200" w:type="dxa"/>
            <w:vAlign w:val="bottom"/>
            <w:tcBorders>
              <w:bottom w:val="single" w:sz="8" w:color="auto"/>
            </w:tcBorders>
          </w:tcPr>
          <w:p>
            <w:pPr>
              <w:spacing w:after="0"/>
              <w:rPr>
                <w:sz w:val="17"/>
                <w:szCs w:val="17"/>
                <w:color w:val="auto"/>
              </w:rPr>
            </w:pPr>
          </w:p>
        </w:tc>
      </w:tr>
      <w:tr>
        <w:trPr>
          <w:trHeight w:val="331"/>
        </w:trPr>
        <w:tc>
          <w:tcPr>
            <w:tcW w:w="380" w:type="dxa"/>
            <w:vAlign w:val="bottom"/>
          </w:tcPr>
          <w:p>
            <w:pPr>
              <w:spacing w:after="0"/>
              <w:rPr>
                <w:sz w:val="20"/>
                <w:szCs w:val="20"/>
                <w:color w:val="auto"/>
              </w:rPr>
            </w:pPr>
            <w:r>
              <w:rPr>
                <w:rFonts w:ascii="Arial" w:cs="Arial" w:eastAsia="Arial" w:hAnsi="Arial"/>
                <w:sz w:val="18"/>
                <w:szCs w:val="18"/>
                <w:color w:val="auto"/>
                <w:w w:val="83"/>
              </w:rPr>
              <w:t>Date:</w:t>
            </w:r>
          </w:p>
        </w:tc>
        <w:tc>
          <w:tcPr>
            <w:tcW w:w="1100" w:type="dxa"/>
            <w:vAlign w:val="bottom"/>
            <w:tcBorders>
              <w:bottom w:val="single" w:sz="8" w:color="auto"/>
            </w:tcBorders>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1"/>
              </w:rPr>
              <w:t>Your Signature:</w:t>
            </w:r>
          </w:p>
        </w:tc>
        <w:tc>
          <w:tcPr>
            <w:tcW w:w="1580" w:type="dxa"/>
            <w:vAlign w:val="bottom"/>
            <w:tcBorders>
              <w:bottom w:val="single" w:sz="8" w:color="auto"/>
            </w:tcBorders>
          </w:tcPr>
          <w:p>
            <w:pPr>
              <w:spacing w:after="0"/>
              <w:rPr>
                <w:sz w:val="24"/>
                <w:szCs w:val="24"/>
                <w:color w:val="auto"/>
              </w:rPr>
            </w:pPr>
          </w:p>
        </w:tc>
        <w:tc>
          <w:tcPr>
            <w:tcW w:w="7200" w:type="dxa"/>
            <w:vAlign w:val="bottom"/>
          </w:tcPr>
          <w:p>
            <w:pPr>
              <w:spacing w:after="0"/>
              <w:rPr>
                <w:sz w:val="24"/>
                <w:szCs w:val="24"/>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234315</wp:posOffset>
            </wp:positionV>
            <wp:extent cx="34734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ectPr>
          <w:pgSz w:w="11900" w:h="16838" w:orient="portrait"/>
          <w:cols w:equalWidth="0" w:num="1">
            <w:col w:w="11420"/>
          </w:cols>
          <w:pgMar w:left="240" w:top="280" w:right="239" w:bottom="1440" w:gutter="0" w:footer="0" w:header="0"/>
        </w:sectPr>
      </w:pPr>
    </w:p>
    <w:bookmarkStart w:id="82" w:name="page83"/>
    <w:bookmarkEnd w:id="82"/>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72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Amount of increase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principal amount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14236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Principal amount of</w:t>
            </w:r>
          </w:p>
        </w:tc>
        <w:tc>
          <w:tcPr>
            <w:tcW w:w="1180" w:type="dxa"/>
            <w:vAlign w:val="bottom"/>
          </w:tcPr>
          <w:p>
            <w:pPr>
              <w:spacing w:after="0"/>
              <w:rPr>
                <w:sz w:val="14"/>
                <w:szCs w:val="14"/>
                <w:color w:val="auto"/>
              </w:rPr>
            </w:pP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180" w:type="dxa"/>
            <w:vAlign w:val="bottom"/>
          </w:tcPr>
          <w:p>
            <w:pPr>
              <w:spacing w:after="0"/>
              <w:rPr>
                <w:sz w:val="12"/>
                <w:szCs w:val="12"/>
                <w:color w:val="auto"/>
              </w:rPr>
            </w:pPr>
          </w:p>
        </w:tc>
      </w:tr>
      <w:tr>
        <w:trPr>
          <w:trHeight w:val="149"/>
        </w:trPr>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decrease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6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5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Trustee</w:t>
            </w:r>
          </w:p>
        </w:tc>
      </w:tr>
    </w:tbl>
    <w:p>
      <w:pPr>
        <w:sectPr>
          <w:pgSz w:w="11900" w:h="16838" w:orient="portrait"/>
          <w:cols w:equalWidth="0" w:num="3">
            <w:col w:w="5700" w:space="720"/>
            <w:col w:w="1400" w:space="720"/>
            <w:col w:w="2880"/>
          </w:cols>
          <w:pgMar w:left="240" w:top="280" w:right="239" w:bottom="1440" w:gutter="0" w:footer="0" w:header="0"/>
          <w:type w:val="continuous"/>
        </w:sectPr>
      </w:pPr>
    </w:p>
    <w:bookmarkStart w:id="83" w:name="page84"/>
    <w:bookmarkEnd w:id="83"/>
    <w:p>
      <w:pPr>
        <w:ind w:left="1060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5" w:right="239" w:bottom="1440" w:gutter="0" w:footer="0" w:header="0"/>
        </w:sectPr>
      </w:pPr>
    </w:p>
    <w:p>
      <w:pPr>
        <w:spacing w:after="0" w:line="235"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1329055"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Hong Kong</w:t>
      </w:r>
    </w:p>
    <w:p>
      <w:pPr>
        <w:spacing w:after="0" w:line="234" w:lineRule="exact"/>
        <w:rPr>
          <w:sz w:val="20"/>
          <w:szCs w:val="20"/>
          <w:color w:val="auto"/>
        </w:rPr>
      </w:pPr>
    </w:p>
    <w:p>
      <w:pPr>
        <w:sectPr>
          <w:pgSz w:w="11900" w:h="16838" w:orient="portrait"/>
          <w:cols w:equalWidth="0" w:num="2">
            <w:col w:w="9840" w:space="720"/>
            <w:col w:w="8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4"/>
                <w:szCs w:val="14"/>
                <w:b w:val="1"/>
                <w:bCs w:val="1"/>
                <w:color w:val="auto"/>
              </w:rPr>
              <w:t>LLP</w:t>
            </w:r>
          </w:p>
        </w:tc>
        <w:tc>
          <w:tcPr>
            <w:tcW w:w="1620" w:type="dxa"/>
            <w:vAlign w:val="bottom"/>
          </w:tcPr>
          <w:p>
            <w:pPr>
              <w:ind w:left="400"/>
              <w:spacing w:after="0"/>
              <w:rPr>
                <w:sz w:val="20"/>
                <w:szCs w:val="20"/>
                <w:color w:val="auto"/>
              </w:rPr>
            </w:pPr>
            <w:r>
              <w:rPr>
                <w:rFonts w:ascii="Arial" w:cs="Arial" w:eastAsia="Arial" w:hAnsi="Arial"/>
                <w:sz w:val="18"/>
                <w:szCs w:val="18"/>
                <w:b w:val="1"/>
                <w:bCs w:val="1"/>
                <w:color w:val="auto"/>
                <w:w w:val="88"/>
              </w:rPr>
              <w:t>650 752 2000 tel</w:t>
            </w: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620" w:type="dxa"/>
            <w:vAlign w:val="bottom"/>
          </w:tcPr>
          <w:p>
            <w:pPr>
              <w:ind w:left="400"/>
              <w:spacing w:after="0"/>
              <w:rPr>
                <w:sz w:val="20"/>
                <w:szCs w:val="20"/>
                <w:color w:val="auto"/>
              </w:rPr>
            </w:pPr>
            <w:r>
              <w:rPr>
                <w:rFonts w:ascii="Arial" w:cs="Arial" w:eastAsia="Arial" w:hAnsi="Arial"/>
                <w:sz w:val="18"/>
                <w:szCs w:val="18"/>
                <w:b w:val="1"/>
                <w:bCs w:val="1"/>
                <w:color w:val="auto"/>
                <w:w w:val="85"/>
              </w:rPr>
              <w:t>650 752 2111 fax</w:t>
            </w:r>
          </w:p>
        </w:tc>
      </w:tr>
      <w:tr>
        <w:trPr>
          <w:trHeight w:val="228"/>
        </w:trPr>
        <w:tc>
          <w:tcPr>
            <w:tcW w:w="248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62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acted as special counsel for Texas Instruments Incorporated, a Delaware corporation (the “Company”), in connection with the Company’s offering of $750,000,000 aggregate principal amount of 0.450% Notes due 2015 (the “2015 Notes”) and $750,000,000 aggregate principal amount of 1.650% Notes due 2019 (the “2019 Notes” and together with the 2015 Notes, the “Notes”) in an underwritten public offering pursuant to an underwriting agreement dated July 30, 2012 (the “Underwriting Agreement”) among the Company and Citigroup Global Markets Inc., J.P. Morgan Securities LLC, and Morgan Stanley &amp; Co. LLC (the “Representatives”), as representatives of the several underwriters listed in Schedule II thereto (the “Underwriters”). The Notes are to be issued pursuant to an Indenture dated as of May 23, 2011 (the “Indenture”) by and between the Company and U.S. Bank National Association, as Trustee, and an Officer’s Certificate to be issued pursuant thereto on or about August 6, 2012. The Company has filed with the Securities and Exchange Commission a Registration Statement on Form S-3 (File No. 333-165045, the “Registration Statement”) pursuant to the provisions of the Securities Act of 1933, as amended.</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4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Based upon the foregoing, we advise you that, in our opinion, the Notes have been duly authorized in accordance with the Indenture, and, when executed and authenticated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tabs>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r>
        <w:rPr>
          <w:sz w:val="20"/>
          <w:szCs w:val="20"/>
          <w:color w:val="auto"/>
        </w:rPr>
        <w:tab/>
      </w:r>
      <w:r>
        <w:rPr>
          <w:rFonts w:ascii="Arial" w:cs="Arial" w:eastAsia="Arial" w:hAnsi="Arial"/>
          <w:sz w:val="16"/>
          <w:szCs w:val="16"/>
          <w:color w:val="auto"/>
        </w:rPr>
        <w:t>August 6, 2012</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the Notes, the Indenture and the Notes are each valid, binding and enforceable agreements of each party thereto (other than as expressly covered above in respect of the Company).</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hereby consent to the filing of this opinion as an exhibit to a report on Form 8-K to be filed by the Company on the date hereof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4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lowerLetter"/>
      <w:start w:val="4"/>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2"/>
    </w:lvl>
    <w:lvl w:ilvl="1">
      <w:lvlJc w:val="left"/>
      <w:lvlText w:val="(%2)"/>
      <w:numFmt w:val="lowerRoman"/>
      <w:start w:val="1"/>
    </w:lvl>
  </w:abstractNum>
  <w:abstractNum w:abstractNumId="5">
    <w:nsid w:val="721DA317"/>
    <w:multiLevelType w:val="hybridMultilevel"/>
    <w:lvl w:ilvl="0">
      <w:lvlJc w:val="left"/>
      <w:lvlText w:val="(%1)"/>
      <w:numFmt w:val="lowerRoman"/>
      <w:start w:val="7"/>
    </w:lvl>
  </w:abstractNum>
  <w:abstractNum w:abstractNumId="6">
    <w:nsid w:val="2443A858"/>
    <w:multiLevelType w:val="hybridMultilevel"/>
    <w:lvl w:ilvl="0">
      <w:lvlJc w:val="left"/>
      <w:lvlText w:val="(%1)"/>
      <w:numFmt w:val="lowerLetter"/>
      <w:start w:val="3"/>
    </w:lvl>
    <w:lvl w:ilvl="1">
      <w:lvlJc w:val="left"/>
      <w:lvlText w:val="(%2)"/>
      <w:numFmt w:val="lowerRoman"/>
      <w:start w:val="1"/>
    </w:lvl>
  </w:abstractNum>
  <w:abstractNum w:abstractNumId="7">
    <w:nsid w:val="2D1D5AE9"/>
    <w:multiLevelType w:val="hybridMultilevel"/>
    <w:lvl w:ilvl="0">
      <w:lvlJc w:val="left"/>
      <w:lvlText w:val="(%1)"/>
      <w:numFmt w:val="lowerRoman"/>
      <w:start w:val="6"/>
    </w:lvl>
  </w:abstractNum>
  <w:abstractNum w:abstractNumId="8">
    <w:nsid w:val="6763845E"/>
    <w:multiLevelType w:val="hybridMultilevel"/>
    <w:lvl w:ilvl="0">
      <w:lvlJc w:val="left"/>
      <w:lvlText w:val="(%1)"/>
      <w:numFmt w:val="lowerRoman"/>
      <w:start w:val="9"/>
    </w:lvl>
  </w:abstractNum>
  <w:abstractNum w:abstractNumId="9">
    <w:nsid w:val="75A2A8D4"/>
    <w:multiLevelType w:val="hybridMultilevel"/>
    <w:lvl w:ilvl="0">
      <w:lvlJc w:val="left"/>
      <w:lvlText w:val="(%1)"/>
      <w:numFmt w:val="lowerLetter"/>
      <w:start w:val="5"/>
    </w:lvl>
  </w:abstractNum>
  <w:abstractNum w:abstractNumId="10">
    <w:nsid w:val="8EDBDAB"/>
    <w:multiLevelType w:val="hybridMultilevel"/>
    <w:lvl w:ilvl="0">
      <w:lvlJc w:val="left"/>
      <w:lvlText w:val="(%1)"/>
      <w:numFmt w:val="lowerLetter"/>
      <w:start w:val="6"/>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6"/>
    </w:lvl>
  </w:abstractNum>
  <w:abstractNum w:abstractNumId="13">
    <w:nsid w:val="B03E0C6"/>
    <w:multiLevelType w:val="hybridMultilevel"/>
    <w:lvl w:ilvl="0">
      <w:lvlJc w:val="left"/>
      <w:lvlText w:val="%1"/>
      <w:numFmt w:val="lowerLetter"/>
      <w:start w:val="1"/>
    </w:lvl>
    <w:lvl w:ilvl="1">
      <w:lvlJc w:val="left"/>
      <w:lvlText w:val="(%2)"/>
      <w:numFmt w:val="lowerLetter"/>
      <w:start w:val="9"/>
    </w:lvl>
  </w:abstractNum>
  <w:abstractNum w:abstractNumId="14">
    <w:nsid w:val="189A769B"/>
    <w:multiLevelType w:val="hybridMultilevel"/>
    <w:lvl w:ilvl="0">
      <w:lvlJc w:val="left"/>
      <w:lvlText w:val="(%1)"/>
      <w:numFmt w:val="lowerLetter"/>
      <w:start w:val="9"/>
    </w:lvl>
    <w:lvl w:ilvl="1">
      <w:lvlJc w:val="left"/>
      <w:lvlText w:val="(%2)"/>
      <w:numFmt w:val="lowerLetter"/>
      <w:start w:val="10"/>
    </w:lvl>
  </w:abstractNum>
  <w:abstractNum w:abstractNumId="15">
    <w:nsid w:val="54E49EB4"/>
    <w:multiLevelType w:val="hybridMultilevel"/>
    <w:lvl w:ilvl="0">
      <w:lvlJc w:val="left"/>
      <w:lvlText w:val="(%1)"/>
      <w:numFmt w:val="lowerLetter"/>
      <w:start w:val="13"/>
    </w:lvl>
  </w:abstractNum>
  <w:abstractNum w:abstractNumId="16">
    <w:nsid w:val="71F32454"/>
    <w:multiLevelType w:val="hybridMultilevel"/>
    <w:lvl w:ilvl="0">
      <w:lvlJc w:val="left"/>
      <w:lvlText w:val="(%1)"/>
      <w:numFmt w:val="lowerLetter"/>
      <w:start w:val="1"/>
    </w:lvl>
  </w:abstractNum>
  <w:abstractNum w:abstractNumId="17">
    <w:nsid w:val="2CA88611"/>
    <w:multiLevelType w:val="hybridMultilevel"/>
    <w:lvl w:ilvl="0">
      <w:lvlJc w:val="left"/>
      <w:lvlText w:val="(%1)"/>
      <w:numFmt w:val="lowerLetter"/>
      <w:start w:val="3"/>
    </w:lvl>
  </w:abstractNum>
  <w:abstractNum w:abstractNumId="18">
    <w:nsid w:val="836C40E"/>
    <w:multiLevelType w:val="hybridMultilevel"/>
    <w:lvl w:ilvl="0">
      <w:lvlJc w:val="left"/>
      <w:lvlText w:val="%1"/>
      <w:numFmt w:val="lowerLetter"/>
      <w:start w:val="1"/>
    </w:lvl>
    <w:lvl w:ilvl="1">
      <w:lvlJc w:val="left"/>
      <w:lvlText w:val="(%2)"/>
      <w:numFmt w:val="lowerLetter"/>
      <w:start w:val="8"/>
    </w:lvl>
  </w:abstractNum>
  <w:abstractNum w:abstractNumId="19">
    <w:nsid w:val="2901D82"/>
    <w:multiLevelType w:val="hybridMultilevel"/>
    <w:lvl w:ilvl="0">
      <w:lvlJc w:val="left"/>
      <w:lvlText w:val="(%1)"/>
      <w:numFmt w:val="lowerLetter"/>
      <w:start w:val="61"/>
    </w:lvl>
    <w:lvl w:ilvl="1">
      <w:lvlJc w:val="left"/>
      <w:lvlText w:val="(%2)"/>
      <w:numFmt w:val="lowerLetter"/>
      <w:start w:val="12"/>
    </w:lvl>
  </w:abstractNum>
  <w:abstractNum w:abstractNumId="20">
    <w:nsid w:val="3A95F874"/>
    <w:multiLevelType w:val="hybridMultilevel"/>
    <w:lvl w:ilvl="0">
      <w:lvlJc w:val="left"/>
      <w:lvlText w:val="(%1)"/>
      <w:numFmt w:val="lowerLetter"/>
      <w:start w:val="13"/>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lowerRoman"/>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3"/>
    </w:lvl>
  </w:abstractNum>
  <w:abstractNum w:abstractNumId="29">
    <w:nsid w:val="614FD4A1"/>
    <w:multiLevelType w:val="hybridMultilevel"/>
    <w:lvl w:ilvl="0">
      <w:lvlJc w:val="left"/>
      <w:lvlText w:val="%1."/>
      <w:numFmt w:val="decimal"/>
      <w:start w:val="4"/>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decimal"/>
      <w:start w:val="6"/>
    </w:lvl>
  </w:abstractNum>
  <w:abstractNum w:abstractNumId="32">
    <w:nsid w:val="440BADFC"/>
    <w:multiLevelType w:val="hybridMultilevel"/>
    <w:lvl w:ilvl="0">
      <w:lvlJc w:val="left"/>
      <w:lvlText w:val="(%1)"/>
      <w:numFmt w:val="lowerRoman"/>
      <w:start w:val="1"/>
    </w:lvl>
    <w:lvl w:ilvl="1">
      <w:lvlJc w:val="left"/>
      <w:lvlText w:val="(%2)"/>
      <w:numFmt w:val="lowerRoman"/>
      <w:start w:val="2"/>
    </w:lvl>
  </w:abstractNum>
  <w:abstractNum w:abstractNumId="33">
    <w:nsid w:val="5072367"/>
    <w:multiLevelType w:val="hybridMultilevel"/>
    <w:lvl w:ilvl="0">
      <w:lvlJc w:val="left"/>
      <w:lvlText w:val="%1."/>
      <w:numFmt w:val="decimal"/>
      <w:start w:val="7"/>
    </w:lvl>
  </w:abstractNum>
  <w:abstractNum w:abstractNumId="34">
    <w:nsid w:val="3804823E"/>
    <w:multiLevelType w:val="hybridMultilevel"/>
    <w:lvl w:ilvl="0">
      <w:lvlJc w:val="left"/>
      <w:lvlText w:val="%1."/>
      <w:numFmt w:val="decimal"/>
      <w:start w:val="8"/>
    </w:lvl>
  </w:abstractNum>
  <w:abstractNum w:abstractNumId="35">
    <w:nsid w:val="77465F01"/>
    <w:multiLevelType w:val="hybridMultilevel"/>
    <w:lvl w:ilvl="0">
      <w:lvlJc w:val="left"/>
      <w:lvlText w:val="%1."/>
      <w:numFmt w:val="decimal"/>
      <w:start w:val="9"/>
    </w:lvl>
  </w:abstractNum>
  <w:abstractNum w:abstractNumId="36">
    <w:nsid w:val="7724C67E"/>
    <w:multiLevelType w:val="hybridMultilevel"/>
    <w:lvl w:ilvl="0">
      <w:lvlJc w:val="left"/>
      <w:lvlText w:val="%1."/>
      <w:numFmt w:val="decimal"/>
      <w:start w:val="10"/>
    </w:lvl>
  </w:abstractNum>
  <w:abstractNum w:abstractNumId="37">
    <w:nsid w:val="5C482A9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2019-12-09T08:03:02Z</dcterms:created>
  <dcterms:modified xsi:type="dcterms:W3CDTF">2019-12-09T08:03:02Z</dcterms:modified>
</cp:coreProperties>
</file>