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600"/>
        <w:spacing w:after="0"/>
        <w:rPr>
          <w:sz w:val="20"/>
          <w:szCs w:val="20"/>
          <w:color w:val="auto"/>
        </w:rPr>
      </w:pPr>
      <w:r>
        <w:rPr>
          <w:rFonts w:ascii="Arial" w:cs="Arial" w:eastAsia="Arial" w:hAnsi="Arial"/>
          <w:sz w:val="17"/>
          <w:szCs w:val="17"/>
          <w:b w:val="1"/>
          <w:bCs w:val="1"/>
          <w:color w:val="auto"/>
        </w:rPr>
        <w:t>DATE OF REPORT (DATE OF EARLIEST EVENT REPORTED): June 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539115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301"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301"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301"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301" w:right="759" w:bottom="1440" w:gutter="0" w:footer="0" w:header="0"/>
          <w:type w:val="continuous"/>
        </w:sectPr>
      </w:pPr>
    </w:p>
    <w:bookmarkStart w:id="1" w:name="page2"/>
    <w:bookmarkEnd w:id="1"/>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Registrant’s news release dated June 8, 2011, regarding the Registrant’s outlook for the second quarter of 2011 attached hereto as Exhibit 99 is incorporated by reference herein.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ITEM 9.01  Exhibits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Designation</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of Exhibit</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in this</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37"/>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Report</w:t>
            </w:r>
          </w:p>
        </w:tc>
        <w:tc>
          <w:tcPr>
            <w:tcW w:w="860" w:type="dxa"/>
            <w:vAlign w:val="bottom"/>
          </w:tcPr>
          <w:p>
            <w:pPr>
              <w:spacing w:after="0"/>
              <w:rPr>
                <w:sz w:val="20"/>
                <w:szCs w:val="20"/>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99</w:t>
            </w:r>
          </w:p>
        </w:tc>
        <w:tc>
          <w:tcPr>
            <w:tcW w:w="860" w:type="dxa"/>
            <w:vAlign w:val="bottom"/>
          </w:tcPr>
          <w:p>
            <w:pPr>
              <w:spacing w:after="0"/>
              <w:rPr>
                <w:sz w:val="17"/>
                <w:szCs w:val="17"/>
                <w:color w:val="auto"/>
              </w:rPr>
            </w:pPr>
          </w:p>
        </w:tc>
        <w:tc>
          <w:tcPr>
            <w:tcW w:w="9240" w:type="dxa"/>
            <w:vAlign w:val="bottom"/>
          </w:tcPr>
          <w:p>
            <w:pPr>
              <w:spacing w:after="0" w:line="201" w:lineRule="exact"/>
              <w:rPr>
                <w:sz w:val="20"/>
                <w:szCs w:val="20"/>
                <w:color w:val="auto"/>
              </w:rPr>
            </w:pPr>
            <w:r>
              <w:rPr>
                <w:rFonts w:ascii="Arial" w:cs="Arial" w:eastAsia="Arial" w:hAnsi="Arial"/>
                <w:sz w:val="18"/>
                <w:szCs w:val="18"/>
                <w:color w:val="auto"/>
              </w:rPr>
              <w:t>Registrant’s News Release</w:t>
            </w:r>
          </w:p>
        </w:tc>
      </w:tr>
      <w:tr>
        <w:trPr>
          <w:trHeight w:val="230"/>
        </w:trPr>
        <w:tc>
          <w:tcPr>
            <w:tcW w:w="1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Dated June 8, 2011 (furnished pursuant to Item 7.01)</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263" w:lineRule="exact"/>
        <w:rPr>
          <w:rFonts w:ascii="Arial" w:cs="Arial" w:eastAsia="Arial" w:hAnsi="Arial"/>
          <w:sz w:val="17"/>
          <w:szCs w:val="17"/>
          <w:color w:val="auto"/>
        </w:rPr>
      </w:pPr>
    </w:p>
    <w:p>
      <w:pPr>
        <w:ind w:left="820" w:right="28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820" w:right="58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820" w:right="4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820" w:right="240" w:hanging="326"/>
        <w:spacing w:after="0" w:line="342" w:lineRule="auto"/>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0" w:lineRule="exact"/>
        <w:rPr>
          <w:rFonts w:ascii="Arial" w:cs="Arial" w:eastAsia="Arial" w:hAnsi="Arial"/>
          <w:sz w:val="16"/>
          <w:szCs w:val="16"/>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820" w:right="22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TI specifically notes that circumstances arising out of the recent earthquakes and tsunami in Japan, including disruptions and increased costs of TI’s production, disruptions in our supply chain (including utilities) and reduced or delayed demand from customers, could cause actual results to differ from the expectations of TI or its management.</w:t>
      </w:r>
    </w:p>
    <w:p>
      <w:pPr>
        <w:sectPr>
          <w:pgSz w:w="11900" w:h="16931" w:orient="portrait"/>
          <w:cols w:equalWidth="0" w:num="1">
            <w:col w:w="11420"/>
          </w:cols>
          <w:pgMar w:left="240" w:top="517" w:right="239" w:bottom="0" w:gutter="0" w:footer="0" w:header="0"/>
        </w:sectPr>
      </w:pPr>
    </w:p>
    <w:bookmarkStart w:id="2" w:name="page3"/>
    <w:bookmarkEnd w:id="2"/>
    <w:p>
      <w:pPr>
        <w:jc w:val="both"/>
        <w:ind w:right="8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report on Form 8-K are made only as of the date of this report, and TI undertakes no obligation to update the forward-looking statements to reflect subsequent events or circumstances.</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June 8,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34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updates second-quarter 2011 business outlook</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website at 4 p.m. Central time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www.ti.com/ir</w:t>
      </w:r>
    </w:p>
    <w:p>
      <w:pPr>
        <w:spacing w:after="0" w:line="23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DALLAS (June 8, 2011) – In a scheduled update to its business outlook for the second quarter of 2011, Texas Instruments Incorporated (TI) (NYSE: TXN) today narrowed and lowered its expected ranges for revenue and earnings per share (EPS).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its financial results to be within the following ranges:</w:t>
      </w:r>
    </w:p>
    <w:p>
      <w:pPr>
        <w:spacing w:after="0" w:line="252"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$3.36 – 3.50 billion, compared with the prior range of $3.41 – 3.69 billion</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$0.51 – 0.55, compared with the prior range of $0.52 – 0.60</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will hold a conference call at 4 p.m. Central time today to discuss this update. This conference call will be available live at www.ti.com/ir. TI’s original second-quarter outlook was published in the company’s first-quarter 2011 earnings release on April 18, available at www.ti.com/ir. TI’s second quarter ends on June 30.</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right="20" w:hanging="139"/>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TI specifically notes that circumstances arising out of the recent earthquakes and tsunami in Japan, including disruptions and increased costs of TI’s production, disruptions in our supply chain (including utilities) and reduced or delayed demand from customers, could cause actual results to differ from the expectations of TI or its management.</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Texas Instruments semiconductor innovations help 80,000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www.ti.com.</w:t>
      </w:r>
    </w:p>
    <w:sectPr>
      <w:pgSz w:w="11900" w:h="16838" w:orient="portrait"/>
      <w:cols w:equalWidth="0" w:num="1">
        <w:col w:w="11420"/>
      </w:cols>
      <w:pgMar w:left="240" w:top="125" w:right="239" w:bottom="59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2019-12-10T03:48:57Z</dcterms:created>
  <dcterms:modified xsi:type="dcterms:W3CDTF">2019-12-10T03:48:57Z</dcterms:modified>
</cp:coreProperties>
</file>