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Kozanian Hagop H</w:t>
        </w:r>
      </w:hyperlink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BOULAVARD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2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151130</wp:posOffset>
            </wp:positionV>
            <wp:extent cx="6968490" cy="13017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301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01/28/2021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11,228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49,730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790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165.69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48,940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169.23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01/28/2021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46,684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01/28/2031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46,684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169.23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46,684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-1957070</wp:posOffset>
            </wp:positionV>
            <wp:extent cx="7033895" cy="20961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096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pursuant to 2009 Long-Term Incentive Plan.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becomes exercisable in four equal annual installments beginning on January 28, 2022.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Katharine Kane, Attorney In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02/01/2021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449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9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46766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2021-02-01T18:44:07Z</dcterms:created>
  <dcterms:modified xsi:type="dcterms:W3CDTF">2021-02-01T18:44:07Z</dcterms:modified>
</cp:coreProperties>
</file>