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324"/>
        <w:spacing w:after="0" w:line="257" w:lineRule="auto"/>
        <w:rPr>
          <w:sz w:val="20"/>
          <w:szCs w:val="20"/>
          <w:color w:val="auto"/>
        </w:rPr>
      </w:pPr>
      <w:r>
        <w:rPr>
          <w:rFonts w:ascii="Times New Roman" w:cs="Times New Roman" w:eastAsia="Times New Roman" w:hAnsi="Times New Roman"/>
          <w:sz w:val="18"/>
          <w:szCs w:val="18"/>
          <w:color w:val="auto"/>
        </w:rPr>
        <w:t>FILED BY TEXAS INSTRUMENTS INCORPORATED PURSUANT TO RULE 425 UNDER THE SECURITIES ACT OF 1933 AND DEEMED FILED PURSUANT TO RULE 14a-12 AND RULE 14d-2(b) UNDER THE SECURITIES EXCHANGE ACT OF 1934 SUBJECT COMPANY: SILICON LABORATORIES INC. COMMISSION FILE NO. 000-29823</w:t>
      </w:r>
    </w:p>
    <w:p>
      <w:pPr>
        <w:spacing w:after="0" w:line="40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Matt Johnson &lt;</w:t>
      </w:r>
      <w:r>
        <w:rPr>
          <w:rFonts w:ascii="Times New Roman" w:cs="Times New Roman" w:eastAsia="Times New Roman" w:hAnsi="Times New Roman"/>
          <w:sz w:val="18"/>
          <w:szCs w:val="18"/>
          <w:u w:val="single" w:color="auto"/>
          <w:color w:val="auto"/>
        </w:rPr>
        <w:t>Matt.Johnson@silabs.com</w:t>
      </w:r>
      <w:r>
        <w:rPr>
          <w:rFonts w:ascii="Times New Roman" w:cs="Times New Roman" w:eastAsia="Times New Roman" w:hAnsi="Times New Roman"/>
          <w:sz w:val="18"/>
          <w:szCs w:val="18"/>
          <w:color w:val="auto"/>
        </w:rPr>
        <w:t>&gt;</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February 4, 2026 at 2:01:42 PM CST</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“DL.All” &lt;</w:t>
      </w:r>
      <w:r>
        <w:rPr>
          <w:rFonts w:ascii="Times New Roman" w:cs="Times New Roman" w:eastAsia="Times New Roman" w:hAnsi="Times New Roman"/>
          <w:sz w:val="18"/>
          <w:szCs w:val="18"/>
          <w:u w:val="single" w:color="auto"/>
          <w:color w:val="auto"/>
        </w:rPr>
        <w:t>DL.All@silabs.com</w:t>
      </w:r>
      <w:r>
        <w:rPr>
          <w:rFonts w:ascii="Times New Roman" w:cs="Times New Roman" w:eastAsia="Times New Roman" w:hAnsi="Times New Roman"/>
          <w:sz w:val="18"/>
          <w:szCs w:val="18"/>
          <w:color w:val="auto"/>
        </w:rPr>
        <w:t>&gt;</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Subject: A Message from TI CEO Haviv Ilan | Excited about our future together</w:t>
      </w:r>
    </w:p>
    <w:p>
      <w:pPr>
        <w:spacing w:after="0" w:line="227" w:lineRule="exact"/>
        <w:rPr>
          <w:sz w:val="24"/>
          <w:szCs w:val="24"/>
          <w:color w:val="auto"/>
        </w:rPr>
      </w:pPr>
    </w:p>
    <w:p>
      <w:pPr>
        <w:ind w:left="4"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Team, I joined Haviv this morning in Dallas for the announcement, and he asked me to share this with all of you. I also encourage you to read more about our next chapter on </w:t>
      </w:r>
      <w:r>
        <w:rPr>
          <w:rFonts w:ascii="Times New Roman" w:cs="Times New Roman" w:eastAsia="Times New Roman" w:hAnsi="Times New Roman"/>
          <w:sz w:val="18"/>
          <w:szCs w:val="18"/>
          <w:i w:val="1"/>
          <w:iCs w:val="1"/>
          <w:u w:val="single" w:color="auto"/>
          <w:color w:val="auto"/>
        </w:rPr>
        <w:t>The Circuit.</w:t>
      </w:r>
    </w:p>
    <w:p>
      <w:pPr>
        <w:spacing w:after="0" w:line="158" w:lineRule="exact"/>
        <w:rPr>
          <w:sz w:val="24"/>
          <w:szCs w:val="24"/>
          <w:color w:val="auto"/>
        </w:rPr>
      </w:pPr>
    </w:p>
    <w:p>
      <w:pPr>
        <w:ind w:left="104" w:hanging="104"/>
        <w:spacing w:after="0"/>
        <w:tabs>
          <w:tab w:leader="none" w:pos="10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Matt</w:t>
      </w:r>
    </w:p>
    <w:p>
      <w:pPr>
        <w:spacing w:after="0" w:line="29" w:lineRule="exact"/>
        <w:rPr>
          <w:rFonts w:ascii="Times New Roman" w:cs="Times New Roman" w:eastAsia="Times New Roman" w:hAnsi="Times New Roman"/>
          <w:sz w:val="18"/>
          <w:szCs w:val="18"/>
          <w:i w:val="1"/>
          <w:iCs w:val="1"/>
          <w:color w:val="auto"/>
        </w:rPr>
      </w:pPr>
    </w:p>
    <w:p>
      <w:pPr>
        <w:ind w:left="4"/>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_____________________________________________________________________________________</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Silicon Labs Team,</w:t>
      </w:r>
    </w:p>
    <w:p>
      <w:pPr>
        <w:spacing w:after="0" w:line="225" w:lineRule="exact"/>
        <w:rPr>
          <w:sz w:val="24"/>
          <w:szCs w:val="24"/>
          <w:color w:val="auto"/>
        </w:rPr>
      </w:pPr>
    </w:p>
    <w:p>
      <w:pPr>
        <w:ind w:left="4" w:right="680"/>
        <w:spacing w:after="0" w:line="266" w:lineRule="auto"/>
        <w:rPr>
          <w:sz w:val="20"/>
          <w:szCs w:val="20"/>
          <w:color w:val="auto"/>
        </w:rPr>
      </w:pPr>
      <w:r>
        <w:rPr>
          <w:rFonts w:ascii="Times New Roman" w:cs="Times New Roman" w:eastAsia="Times New Roman" w:hAnsi="Times New Roman"/>
          <w:sz w:val="18"/>
          <w:szCs w:val="18"/>
          <w:color w:val="auto"/>
        </w:rPr>
        <w:t>I want to begin by saying how much I respect what you have built at Silicon Labs. Your team has earned a strong reputation because of your technical expertise, winning spirit and impressive results. It is clear that Silicon Labs’ success is powered by exceptional people, and it will be a privilege to shape the next chapter alongside you.</w:t>
      </w:r>
    </w:p>
    <w:p>
      <w:pPr>
        <w:spacing w:after="0" w:line="176" w:lineRule="exact"/>
        <w:rPr>
          <w:sz w:val="24"/>
          <w:szCs w:val="24"/>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Together, we will create a global leader in embedded wireless connectivity solutions – combining Silicon Labs’ portfolio and expertise in mixed-signal solutions with Texas Instruments’ leading analog and embedded processing portfolio and our internally owned technology and manufacturing capabilities. Working together expands our ability to serve customers worldwide, delivering greater scale, deeper end market expertise and enhanced value and support.</w:t>
      </w:r>
    </w:p>
    <w:p>
      <w:pPr>
        <w:spacing w:after="0" w:line="180" w:lineRule="exact"/>
        <w:rPr>
          <w:sz w:val="24"/>
          <w:szCs w:val="24"/>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What’s also important is how we achieve these results, and I believe that starts with the culture we create. Our two teams share common values and ethical principles that define who we are and how we behave. We are both driven by our love of solving customer challenges, innovating, engineering excellence and delivering cutting-edge technologies to customers. Above all, we are both committed to bringing out the best in our people and our communities.</w:t>
      </w:r>
    </w:p>
    <w:p>
      <w:pPr>
        <w:sectPr>
          <w:pgSz w:w="11900" w:h="16838" w:orient="portrait"/>
          <w:cols w:equalWidth="0" w:num="1">
            <w:col w:w="11024"/>
          </w:cols>
          <w:pgMar w:left="436" w:top="229" w:right="439" w:bottom="1440" w:gutter="0" w:footer="0" w:header="0"/>
        </w:sectPr>
      </w:pPr>
    </w:p>
    <w:bookmarkStart w:id="1" w:name="page2"/>
    <w:bookmarkEnd w:id="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will be in Austin on Friday morning to visit with the team locally and around the world and am looking forward to meeting many of you and hearing from you then. You may have questions on what it’s like to be a TIer and the integration process. Having joined Texas Instruments from</w:t>
      </w:r>
    </w:p>
    <w:p>
      <w:pPr>
        <w:spacing w:after="0" w:line="255" w:lineRule="auto"/>
        <w:rPr>
          <w:sz w:val="20"/>
          <w:szCs w:val="20"/>
          <w:color w:val="auto"/>
        </w:rPr>
      </w:pPr>
      <w:r>
        <w:rPr>
          <w:rFonts w:ascii="Times New Roman" w:cs="Times New Roman" w:eastAsia="Times New Roman" w:hAnsi="Times New Roman"/>
          <w:sz w:val="18"/>
          <w:szCs w:val="18"/>
          <w:color w:val="auto"/>
        </w:rPr>
        <w:t>an acquisition earlier in my career, I can tell you that TI has been a welcoming work environment and great place to grow a career, filled with challenging and meaningful work. Our culture is anchored in doing what you love, making an impact and continuously growing. We are eager to share this with you.</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266065</wp:posOffset>
            </wp:positionV>
            <wp:extent cx="147447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Silicon Laboratories Inc. (“Silicon Labs) plans to file a proxy statement with the Securities and Exchange Commission (the “SEC”) with respect to a special meeting of stockholders for purposes of obtaining stockholder approval of the proposed transaction. This communication is not a substitute for the proxy statement or any other document that Silicon Labs may file with the SEC. The definitive proxy statement (when available) will be sent or given to the stockholders of Silicon Labs and will contain important information about the proposed transaction and related matters.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proxy statement (when available) and the filings that will be incorporated by reference therein may also be obtained, without charge, by contacting Silicon Labs’ Investor Relations at </w:t>
      </w:r>
      <w:r>
        <w:rPr>
          <w:rFonts w:ascii="Times New Roman" w:cs="Times New Roman" w:eastAsia="Times New Roman" w:hAnsi="Times New Roman"/>
          <w:sz w:val="18"/>
          <w:szCs w:val="18"/>
          <w:u w:val="single" w:color="auto"/>
          <w:color w:val="auto"/>
        </w:rPr>
        <w:t>investor.relations@silabs.com</w:t>
      </w:r>
      <w:r>
        <w:rPr>
          <w:rFonts w:ascii="Times New Roman" w:cs="Times New Roman" w:eastAsia="Times New Roman" w:hAnsi="Times New Roman"/>
          <w:sz w:val="18"/>
          <w:szCs w:val="18"/>
          <w:color w:val="auto"/>
        </w:rPr>
        <w:t xml:space="preserve"> or (512) 416-8500.</w:t>
      </w:r>
    </w:p>
    <w:p>
      <w:pPr>
        <w:sectPr>
          <w:pgSz w:w="11900" w:h="16838" w:orient="portrait"/>
          <w:cols w:equalWidth="0" w:num="1">
            <w:col w:w="10840"/>
          </w:cols>
          <w:pgMar w:left="440" w:top="270" w:right="61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left="4" w:right="60"/>
        <w:spacing w:after="0" w:line="272" w:lineRule="auto"/>
        <w:rPr>
          <w:sz w:val="20"/>
          <w:szCs w:val="20"/>
          <w:color w:val="auto"/>
        </w:rPr>
      </w:pPr>
      <w:r>
        <w:rPr>
          <w:rFonts w:ascii="Times New Roman" w:cs="Times New Roman" w:eastAsia="Times New Roman" w:hAnsi="Times New Roman"/>
          <w:sz w:val="17"/>
          <w:szCs w:val="17"/>
          <w:color w:val="auto"/>
        </w:rPr>
        <w:t>Silicon Labs, Texas Instruments Incorporated (“Texas Instruments”) and their respective directors and executive officers may be deemed, under SEC rules, to be participants in the solicitation of proxies in respect of the proposed transaction. Information regarding Silicon Labs’ directors and executive officers is available in (a) Silicon Labs’ Annual Report on Form 10-K for the fiscal year ended December 28, 2024, including under the headings “Item</w:t>
      </w:r>
    </w:p>
    <w:p>
      <w:pPr>
        <w:spacing w:after="0" w:line="2" w:lineRule="exact"/>
        <w:rPr>
          <w:sz w:val="20"/>
          <w:szCs w:val="20"/>
          <w:color w:val="auto"/>
        </w:rPr>
      </w:pPr>
    </w:p>
    <w:p>
      <w:pPr>
        <w:ind w:left="4" w:hanging="4"/>
        <w:spacing w:after="0" w:line="268" w:lineRule="auto"/>
        <w:tabs>
          <w:tab w:leader="none" w:pos="27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Copies of the documents filed with the SEC by Silicon Labs will be available free of charge through the website maintained by the SEC and at Silicon Labs’ website at </w:t>
      </w:r>
      <w:r>
        <w:rPr>
          <w:rFonts w:ascii="Times New Roman" w:cs="Times New Roman" w:eastAsia="Times New Roman" w:hAnsi="Times New Roman"/>
          <w:sz w:val="17"/>
          <w:szCs w:val="17"/>
          <w:u w:val="single" w:color="auto"/>
          <w:color w:val="auto"/>
        </w:rPr>
        <w:t>https://investor.silabs.com</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4" w:right="220"/>
        <w:spacing w:after="0" w:line="272" w:lineRule="auto"/>
        <w:rPr>
          <w:sz w:val="20"/>
          <w:szCs w:val="20"/>
          <w:color w:val="auto"/>
        </w:rPr>
      </w:pPr>
      <w:r>
        <w:rPr>
          <w:rFonts w:ascii="Times New Roman" w:cs="Times New Roman" w:eastAsia="Times New Roman" w:hAnsi="Times New Roman"/>
          <w:sz w:val="17"/>
          <w:szCs w:val="17"/>
          <w:color w:val="auto"/>
        </w:rPr>
        <w:t>Information regarding Texas Instruments’ directors and executive officers is available in (a) 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w:t>
      </w:r>
    </w:p>
    <w:p>
      <w:pPr>
        <w:spacing w:after="0" w:line="2" w:lineRule="exact"/>
        <w:rPr>
          <w:sz w:val="20"/>
          <w:szCs w:val="20"/>
          <w:color w:val="auto"/>
        </w:rPr>
      </w:pPr>
    </w:p>
    <w:p>
      <w:pPr>
        <w:ind w:left="4" w:hanging="4"/>
        <w:spacing w:after="0" w:line="253" w:lineRule="auto"/>
        <w:tabs>
          <w:tab w:leader="none" w:pos="2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relationships and related transactions, and director independence,” which was filed with the SEC on February 14,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 subsequently filed Current Reports on Form 8-K and Quarterly Reports on Form 10-Q. To the extent holdings of Texas Instruments’ securities by its directors or executive officers have changed since the amounts set forth in Texas</w:t>
      </w:r>
    </w:p>
    <w:p>
      <w:pPr>
        <w:sectPr>
          <w:pgSz w:w="11900" w:h="16838" w:orient="portrait"/>
          <w:cols w:equalWidth="0" w:num="1">
            <w:col w:w="10944"/>
          </w:cols>
          <w:pgMar w:left="436" w:top="266" w:right="519" w:bottom="1440" w:gutter="0" w:footer="0" w:header="0"/>
        </w:sectPr>
      </w:pPr>
    </w:p>
    <w:bookmarkStart w:id="3" w:name="page4"/>
    <w:bookmarkEnd w:id="3"/>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Instruments’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documents filed with the SEC by Texas Instruments will be available free of charge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at Texas Instruments’ website at </w:t>
      </w:r>
      <w:r>
        <w:rPr>
          <w:rFonts w:ascii="Times New Roman" w:cs="Times New Roman" w:eastAsia="Times New Roman" w:hAnsi="Times New Roman"/>
          <w:sz w:val="18"/>
          <w:szCs w:val="18"/>
          <w:u w:val="single" w:color="auto"/>
          <w:color w:val="auto"/>
        </w:rPr>
        <w:t>https://investor.ti.com/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of Section 27A of the Securities Act of 1933, as amended, Rule 175 promulgated thereunder, Section 21E of the Securities Exchange Act of 1934, as amended, and Rule 3b-6 promulgated thereunder. Such statements include statements concerning anticipated future events and expectations that are not historical facts. Any statements about Texas Instruments’ or Silicon Labs’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w:t>
      </w:r>
    </w:p>
    <w:p>
      <w:pPr>
        <w:sectPr>
          <w:pgSz w:w="11900" w:h="16838" w:orient="portrait"/>
          <w:cols w:equalWidth="0" w:num="1">
            <w:col w:w="10980"/>
          </w:cols>
          <w:pgMar w:left="440" w:top="270" w:right="479" w:bottom="1440" w:gutter="0" w:footer="0" w:header="0"/>
        </w:sectPr>
      </w:pPr>
    </w:p>
    <w:bookmarkStart w:id="4" w:name="page5"/>
    <w:bookmarkEnd w:id="4"/>
    <w:p>
      <w:pPr>
        <w:ind w:left="4" w:right="3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(a) risks related to the consummation of the proposed transaction, including the risks that (i) the proposed transaction may not be consummated within the anticipated time period, or at all, (ii) the parties may fail to obtain Silicon</w:t>
      </w:r>
    </w:p>
    <w:p>
      <w:pPr>
        <w:spacing w:after="0" w:line="3" w:lineRule="exact"/>
        <w:rPr>
          <w:sz w:val="20"/>
          <w:szCs w:val="20"/>
          <w:color w:val="auto"/>
        </w:rPr>
      </w:pPr>
    </w:p>
    <w:p>
      <w:pPr>
        <w:ind w:left="4" w:right="320"/>
        <w:spacing w:after="0" w:line="265" w:lineRule="auto"/>
        <w:rPr>
          <w:sz w:val="20"/>
          <w:szCs w:val="20"/>
          <w:color w:val="auto"/>
        </w:rPr>
      </w:pPr>
      <w:r>
        <w:rPr>
          <w:rFonts w:ascii="Times New Roman" w:cs="Times New Roman" w:eastAsia="Times New Roman" w:hAnsi="Times New Roman"/>
          <w:sz w:val="17"/>
          <w:szCs w:val="17"/>
          <w:color w:val="auto"/>
        </w:rPr>
        <w:t>Labs stockholder approval of the merger agreement, (iii) the parties may fail to secure the termination or expiration of any waiting period applicable under the Hart-Scott-Rodino Antitrust Improvements Act of 1976, as amended, or obtain other required governmental and regulatory approvals, and</w:t>
      </w:r>
    </w:p>
    <w:p>
      <w:pPr>
        <w:ind w:left="4" w:right="100" w:hanging="4"/>
        <w:spacing w:after="0" w:line="265" w:lineRule="auto"/>
        <w:tabs>
          <w:tab w:leader="none" w:pos="30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conditions to the consummation of the proposed transaction under the merger agreement may not be satisfied; (b) the effects that any termination of the merger agreement may have on Silicon Labs or Texas Instruments and their respective businesses, including the risk that Silicon Labs’ or Texas Instruments’ stock price may decline significantly if the proposed transaction is not completed; (c) the effects that the announcement or pendency of the proposed transaction may have on Silicon Labs or Texas Instruments and their respective businesses, including the risks that as a result</w:t>
      </w:r>
    </w:p>
    <w:p>
      <w:pPr>
        <w:ind w:left="4" w:hanging="4"/>
        <w:spacing w:after="0" w:line="265" w:lineRule="auto"/>
        <w:tabs>
          <w:tab w:leader="none" w:pos="21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Silicon Labs’ or Texas Instruments’ business, operating results or stock price may suffer, (ii) Silicon Labs’ or Texas Instruments’ current plans and operations may be disrupted, (iii) Silicon Labs’ or Texas Instruments’ ability to retain or recruit key employees may be adversely affected, (iv) Silicon Labs’ or Texas Instruments’ business relationships (including, customers and suppliers) may be adversely affected, or (v) Silicon Labs’ or Texas Instruments’ management’s or employees’ attention may be diverted from other important matters; (d) the effect of limitations that the merger agreement places on Silicon Labs’ ability to operate its business, return capital to stockholders or engage in alternative transactions; (e) the nature, cost and outcome of pending and future litigation and other legal proceedings, including any such proceedings related to the proposed transaction and instituted against Silicon Labs and others; (f) the risk that the proposed transaction and related transactions may involve unexpected costs, liabilities or delays;</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 other economic, business, competitive, legal, regulatory, and/or tax factors, including the impact of the current global memory chip shortage; and</w:t>
      </w:r>
    </w:p>
    <w:p>
      <w:pPr>
        <w:spacing w:after="0" w:line="9" w:lineRule="exact"/>
        <w:rPr>
          <w:rFonts w:ascii="Times New Roman" w:cs="Times New Roman" w:eastAsia="Times New Roman" w:hAnsi="Times New Roman"/>
          <w:sz w:val="17"/>
          <w:szCs w:val="17"/>
          <w:color w:val="auto"/>
        </w:rPr>
      </w:pPr>
    </w:p>
    <w:p>
      <w:pPr>
        <w:ind w:left="4" w:right="1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 other factors described in the reports of (i) Silicon Labs filed with the SEC, including but not limited to the risks described in Silicon Labs’ Annual Report on Form 10-K for its fiscal year ended December 28, 2024, which was filed with the SEC on February 4, 2025, and Silicon Labs’ Quarterly Reports on Form 10-Q, and that are otherwise described or updated from time to time in Silicon Labs’ other filings with the SEC and (ii) Texas Instruments filed with the SEC, including but</w:t>
      </w:r>
    </w:p>
    <w:p>
      <w:pPr>
        <w:sectPr>
          <w:pgSz w:w="11900" w:h="16838" w:orient="portrait"/>
          <w:cols w:equalWidth="0" w:num="1">
            <w:col w:w="11004"/>
          </w:cols>
          <w:pgMar w:left="436" w:top="270" w:right="45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All forward-looking statements attributable to Silicon Labs or Texas Instruments, or persons acting on Silicon</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Labs’ or Texas Instruments’ behalf, are expressly qualified in their entirety by this cautionary statement. Further, each of Silicon Labs and Texas Instruments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
    </w:lvl>
  </w:abstractNum>
  <w:abstractNum w:abstractNumId="2">
    <w:nsid w:val="625558EC"/>
    <w:multiLevelType w:val="hybridMultilevel"/>
    <w:lvl w:ilvl="0">
      <w:lvlJc w:val="left"/>
      <w:lvlText w:val="%1."/>
      <w:numFmt w:val="decimal"/>
      <w:start w:val="13"/>
    </w:lvl>
  </w:abstractNum>
  <w:abstractNum w:abstractNumId="3">
    <w:nsid w:val="238E1F29"/>
    <w:multiLevelType w:val="hybridMultilevel"/>
    <w:lvl w:ilvl="0">
      <w:lvlJc w:val="left"/>
      <w:lvlText w:val="(%1)"/>
      <w:numFmt w:val="lowerRoman"/>
      <w:start w:val="4"/>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2026-02-05T05:15:50Z</dcterms:created>
  <dcterms:modified xsi:type="dcterms:W3CDTF">2026-02-05T05:15:50Z</dcterms:modified>
</cp:coreProperties>
</file>