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DATE OF REPORT (DATE OF EARLIEST EVENT REPORTED): April 29,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460" w:type="dxa"/>
            <w:vAlign w:val="bottom"/>
          </w:tcPr>
          <w:p>
            <w:pPr>
              <w:spacing w:after="0"/>
              <w:rPr>
                <w:sz w:val="20"/>
                <w:szCs w:val="20"/>
                <w:color w:val="auto"/>
              </w:rPr>
            </w:pPr>
          </w:p>
        </w:tc>
      </w:tr>
      <w:tr>
        <w:trPr>
          <w:trHeight w:val="345"/>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7"/>
        </w:trPr>
        <w:tc>
          <w:tcPr>
            <w:tcW w:w="18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DELAWARE</w:t>
            </w:r>
          </w:p>
        </w:tc>
        <w:tc>
          <w:tcPr>
            <w:tcW w:w="3960" w:type="dxa"/>
            <w:vAlign w:val="bottom"/>
            <w:gridSpan w:val="2"/>
          </w:tcPr>
          <w:p>
            <w:pPr>
              <w:ind w:left="2520"/>
              <w:spacing w:after="0"/>
              <w:rPr>
                <w:sz w:val="20"/>
                <w:szCs w:val="20"/>
                <w:color w:val="auto"/>
              </w:rPr>
            </w:pPr>
            <w:r>
              <w:rPr>
                <w:rFonts w:ascii="Arial" w:cs="Arial" w:eastAsia="Arial" w:hAnsi="Arial"/>
                <w:sz w:val="18"/>
                <w:szCs w:val="18"/>
                <w:b w:val="1"/>
                <w:bCs w:val="1"/>
                <w:color w:val="auto"/>
              </w:rPr>
              <w:t>001-03761</w:t>
            </w:r>
          </w:p>
        </w:tc>
        <w:tc>
          <w:tcPr>
            <w:tcW w:w="1780" w:type="dxa"/>
            <w:vAlign w:val="bottom"/>
          </w:tcPr>
          <w:p>
            <w:pPr>
              <w:spacing w:after="0"/>
              <w:rPr>
                <w:sz w:val="24"/>
                <w:szCs w:val="24"/>
                <w:color w:val="auto"/>
              </w:rPr>
            </w:pPr>
          </w:p>
        </w:tc>
        <w:tc>
          <w:tcPr>
            <w:tcW w:w="1460" w:type="dxa"/>
            <w:vAlign w:val="bottom"/>
          </w:tcPr>
          <w:p>
            <w:pPr>
              <w:jc w:val="center"/>
              <w:ind w:left="30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580" w:type="dxa"/>
            <w:vAlign w:val="bottom"/>
          </w:tcPr>
          <w:p>
            <w:pPr>
              <w:spacing w:after="0"/>
              <w:rPr>
                <w:sz w:val="12"/>
                <w:szCs w:val="12"/>
                <w:color w:val="auto"/>
              </w:rPr>
            </w:pPr>
          </w:p>
        </w:tc>
        <w:tc>
          <w:tcPr>
            <w:tcW w:w="4160" w:type="dxa"/>
            <w:vAlign w:val="bottom"/>
            <w:gridSpan w:val="2"/>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14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8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of incorporation)</w:t>
            </w:r>
          </w:p>
        </w:tc>
        <w:tc>
          <w:tcPr>
            <w:tcW w:w="1580" w:type="dxa"/>
            <w:vAlign w:val="bottom"/>
          </w:tcPr>
          <w:p>
            <w:pPr>
              <w:spacing w:after="0"/>
              <w:rPr>
                <w:sz w:val="16"/>
                <w:szCs w:val="16"/>
                <w:color w:val="auto"/>
              </w:rPr>
            </w:pPr>
          </w:p>
        </w:tc>
        <w:tc>
          <w:tcPr>
            <w:tcW w:w="4160" w:type="dxa"/>
            <w:vAlign w:val="bottom"/>
            <w:gridSpan w:val="2"/>
          </w:tcPr>
          <w:p>
            <w:pPr>
              <w:ind w:left="940"/>
              <w:spacing w:after="0"/>
              <w:rPr>
                <w:sz w:val="20"/>
                <w:szCs w:val="20"/>
                <w:color w:val="auto"/>
              </w:rPr>
            </w:pPr>
            <w:r>
              <w:rPr>
                <w:rFonts w:ascii="Arial" w:cs="Arial" w:eastAsia="Arial" w:hAnsi="Arial"/>
                <w:sz w:val="14"/>
                <w:szCs w:val="14"/>
                <w:b w:val="1"/>
                <w:bCs w:val="1"/>
                <w:color w:val="auto"/>
              </w:rPr>
              <w:t>file number)</w:t>
            </w:r>
          </w:p>
        </w:tc>
        <w:tc>
          <w:tcPr>
            <w:tcW w:w="146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identification no.)</w:t>
            </w:r>
          </w:p>
        </w:tc>
      </w:tr>
      <w:tr>
        <w:trPr>
          <w:trHeight w:val="412"/>
        </w:trPr>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7"/>
              </w:rPr>
              <w:t>12500 TI BOULEVARD</w:t>
            </w:r>
          </w:p>
        </w:tc>
        <w:tc>
          <w:tcPr>
            <w:tcW w:w="146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6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6"/>
              </w:rPr>
              <w:t>DALLAS, TEXAS 75243</w:t>
            </w:r>
          </w:p>
        </w:tc>
        <w:tc>
          <w:tcPr>
            <w:tcW w:w="1460" w:type="dxa"/>
            <w:vAlign w:val="bottom"/>
          </w:tcPr>
          <w:p>
            <w:pPr>
              <w:spacing w:after="0"/>
              <w:rPr>
                <w:sz w:val="18"/>
                <w:szCs w:val="18"/>
                <w:color w:val="auto"/>
              </w:rPr>
            </w:pPr>
          </w:p>
        </w:tc>
      </w:tr>
      <w:tr>
        <w:trPr>
          <w:trHeight w:val="186"/>
        </w:trPr>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6"/>
                <w:szCs w:val="16"/>
                <w:color w:val="auto"/>
              </w:rPr>
            </w:pPr>
          </w:p>
        </w:tc>
      </w:tr>
      <w:tr>
        <w:trPr>
          <w:trHeight w:val="417"/>
        </w:trPr>
        <w:tc>
          <w:tcPr>
            <w:tcW w:w="1820" w:type="dxa"/>
            <w:vAlign w:val="bottom"/>
          </w:tcPr>
          <w:p>
            <w:pPr>
              <w:spacing w:after="0"/>
              <w:rPr>
                <w:sz w:val="24"/>
                <w:szCs w:val="24"/>
                <w:color w:val="auto"/>
              </w:rPr>
            </w:pPr>
          </w:p>
        </w:tc>
        <w:tc>
          <w:tcPr>
            <w:tcW w:w="5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$500 Million of 1.850% Notes due 2022</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May 6, 2016, Texas Instruments Incorporated (“Texas Instruments”) consummated the issuance and sale of $500,000,000 aggregate principal amount of its 1.850% Notes due 2022 (the “Notes”), pursuant to an underwriting agreement filed herewith as Exhibit 1.1 dated April 29, 2016 among Texas Instruments and Barclays Capital Inc., Merrill Lynch, Pierce, Fenner &amp; Smith Incorporated and Mizuho Securities USA Inc., as representatives of the several underwriters named therein. The Notes will be issued pursuant to an Indenture dated as of May 23, 2011 (the “Indenture”) between Texas Instruments and U.S. Bank National Association, as trustee, and an Officers’ Certificate issued pursuant thereto.</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Notes are being offered pursuant to Texas Instruments’ Registration Statement on Form S-3 filed on February 24, 2016 (Reg. No. 333-209678), including the prospectus contained therein (the “Registration Statement”), and a related preliminary prospectus supplement dated April 29, 2016 and a prospectus supplement dated April 29, 2016.</w:t>
      </w:r>
    </w:p>
    <w:p>
      <w:pPr>
        <w:spacing w:after="0" w:line="18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ectPr>
          <w:pgSz w:w="11900" w:h="16838" w:orient="portrait"/>
          <w:cols w:equalWidth="0" w:num="1">
            <w:col w:w="11400"/>
          </w:cols>
          <w:pgMar w:left="240" w:top="27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760" w:type="dxa"/>
            <w:vAlign w:val="bottom"/>
            <w:gridSpan w:val="3"/>
          </w:tcPr>
          <w:p>
            <w:pPr>
              <w:ind w:left="4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w w:val="98"/>
              </w:rPr>
              <w:t>(d) Exhibits.</w:t>
            </w:r>
          </w:p>
        </w:tc>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73"/>
        </w:trPr>
        <w:tc>
          <w:tcPr>
            <w:tcW w:w="9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67"/>
        </w:trPr>
        <w:tc>
          <w:tcPr>
            <w:tcW w:w="440" w:type="dxa"/>
            <w:vAlign w:val="bottom"/>
          </w:tcPr>
          <w:p>
            <w:pPr>
              <w:jc w:val="right"/>
              <w:ind w:right="34"/>
              <w:spacing w:after="0"/>
              <w:rPr>
                <w:sz w:val="20"/>
                <w:szCs w:val="20"/>
                <w:color w:val="auto"/>
              </w:rPr>
            </w:pPr>
            <w:r>
              <w:rPr>
                <w:rFonts w:ascii="Arial" w:cs="Arial" w:eastAsia="Arial" w:hAnsi="Arial"/>
                <w:sz w:val="14"/>
                <w:szCs w:val="14"/>
                <w:color w:val="auto"/>
              </w:rPr>
              <w:t>No.</w:t>
            </w:r>
          </w:p>
        </w:tc>
        <w:tc>
          <w:tcPr>
            <w:tcW w:w="5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860" w:type="dxa"/>
            <w:vAlign w:val="bottom"/>
            <w:gridSpan w:val="2"/>
          </w:tcPr>
          <w:p>
            <w:pPr>
              <w:ind w:left="20"/>
              <w:spacing w:after="0"/>
              <w:rPr>
                <w:sz w:val="20"/>
                <w:szCs w:val="20"/>
                <w:color w:val="auto"/>
              </w:rPr>
            </w:pPr>
            <w:r>
              <w:rPr>
                <w:rFonts w:ascii="Arial" w:cs="Arial" w:eastAsia="Arial" w:hAnsi="Arial"/>
                <w:sz w:val="14"/>
                <w:szCs w:val="14"/>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3"/>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9760" w:type="dxa"/>
            <w:vAlign w:val="bottom"/>
            <w:gridSpan w:val="3"/>
          </w:tcPr>
          <w:p>
            <w:pPr>
              <w:ind w:left="40"/>
              <w:spacing w:after="0"/>
              <w:rPr>
                <w:sz w:val="20"/>
                <w:szCs w:val="20"/>
                <w:color w:val="auto"/>
              </w:rPr>
            </w:pPr>
            <w:r>
              <w:rPr>
                <w:rFonts w:ascii="Arial" w:cs="Arial" w:eastAsia="Arial" w:hAnsi="Arial"/>
                <w:sz w:val="18"/>
                <w:szCs w:val="18"/>
                <w:color w:val="auto"/>
                <w:w w:val="91"/>
              </w:rPr>
              <w:t>Underwriting Agreement, dated April 29, 2016, among the Company and Barclays Capital Inc., Merrill Lynch, Pierce, Fenner &amp; Smith</w:t>
            </w: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60" w:type="dxa"/>
            <w:vAlign w:val="bottom"/>
            <w:gridSpan w:val="3"/>
          </w:tcPr>
          <w:p>
            <w:pPr>
              <w:ind w:left="40"/>
              <w:spacing w:after="0"/>
              <w:rPr>
                <w:sz w:val="20"/>
                <w:szCs w:val="20"/>
                <w:color w:val="auto"/>
              </w:rPr>
            </w:pPr>
            <w:r>
              <w:rPr>
                <w:rFonts w:ascii="Arial" w:cs="Arial" w:eastAsia="Arial" w:hAnsi="Arial"/>
                <w:sz w:val="18"/>
                <w:szCs w:val="18"/>
                <w:color w:val="auto"/>
              </w:rPr>
              <w:t>Incorporated and Mizuho Securities USA Inc., as representatives of the several underwriters named in Schedule II therein</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760" w:type="dxa"/>
            <w:vAlign w:val="bottom"/>
            <w:gridSpan w:val="3"/>
          </w:tcPr>
          <w:p>
            <w:pPr>
              <w:ind w:left="40"/>
              <w:spacing w:after="0"/>
              <w:rPr>
                <w:sz w:val="20"/>
                <w:szCs w:val="20"/>
                <w:color w:val="auto"/>
              </w:rPr>
            </w:pPr>
            <w:r>
              <w:rPr>
                <w:rFonts w:ascii="Arial" w:cs="Arial" w:eastAsia="Arial" w:hAnsi="Arial"/>
                <w:sz w:val="18"/>
                <w:szCs w:val="18"/>
                <w:color w:val="auto"/>
              </w:rPr>
              <w:t>Officers’ Certificate setting forth the terms of the Notes</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760" w:type="dxa"/>
            <w:vAlign w:val="bottom"/>
            <w:gridSpan w:val="3"/>
          </w:tcPr>
          <w:p>
            <w:pPr>
              <w:ind w:left="40"/>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440" w:type="dxa"/>
            <w:vAlign w:val="bottom"/>
          </w:tcPr>
          <w:p>
            <w:pPr>
              <w:jc w:val="right"/>
              <w:ind w:right="34"/>
              <w:spacing w:after="0"/>
              <w:rPr>
                <w:sz w:val="20"/>
                <w:szCs w:val="20"/>
                <w:color w:val="auto"/>
              </w:rPr>
            </w:pPr>
            <w:r>
              <w:rPr>
                <w:rFonts w:ascii="Arial" w:cs="Arial" w:eastAsia="Arial" w:hAnsi="Arial"/>
                <w:sz w:val="18"/>
                <w:szCs w:val="18"/>
                <w:color w:val="auto"/>
                <w:w w:val="85"/>
              </w:rPr>
              <w:t>23.1</w:t>
            </w:r>
          </w:p>
        </w:tc>
        <w:tc>
          <w:tcPr>
            <w:tcW w:w="520" w:type="dxa"/>
            <w:vAlign w:val="bottom"/>
          </w:tcPr>
          <w:p>
            <w:pPr>
              <w:spacing w:after="0"/>
              <w:rPr>
                <w:sz w:val="24"/>
                <w:szCs w:val="24"/>
                <w:color w:val="auto"/>
              </w:rPr>
            </w:pPr>
          </w:p>
        </w:tc>
        <w:tc>
          <w:tcPr>
            <w:tcW w:w="9760" w:type="dxa"/>
            <w:vAlign w:val="bottom"/>
            <w:gridSpan w:val="3"/>
          </w:tcPr>
          <w:p>
            <w:pPr>
              <w:ind w:left="40"/>
              <w:spacing w:after="0"/>
              <w:rPr>
                <w:sz w:val="20"/>
                <w:szCs w:val="20"/>
                <w:color w:val="auto"/>
              </w:rPr>
            </w:pPr>
            <w:r>
              <w:rPr>
                <w:rFonts w:ascii="Arial" w:cs="Arial" w:eastAsia="Arial" w:hAnsi="Arial"/>
                <w:sz w:val="18"/>
                <w:szCs w:val="18"/>
                <w:color w:val="auto"/>
              </w:rPr>
              <w:t>Consent of Davis Polk &amp; Wardwell LLP (contained in Exhibit 5.1)</w:t>
            </w:r>
          </w:p>
        </w:tc>
      </w:tr>
    </w:tbl>
    <w:p>
      <w:pPr>
        <w:ind w:left="40"/>
        <w:spacing w:after="0"/>
        <w:rPr>
          <w:sz w:val="20"/>
          <w:szCs w:val="20"/>
          <w:color w:val="auto"/>
        </w:rPr>
        <w:sectPr>
          <w:pgSz w:w="11900" w:h="16838" w:orient="portrait"/>
          <w:cols w:equalWidth="0" w:num="1">
            <w:col w:w="10720"/>
          </w:cols>
          <w:pgMar w:left="240" w:top="270" w:right="9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6, 2016</w:t>
      </w:r>
      <w:r>
        <w:rPr>
          <w:sz w:val="20"/>
          <w:szCs w:val="20"/>
          <w:color w:val="auto"/>
        </w:rPr>
        <w:tab/>
      </w:r>
      <w:r>
        <w:rPr>
          <w:rFonts w:ascii="Arial" w:cs="Arial" w:eastAsia="Arial" w:hAnsi="Arial"/>
          <w:sz w:val="16"/>
          <w:szCs w:val="16"/>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80"/>
          </w:cols>
          <w:pgMar w:left="240" w:top="27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April 29,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(the “</w:t>
      </w:r>
      <w:r>
        <w:rPr>
          <w:rFonts w:ascii="Arial" w:cs="Arial" w:eastAsia="Arial" w:hAnsi="Arial"/>
          <w:sz w:val="17"/>
          <w:szCs w:val="17"/>
          <w:b w:val="1"/>
          <w:bCs w:val="1"/>
          <w:color w:val="auto"/>
        </w:rPr>
        <w:t>Underwriters</w:t>
      </w:r>
      <w:r>
        <w:rPr>
          <w:rFonts w:ascii="Arial" w:cs="Arial" w:eastAsia="Arial" w:hAnsi="Arial"/>
          <w:sz w:val="17"/>
          <w:szCs w:val="17"/>
          <w:color w:val="auto"/>
        </w:rPr>
        <w:t>”) understand that Texas Instruments Incorporated,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$500,000,000 principal amount of the 1.850% Notes due 2022 (the “</w:t>
      </w:r>
      <w:r>
        <w:rPr>
          <w:rFonts w:ascii="Arial" w:cs="Arial" w:eastAsia="Arial" w:hAnsi="Arial"/>
          <w:sz w:val="16"/>
          <w:szCs w:val="16"/>
          <w:b w:val="1"/>
          <w:bCs w:val="1"/>
          <w:color w:val="auto"/>
        </w:rPr>
        <w:t>Offered Securities</w:t>
      </w:r>
      <w:r>
        <w:rPr>
          <w:rFonts w:ascii="Arial" w:cs="Arial" w:eastAsia="Arial" w:hAnsi="Arial"/>
          <w:sz w:val="16"/>
          <w:szCs w:val="16"/>
          <w:color w:val="auto"/>
        </w:rPr>
        <w:t>”) identified in Schedule I hereto, as more fully described in the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Sale Prospectus. The Offered Securities will be issued pursuant to an Indenture dated as of May 23, 2011, between the Company and U.S. Bank National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 as trustee.</w:t>
      </w:r>
    </w:p>
    <w:p>
      <w:pPr>
        <w:spacing w:after="0" w:line="21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Subject to the terms and conditions set forth herein or incorporated by reference herein, the Company agrees to sell and the Underwriters agree to purchase, severally and not jointly, at the purchase price set forth in Schedule I hereto, the principal amount of the Offered Securities set forth opposite their respective names in Schedule II hereto.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2:20 P.M. (New York time) on the date hereof.</w:t>
      </w:r>
    </w:p>
    <w:p>
      <w:pPr>
        <w:spacing w:after="0" w:line="14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May 6, 2016, or at such other time, not later than May 13, 2016, as shall be designated by the Manager.</w:t>
      </w:r>
    </w:p>
    <w:p>
      <w:pPr>
        <w:spacing w:after="0" w:line="15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February 24, 2016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Barclays Capital Inc., Merrill Lynch, Pierce, Fenner &amp; Smith</w:t>
      </w:r>
    </w:p>
    <w:p>
      <w:pPr>
        <w:sectPr>
          <w:pgSz w:w="11900" w:h="16838" w:orient="portrait"/>
          <w:cols w:equalWidth="0" w:num="1">
            <w:col w:w="11420"/>
          </w:cols>
          <w:pgMar w:left="240" w:top="121" w:right="239" w:bottom="1440" w:gutter="0" w:footer="0" w:header="0"/>
        </w:sectPr>
      </w:pPr>
    </w:p>
    <w:bookmarkStart w:id="5" w:name="page6"/>
    <w:bookmarkEnd w:id="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Incorporated and Mizuho Securities USA Inc.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and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w:t>
      </w:r>
    </w:p>
    <w:p>
      <w:pPr>
        <w:spacing w:after="0" w:line="18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parties hereby agree that Merrill Lynch, Pierce, Fenner &amp; Smith Incorporated may, without notice to the Company, assign its rights and obligations under this Agreement to any other registered broker-dealer wholly-owned by Bank of America Corporation to which all or substantially all of Merrill Lynch, Pierce, Fenner &amp; Smith Incorporated’s capital markets, investment banking or related businesses may be transferred following the date of this Agreement.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ind w:right="28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several Underwriters listed in</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Schedule II hereto</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 Pete Contrucci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 Pete Contrucci III</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Incorporated</w:t>
      </w:r>
    </w:p>
    <w:p>
      <w:pPr>
        <w:spacing w:after="0" w:line="22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Brendan Hanley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Brendan Hanley</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Mizuho Securities USA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Justin Surma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Justin Surma</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340"/>
          </w:cols>
          <w:pgMar w:left="240" w:top="27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C. Boyd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Alan C. Boyd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134"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-213360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jc w:val="center"/>
        <w:ind w:right="3960"/>
        <w:spacing w:after="0"/>
        <w:rPr>
          <w:sz w:val="20"/>
          <w:szCs w:val="20"/>
          <w:color w:val="auto"/>
        </w:rPr>
      </w:pPr>
      <w:r>
        <w:rPr>
          <w:rFonts w:ascii="Arial" w:cs="Arial" w:eastAsia="Arial" w:hAnsi="Arial"/>
          <w:sz w:val="18"/>
          <w:szCs w:val="18"/>
          <w:b w:val="1"/>
          <w:bCs w:val="1"/>
          <w:color w:val="auto"/>
        </w:rPr>
        <w:t>TO UNDERWRITING AGREEMENT</w:t>
      </w:r>
    </w:p>
    <w:p>
      <w:pPr>
        <w:spacing w:after="0" w:line="207" w:lineRule="exact"/>
        <w:rPr>
          <w:sz w:val="20"/>
          <w:szCs w:val="20"/>
          <w:color w:val="auto"/>
        </w:rPr>
      </w:pPr>
    </w:p>
    <w:p>
      <w:pPr>
        <w:jc w:val="center"/>
        <w:ind w:right="3960"/>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Pricing Term Sheet</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1.850% Notes due 2022</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May 15, 2022</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1.850%</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99.739% of principal amount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May 15 and November 15 beginning on November 15, 2016, and on the maturity date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$496,820,000</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1.250% due March 31, 2021</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60 basis points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1.896%</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99-25; 1.296%</w:t>
      </w:r>
    </w:p>
    <w:p>
      <w:pPr>
        <w:spacing w:after="0" w:line="117" w:lineRule="exact"/>
        <w:rPr>
          <w:sz w:val="20"/>
          <w:szCs w:val="20"/>
          <w:color w:val="auto"/>
        </w:rPr>
      </w:pPr>
    </w:p>
    <w:p>
      <w:pPr>
        <w:jc w:val="both"/>
        <w:ind w:left="380" w:right="60"/>
        <w:spacing w:after="0" w:line="286" w:lineRule="auto"/>
        <w:rPr>
          <w:sz w:val="20"/>
          <w:szCs w:val="20"/>
          <w:color w:val="auto"/>
        </w:rPr>
      </w:pPr>
      <w:r>
        <w:rPr>
          <w:rFonts w:ascii="Arial" w:cs="Arial" w:eastAsia="Arial" w:hAnsi="Arial"/>
          <w:sz w:val="16"/>
          <w:szCs w:val="16"/>
          <w:color w:val="auto"/>
        </w:rPr>
        <w:t>At any time before April 15, 2022 (1 month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w:t>
      </w:r>
    </w:p>
    <w:p>
      <w:pPr>
        <w:spacing w:after="0" w:line="2" w:lineRule="exact"/>
        <w:rPr>
          <w:sz w:val="20"/>
          <w:szCs w:val="20"/>
          <w:color w:val="auto"/>
        </w:rPr>
      </w:pPr>
    </w:p>
    <w:p>
      <w:pPr>
        <w:ind w:left="380"/>
        <w:spacing w:after="0" w:line="290" w:lineRule="auto"/>
        <w:rPr>
          <w:sz w:val="20"/>
          <w:szCs w:val="20"/>
          <w:color w:val="auto"/>
        </w:rPr>
      </w:pPr>
      <w:r>
        <w:rPr>
          <w:rFonts w:ascii="Arial" w:cs="Arial" w:eastAsia="Arial" w:hAnsi="Arial"/>
          <w:sz w:val="17"/>
          <w:szCs w:val="17"/>
          <w:color w:val="auto"/>
        </w:rPr>
        <w:t>of redemption to April 15, 2022 (1 month before the maturity date), in each case discounted to the date of redemption on a semi-annual basis at the rate of Treasury plus 10 basis points</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I-1</w:t>
      </w:r>
    </w:p>
    <w:p>
      <w:pPr>
        <w:sectPr>
          <w:pgSz w:w="11900" w:h="16838" w:orient="portrait"/>
          <w:cols w:equalWidth="0" w:num="2">
            <w:col w:w="3260" w:space="720"/>
            <w:col w:w="744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At any time on or after April 15, 2022 (1 month before the maturity date) at 100% of the principal amount of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-387985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3640" w:space="720"/>
            <w:col w:w="7060"/>
          </w:cols>
          <w:pgMar w:left="240" w:top="274" w:right="239" w:bottom="1440" w:gutter="0" w:footer="0" w:header="0"/>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29, 2016</w:t>
      </w:r>
    </w:p>
    <w:p>
      <w:pPr>
        <w:spacing w:after="0" w:line="129"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6, 2016 (T+5)</w:t>
      </w:r>
    </w:p>
    <w:p>
      <w:pPr>
        <w:spacing w:after="0" w:line="140"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882508 BA1 / US882508BA13</w:t>
      </w:r>
    </w:p>
    <w:p>
      <w:pPr>
        <w:spacing w:after="0" w:line="140"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A1 (stable outlook)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A+ (stable outlook)</w:t>
      </w:r>
    </w:p>
    <w:p>
      <w:pPr>
        <w:spacing w:after="0" w:line="116"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116"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ind w:left="43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Morgan Stanley &amp; Co. LLC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420"/>
          </w:cols>
          <w:pgMar w:left="240" w:top="27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May 6, 2016,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Merrill Lynch, Pierce, Fenner &amp; Smith Incorporated at (800) 294-1322 or Mizuho Securities USA Inc. at (866) 271-7403.</w:t>
      </w:r>
    </w:p>
    <w:p>
      <w:pPr>
        <w:spacing w:after="0" w:line="156"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380"/>
          </w:cols>
          <w:pgMar w:left="240" w:top="270" w:right="279"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5560" w:type="dxa"/>
            <w:vAlign w:val="bottom"/>
          </w:tcPr>
          <w:p>
            <w:pPr>
              <w:jc w:val="center"/>
              <w:ind w:left="690"/>
              <w:spacing w:after="0"/>
              <w:rPr>
                <w:sz w:val="20"/>
                <w:szCs w:val="20"/>
                <w:color w:val="auto"/>
              </w:rPr>
            </w:pPr>
            <w:r>
              <w:rPr>
                <w:rFonts w:ascii="Arial" w:cs="Arial" w:eastAsia="Arial" w:hAnsi="Arial"/>
                <w:sz w:val="18"/>
                <w:szCs w:val="18"/>
                <w:b w:val="1"/>
                <w:bCs w:val="1"/>
                <w:color w:val="auto"/>
              </w:rPr>
              <w:t>SCHEDULE II</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5560" w:type="dxa"/>
            <w:vAlign w:val="bottom"/>
          </w:tcPr>
          <w:p>
            <w:pPr>
              <w:jc w:val="center"/>
              <w:ind w:left="710"/>
              <w:spacing w:after="0"/>
              <w:rPr>
                <w:sz w:val="20"/>
                <w:szCs w:val="20"/>
                <w:color w:val="auto"/>
              </w:rPr>
            </w:pPr>
            <w:r>
              <w:rPr>
                <w:rFonts w:ascii="Arial" w:cs="Arial" w:eastAsia="Arial" w:hAnsi="Arial"/>
                <w:sz w:val="18"/>
                <w:szCs w:val="18"/>
                <w:b w:val="1"/>
                <w:bCs w:val="1"/>
                <w:color w:val="auto"/>
              </w:rPr>
              <w:t>TO UNDERWRITING AGREEMENT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260" w:type="dxa"/>
            <w:vAlign w:val="bottom"/>
            <w:gridSpan w:val="2"/>
          </w:tcPr>
          <w:p>
            <w:pPr>
              <w:spacing w:after="0"/>
              <w:rPr>
                <w:sz w:val="20"/>
                <w:szCs w:val="20"/>
                <w:color w:val="auto"/>
              </w:rPr>
            </w:pPr>
            <w:r>
              <w:rPr>
                <w:rFonts w:ascii="Arial" w:cs="Arial" w:eastAsia="Arial" w:hAnsi="Arial"/>
                <w:sz w:val="14"/>
                <w:szCs w:val="14"/>
                <w:color w:val="auto"/>
              </w:rPr>
              <w:t>Underwriter</w:t>
            </w:r>
          </w:p>
        </w:tc>
        <w:tc>
          <w:tcPr>
            <w:tcW w:w="1500" w:type="dxa"/>
            <w:vAlign w:val="bottom"/>
            <w:gridSpan w:val="4"/>
          </w:tcPr>
          <w:p>
            <w:pPr>
              <w:spacing w:after="0"/>
              <w:rPr>
                <w:sz w:val="20"/>
                <w:szCs w:val="20"/>
                <w:color w:val="auto"/>
              </w:rPr>
            </w:pPr>
            <w:r>
              <w:rPr>
                <w:rFonts w:ascii="Arial" w:cs="Arial" w:eastAsia="Arial" w:hAnsi="Arial"/>
                <w:sz w:val="14"/>
                <w:szCs w:val="14"/>
                <w:color w:val="auto"/>
                <w:w w:val="98"/>
              </w:rPr>
              <w:t>1.</w:t>
            </w:r>
            <w:r>
              <w:rPr>
                <w:rFonts w:ascii="Arial" w:cs="Arial" w:eastAsia="Arial" w:hAnsi="Arial"/>
                <w:sz w:val="14"/>
                <w:szCs w:val="14"/>
                <w:u w:val="single" w:color="auto"/>
                <w:color w:val="auto"/>
                <w:w w:val="98"/>
              </w:rPr>
              <w:t>850%</w:t>
            </w:r>
            <w:r>
              <w:rPr>
                <w:rFonts w:ascii="Arial" w:cs="Arial" w:eastAsia="Arial" w:hAnsi="Arial"/>
                <w:sz w:val="14"/>
                <w:szCs w:val="14"/>
                <w:color w:val="auto"/>
                <w:w w:val="98"/>
              </w:rPr>
              <w:t xml:space="preserve"> Notes due 2022</w:t>
            </w: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6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Barclays Capital Inc.</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95,000,000</w:t>
            </w:r>
          </w:p>
        </w:tc>
        <w:tc>
          <w:tcPr>
            <w:tcW w:w="100" w:type="dxa"/>
            <w:vAlign w:val="bottom"/>
            <w:shd w:val="clear" w:color="auto" w:fill="CCEEFF"/>
          </w:tcPr>
          <w:p>
            <w:pPr>
              <w:spacing w:after="0"/>
              <w:rPr>
                <w:sz w:val="17"/>
                <w:szCs w:val="17"/>
                <w:color w:val="auto"/>
              </w:rPr>
            </w:pPr>
          </w:p>
        </w:tc>
      </w:tr>
      <w:tr>
        <w:trPr>
          <w:trHeight w:val="202"/>
        </w:trPr>
        <w:tc>
          <w:tcPr>
            <w:tcW w:w="626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700" w:type="dxa"/>
            <w:vAlign w:val="bottom"/>
          </w:tcPr>
          <w:p>
            <w:pPr>
              <w:spacing w:after="0"/>
              <w:rPr>
                <w:sz w:val="21"/>
                <w:szCs w:val="21"/>
                <w:color w:val="auto"/>
              </w:rPr>
            </w:pPr>
          </w:p>
        </w:tc>
        <w:tc>
          <w:tcPr>
            <w:tcW w:w="5560" w:type="dxa"/>
            <w:vAlign w:val="bottom"/>
          </w:tcPr>
          <w:p>
            <w:pPr>
              <w:ind w:left="280"/>
              <w:spacing w:after="0"/>
              <w:rPr>
                <w:sz w:val="20"/>
                <w:szCs w:val="20"/>
                <w:color w:val="auto"/>
              </w:rPr>
            </w:pPr>
            <w:r>
              <w:rPr>
                <w:rFonts w:ascii="Arial" w:cs="Arial" w:eastAsia="Arial" w:hAnsi="Arial"/>
                <w:sz w:val="18"/>
                <w:szCs w:val="18"/>
                <w:color w:val="auto"/>
              </w:rPr>
              <w:t>Incorporated</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95,000,000</w:t>
            </w:r>
          </w:p>
        </w:tc>
        <w:tc>
          <w:tcPr>
            <w:tcW w:w="100" w:type="dxa"/>
            <w:vAlign w:val="bottom"/>
          </w:tcPr>
          <w:p>
            <w:pPr>
              <w:spacing w:after="0"/>
              <w:rPr>
                <w:sz w:val="21"/>
                <w:szCs w:val="2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The Williams Capital Group, L.P.</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shd w:val="clear" w:color="auto" w:fill="CCEEFF"/>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500,000,000</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9019"/>
          </w:cols>
          <w:pgMar w:left="1440" w:top="270" w:right="1440" w:bottom="1440" w:gutter="0" w:footer="0" w:header="0"/>
        </w:sectPr>
      </w:pPr>
    </w:p>
    <w:bookmarkStart w:id="12" w:name="page13"/>
    <w:bookmarkEnd w:id="12"/>
    <w:p>
      <w:pPr>
        <w:jc w:val="center"/>
        <w:ind w:right="-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9759"/>
          </w:cols>
          <w:pgMar w:left="700" w:top="270" w:right="1440" w:bottom="1440" w:gutter="0" w:footer="0" w:header="0"/>
        </w:sectPr>
      </w:pPr>
    </w:p>
    <w:bookmarkStart w:id="13" w:name="page14"/>
    <w:bookmarkEnd w:id="13"/>
    <w:p>
      <w:pPr>
        <w:jc w:val="center"/>
        <w:ind w:righ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only information that the Underwriters have furnished to the Company in writing expressly for use in the Prospectus Supplement is:</w:t>
      </w:r>
    </w:p>
    <w:p>
      <w:pPr>
        <w:spacing w:after="0" w:line="117" w:lineRule="exact"/>
        <w:rPr>
          <w:sz w:val="20"/>
          <w:szCs w:val="20"/>
          <w:color w:val="auto"/>
        </w:rPr>
      </w:pPr>
    </w:p>
    <w:p>
      <w:pPr>
        <w:ind w:left="620" w:hanging="177"/>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third paragraph of text under the caption “Underwriting” in the Prospectus Supplement, concerning the terms offered by the Underwriters;</w:t>
      </w:r>
    </w:p>
    <w:p>
      <w:pPr>
        <w:spacing w:after="0" w:line="140" w:lineRule="exact"/>
        <w:rPr>
          <w:rFonts w:ascii="Arial" w:cs="Arial" w:eastAsia="Arial" w:hAnsi="Arial"/>
          <w:sz w:val="16"/>
          <w:szCs w:val="16"/>
          <w:color w:val="auto"/>
        </w:rPr>
      </w:pPr>
    </w:p>
    <w:p>
      <w:pPr>
        <w:ind w:right="40" w:firstLine="443"/>
        <w:spacing w:after="0" w:line="277" w:lineRule="auto"/>
        <w:tabs>
          <w:tab w:leader="none" w:pos="61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0900"/>
          </w:cols>
          <w:pgMar w:left="700" w:top="270"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February 24, 2016</w:t>
      </w:r>
    </w:p>
    <w:p>
      <w:pPr>
        <w:spacing w:after="0" w:line="24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in one or more offerings on terms determined at the time of sale, the Company proposes to issue and sell (a) its common stock, $1.00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(b) its preferred stock, $25.00 par value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(c) certain of its debt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(d) warrants to purchase Common Stock, Preferred Stock or Debt Securities (“</w:t>
      </w:r>
      <w:r>
        <w:rPr>
          <w:rFonts w:ascii="Arial" w:cs="Arial" w:eastAsia="Arial" w:hAnsi="Arial"/>
          <w:sz w:val="16"/>
          <w:szCs w:val="16"/>
          <w:b w:val="1"/>
          <w:bCs w:val="1"/>
          <w:color w:val="auto"/>
        </w:rPr>
        <w:t>Warrants</w:t>
      </w:r>
      <w:r>
        <w:rPr>
          <w:rFonts w:ascii="Arial" w:cs="Arial" w:eastAsia="Arial" w:hAnsi="Arial"/>
          <w:sz w:val="16"/>
          <w:szCs w:val="16"/>
          <w:color w:val="auto"/>
        </w:rPr>
        <w:t>”), and (e) units consisting of Common Stock,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Debt Securities or Warrants or any combination thereof (“</w:t>
      </w:r>
      <w:r>
        <w:rPr>
          <w:rFonts w:ascii="Arial" w:cs="Arial" w:eastAsia="Arial" w:hAnsi="Arial"/>
          <w:sz w:val="16"/>
          <w:szCs w:val="16"/>
          <w:b w:val="1"/>
          <w:bCs w:val="1"/>
          <w:color w:val="auto"/>
        </w:rPr>
        <w:t>Units</w:t>
      </w:r>
      <w:r>
        <w:rPr>
          <w:rFonts w:ascii="Arial" w:cs="Arial" w:eastAsia="Arial" w:hAnsi="Arial"/>
          <w:sz w:val="16"/>
          <w:szCs w:val="16"/>
          <w:color w:val="auto"/>
        </w:rPr>
        <w:t>”). The Common Stock, Preferred Stock, Debt Securities, Warrants and Units are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207"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specifically relating to the Securities listed on Schedule I hereto (the “</w:t>
      </w:r>
      <w:r>
        <w:rPr>
          <w:rFonts w:ascii="Arial" w:cs="Arial" w:eastAsia="Arial" w:hAnsi="Arial"/>
          <w:sz w:val="17"/>
          <w:szCs w:val="17"/>
          <w:b w:val="1"/>
          <w:bCs w:val="1"/>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has the meaning set forth in Rule 433 under the Securities Act. The term “</w:t>
      </w:r>
      <w:r>
        <w:rPr>
          <w:rFonts w:ascii="Arial" w:cs="Arial" w:eastAsia="Arial" w:hAnsi="Arial"/>
          <w:sz w:val="17"/>
          <w:szCs w:val="17"/>
          <w:b w:val="1"/>
          <w:bCs w:val="1"/>
          <w:color w:val="auto"/>
        </w:rPr>
        <w:t>Time of Sale</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and preliminary prospectus, if any, together with any additional documents or other information identified in</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III to the Underwriting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5" w:name="page16"/>
    <w:bookmarkEnd w:id="15"/>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460" w:right="60" w:firstLine="443"/>
        <w:spacing w:after="0" w:line="254" w:lineRule="auto"/>
        <w:tabs>
          <w:tab w:leader="none" w:pos="1143"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16" w:name="page17"/>
    <w:bookmarkEnd w:id="16"/>
    <w:p>
      <w:pPr>
        <w:ind w:right="100" w:firstLine="443"/>
        <w:spacing w:after="0" w:line="277"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460" w:right="540" w:firstLine="421"/>
        <w:spacing w:after="0" w:line="277" w:lineRule="auto"/>
        <w:tabs>
          <w:tab w:leader="none" w:pos="109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w:t>
      </w:r>
    </w:p>
    <w:p>
      <w:pPr>
        <w:spacing w:after="0" w:line="62" w:lineRule="exact"/>
        <w:rPr>
          <w:rFonts w:ascii="Arial" w:cs="Arial" w:eastAsia="Arial" w:hAnsi="Arial"/>
          <w:sz w:val="18"/>
          <w:szCs w:val="18"/>
          <w:color w:val="auto"/>
        </w:rPr>
      </w:pPr>
    </w:p>
    <w:p>
      <w:pPr>
        <w:ind w:left="460" w:firstLine="421"/>
        <w:spacing w:after="0" w:line="286" w:lineRule="auto"/>
        <w:tabs>
          <w:tab w:leader="none" w:pos="114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57" w:lineRule="exact"/>
        <w:rPr>
          <w:rFonts w:ascii="Arial" w:cs="Arial" w:eastAsia="Arial" w:hAnsi="Arial"/>
          <w:sz w:val="17"/>
          <w:szCs w:val="17"/>
          <w:color w:val="auto"/>
        </w:rPr>
      </w:pPr>
    </w:p>
    <w:p>
      <w:pPr>
        <w:ind w:left="460" w:right="540" w:firstLine="421"/>
        <w:spacing w:after="0" w:line="277" w:lineRule="auto"/>
        <w:tabs>
          <w:tab w:leader="none" w:pos="119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rFonts w:ascii="Arial" w:cs="Arial" w:eastAsia="Arial" w:hAnsi="Arial"/>
          <w:sz w:val="18"/>
          <w:szCs w:val="18"/>
          <w:color w:val="auto"/>
        </w:rPr>
      </w:pPr>
    </w:p>
    <w:p>
      <w:pPr>
        <w:ind w:left="460" w:right="60" w:firstLine="421"/>
        <w:spacing w:after="0" w:line="264" w:lineRule="auto"/>
        <w:tabs>
          <w:tab w:leader="none" w:pos="118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3" w:lineRule="exact"/>
        <w:rPr>
          <w:rFonts w:ascii="Arial" w:cs="Arial" w:eastAsia="Arial" w:hAnsi="Arial"/>
          <w:sz w:val="18"/>
          <w:szCs w:val="18"/>
          <w:color w:val="auto"/>
        </w:rPr>
      </w:pPr>
    </w:p>
    <w:p>
      <w:pPr>
        <w:ind w:left="1720" w:hanging="291"/>
        <w:spacing w:after="0"/>
        <w:tabs>
          <w:tab w:leader="none" w:pos="1720" w:val="left"/>
        </w:tabs>
        <w:numPr>
          <w:ilvl w:val="2"/>
          <w:numId w:val="4"/>
        </w:numPr>
        <w:rPr>
          <w:rFonts w:ascii="Arial" w:cs="Arial" w:eastAsia="Arial" w:hAnsi="Arial"/>
          <w:sz w:val="18"/>
          <w:szCs w:val="18"/>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rFonts w:ascii="Arial" w:cs="Arial" w:eastAsia="Arial" w:hAnsi="Arial"/>
          <w:sz w:val="18"/>
          <w:szCs w:val="18"/>
          <w:color w:val="auto"/>
        </w:rPr>
      </w:pPr>
    </w:p>
    <w:p>
      <w:pPr>
        <w:ind w:left="1040" w:firstLine="389"/>
        <w:spacing w:after="0" w:line="312" w:lineRule="auto"/>
        <w:tabs>
          <w:tab w:leader="none" w:pos="1722" w:val="left"/>
        </w:tabs>
        <w:numPr>
          <w:ilvl w:val="2"/>
          <w:numId w:val="4"/>
        </w:numPr>
        <w:rPr>
          <w:rFonts w:ascii="Arial" w:cs="Arial" w:eastAsia="Arial" w:hAnsi="Arial"/>
          <w:sz w:val="16"/>
          <w:szCs w:val="16"/>
          <w:color w:val="auto"/>
        </w:rPr>
      </w:pPr>
      <w:r>
        <w:rPr>
          <w:rFonts w:ascii="Arial" w:cs="Arial" w:eastAsia="Arial" w:hAnsi="Arial"/>
          <w:sz w:val="16"/>
          <w:szCs w:val="16"/>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38" w:lineRule="exact"/>
        <w:rPr>
          <w:rFonts w:ascii="Arial" w:cs="Arial" w:eastAsia="Arial" w:hAnsi="Arial"/>
          <w:sz w:val="16"/>
          <w:szCs w:val="16"/>
          <w:color w:val="auto"/>
        </w:rPr>
      </w:pPr>
    </w:p>
    <w:p>
      <w:pPr>
        <w:jc w:val="both"/>
        <w:ind w:left="460" w:firstLine="421"/>
        <w:spacing w:after="0" w:line="259" w:lineRule="auto"/>
        <w:tabs>
          <w:tab w:leader="none" w:pos="113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78" w:lineRule="exact"/>
        <w:rPr>
          <w:rFonts w:ascii="Arial" w:cs="Arial" w:eastAsia="Arial" w:hAnsi="Arial"/>
          <w:sz w:val="18"/>
          <w:szCs w:val="18"/>
          <w:color w:val="auto"/>
        </w:rPr>
      </w:pPr>
    </w:p>
    <w:p>
      <w:pPr>
        <w:ind w:left="460" w:right="260" w:firstLine="421"/>
        <w:spacing w:after="0" w:line="277" w:lineRule="auto"/>
        <w:tabs>
          <w:tab w:leader="none" w:pos="118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such counsel’s knowledge, there is no action, suit or formal proceeding pending or threatened against the Company or any of its subsidiaries before any court or arbitrator or any governmental body or</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700" w:top="274" w:right="319" w:bottom="1440" w:gutter="0" w:footer="0" w:header="0"/>
        </w:sectPr>
      </w:pPr>
    </w:p>
    <w:bookmarkStart w:id="17" w:name="page18"/>
    <w:bookmarkEnd w:id="1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79" w:lineRule="exact"/>
        <w:rPr>
          <w:sz w:val="20"/>
          <w:szCs w:val="20"/>
          <w:color w:val="auto"/>
        </w:rPr>
      </w:pPr>
    </w:p>
    <w:p>
      <w:pPr>
        <w:ind w:firstLine="421"/>
        <w:spacing w:after="0" w:line="302" w:lineRule="auto"/>
        <w:tabs>
          <w:tab w:leader="none" w:pos="77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46" w:lineRule="exact"/>
        <w:rPr>
          <w:rFonts w:ascii="Arial" w:cs="Arial" w:eastAsia="Arial" w:hAnsi="Arial"/>
          <w:sz w:val="16"/>
          <w:szCs w:val="16"/>
          <w:color w:val="auto"/>
        </w:rPr>
      </w:pPr>
    </w:p>
    <w:p>
      <w:pPr>
        <w:ind w:right="220" w:firstLine="421"/>
        <w:spacing w:after="0" w:line="277" w:lineRule="auto"/>
        <w:tabs>
          <w:tab w:leader="none" w:pos="825"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580" w:right="160" w:firstLine="389"/>
        <w:spacing w:after="0" w:line="255" w:lineRule="auto"/>
        <w:tabs>
          <w:tab w:leader="none" w:pos="127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5" w:lineRule="exact"/>
        <w:rPr>
          <w:rFonts w:ascii="Arial" w:cs="Arial" w:eastAsia="Arial" w:hAnsi="Arial"/>
          <w:sz w:val="18"/>
          <w:szCs w:val="18"/>
          <w:color w:val="auto"/>
        </w:rPr>
      </w:pPr>
    </w:p>
    <w:p>
      <w:pPr>
        <w:ind w:left="580" w:right="260" w:firstLine="389"/>
        <w:spacing w:after="0" w:line="302" w:lineRule="auto"/>
        <w:tabs>
          <w:tab w:leader="none" w:pos="1262"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46" w:lineRule="exact"/>
        <w:rPr>
          <w:rFonts w:ascii="Arial" w:cs="Arial" w:eastAsia="Arial" w:hAnsi="Arial"/>
          <w:sz w:val="16"/>
          <w:szCs w:val="16"/>
          <w:color w:val="auto"/>
        </w:rPr>
      </w:pPr>
    </w:p>
    <w:p>
      <w:pPr>
        <w:ind w:left="580" w:right="100" w:firstLine="389"/>
        <w:spacing w:after="0" w:line="277" w:lineRule="auto"/>
        <w:tabs>
          <w:tab w:leader="none" w:pos="126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1160" w:top="274" w:right="299" w:bottom="1440" w:gutter="0" w:footer="0" w:header="0"/>
        </w:sectPr>
      </w:pPr>
    </w:p>
    <w:bookmarkStart w:id="18" w:name="page19"/>
    <w:bookmarkEnd w:id="18"/>
    <w:p>
      <w:pPr>
        <w:ind w:left="1040"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16" w:lineRule="exact"/>
        <w:rPr>
          <w:sz w:val="20"/>
          <w:szCs w:val="20"/>
          <w:color w:val="auto"/>
        </w:rPr>
      </w:pPr>
    </w:p>
    <w:p>
      <w:pPr>
        <w:ind w:left="1040" w:firstLine="389"/>
        <w:spacing w:after="0" w:line="279" w:lineRule="auto"/>
        <w:tabs>
          <w:tab w:leader="none" w:pos="1732" w:val="left"/>
        </w:tabs>
        <w:numPr>
          <w:ilvl w:val="2"/>
          <w:numId w:val="6"/>
        </w:numPr>
        <w:rPr>
          <w:rFonts w:ascii="Arial" w:cs="Arial" w:eastAsia="Arial" w:hAnsi="Arial"/>
          <w:sz w:val="17"/>
          <w:szCs w:val="17"/>
          <w:color w:val="auto"/>
        </w:rPr>
      </w:pPr>
      <w:r>
        <w:rPr>
          <w:rFonts w:ascii="Arial" w:cs="Arial" w:eastAsia="Arial" w:hAnsi="Arial"/>
          <w:sz w:val="17"/>
          <w:szCs w:val="17"/>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63" w:lineRule="exact"/>
        <w:rPr>
          <w:rFonts w:ascii="Arial" w:cs="Arial" w:eastAsia="Arial" w:hAnsi="Arial"/>
          <w:sz w:val="17"/>
          <w:szCs w:val="17"/>
          <w:color w:val="auto"/>
        </w:rPr>
      </w:pPr>
    </w:p>
    <w:p>
      <w:pPr>
        <w:ind w:right="320" w:firstLine="443"/>
        <w:spacing w:after="0" w:line="277"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460" w:right="200" w:firstLine="421"/>
        <w:spacing w:after="0" w:line="264" w:lineRule="auto"/>
        <w:tabs>
          <w:tab w:leader="none" w:pos="1095"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left="1140" w:hanging="259"/>
        <w:spacing w:after="0"/>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Debt Securities are Offered Securities:</w:t>
      </w:r>
    </w:p>
    <w:p>
      <w:pPr>
        <w:spacing w:after="0" w:line="117" w:lineRule="exact"/>
        <w:rPr>
          <w:rFonts w:ascii="Arial" w:cs="Arial" w:eastAsia="Arial" w:hAnsi="Arial"/>
          <w:sz w:val="18"/>
          <w:szCs w:val="18"/>
          <w:color w:val="auto"/>
        </w:rPr>
      </w:pPr>
    </w:p>
    <w:p>
      <w:pPr>
        <w:ind w:left="1040" w:right="120" w:firstLine="389"/>
        <w:spacing w:after="0" w:line="255" w:lineRule="auto"/>
        <w:tabs>
          <w:tab w:leader="none" w:pos="1732" w:val="left"/>
        </w:tabs>
        <w:numPr>
          <w:ilvl w:val="2"/>
          <w:numId w:val="7"/>
        </w:numPr>
        <w:rPr>
          <w:rFonts w:ascii="Arial" w:cs="Arial" w:eastAsia="Arial" w:hAnsi="Arial"/>
          <w:sz w:val="18"/>
          <w:szCs w:val="18"/>
          <w:color w:val="auto"/>
        </w:rPr>
      </w:pPr>
      <w:r>
        <w:rPr>
          <w:rFonts w:ascii="Arial" w:cs="Arial" w:eastAsia="Arial" w:hAnsi="Arial"/>
          <w:sz w:val="18"/>
          <w:szCs w:val="18"/>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8"/>
          <w:szCs w:val="18"/>
          <w:b w:val="1"/>
          <w:bCs w:val="1"/>
          <w:color w:val="auto"/>
        </w:rPr>
        <w:t>Enforceability</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Exceptions</w:t>
      </w:r>
      <w:r>
        <w:rPr>
          <w:rFonts w:ascii="Arial" w:cs="Arial" w:eastAsia="Arial" w:hAnsi="Arial"/>
          <w:sz w:val="18"/>
          <w:szCs w:val="18"/>
          <w:color w:val="auto"/>
        </w:rPr>
        <w:t>”), provided that such counsel need not express any opinion as to the validity, legally binding effect or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that permits holders to collect any portion of stated principal amount upon acceleration of such securities to the extent determined to constitute unearned interest;</w:t>
      </w:r>
    </w:p>
    <w:p>
      <w:pPr>
        <w:spacing w:after="0" w:line="81" w:lineRule="exact"/>
        <w:rPr>
          <w:rFonts w:ascii="Arial" w:cs="Arial" w:eastAsia="Arial" w:hAnsi="Arial"/>
          <w:sz w:val="18"/>
          <w:szCs w:val="18"/>
          <w:color w:val="auto"/>
        </w:rPr>
      </w:pPr>
    </w:p>
    <w:p>
      <w:pPr>
        <w:ind w:left="1040" w:right="320" w:firstLine="389"/>
        <w:spacing w:after="0" w:line="277" w:lineRule="auto"/>
        <w:tabs>
          <w:tab w:leader="none" w:pos="1722"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9" w:name="page20"/>
    <w:bookmarkEnd w:id="19"/>
    <w:p>
      <w:pPr>
        <w:ind w:left="980" w:hanging="291"/>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has been duly qualified under the Trust Indenture Act of 1939.</w:t>
      </w:r>
    </w:p>
    <w:p>
      <w:pPr>
        <w:spacing w:after="0" w:line="117" w:lineRule="exact"/>
        <w:rPr>
          <w:rFonts w:ascii="Arial" w:cs="Arial" w:eastAsia="Arial" w:hAnsi="Arial"/>
          <w:sz w:val="18"/>
          <w:szCs w:val="18"/>
          <w:color w:val="auto"/>
        </w:rPr>
      </w:pPr>
    </w:p>
    <w:p>
      <w:pPr>
        <w:ind w:left="460" w:hanging="319"/>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Warrants are Offered Securities:</w:t>
      </w:r>
    </w:p>
    <w:p>
      <w:pPr>
        <w:spacing w:after="0" w:line="117" w:lineRule="exact"/>
        <w:rPr>
          <w:rFonts w:ascii="Arial" w:cs="Arial" w:eastAsia="Arial" w:hAnsi="Arial"/>
          <w:sz w:val="18"/>
          <w:szCs w:val="18"/>
          <w:color w:val="auto"/>
        </w:rPr>
      </w:pPr>
    </w:p>
    <w:p>
      <w:pPr>
        <w:ind w:left="300" w:firstLine="389"/>
        <w:spacing w:after="0" w:line="312" w:lineRule="auto"/>
        <w:tabs>
          <w:tab w:leader="none" w:pos="992" w:val="left"/>
        </w:tabs>
        <w:numPr>
          <w:ilvl w:val="1"/>
          <w:numId w:val="9"/>
        </w:numPr>
        <w:rPr>
          <w:rFonts w:ascii="Arial" w:cs="Arial" w:eastAsia="Arial" w:hAnsi="Arial"/>
          <w:sz w:val="16"/>
          <w:szCs w:val="16"/>
          <w:color w:val="auto"/>
        </w:rPr>
      </w:pPr>
      <w:r>
        <w:rPr>
          <w:rFonts w:ascii="Arial" w:cs="Arial" w:eastAsia="Arial" w:hAnsi="Arial"/>
          <w:sz w:val="16"/>
          <w:szCs w:val="16"/>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38" w:lineRule="exact"/>
        <w:rPr>
          <w:rFonts w:ascii="Arial" w:cs="Arial" w:eastAsia="Arial" w:hAnsi="Arial"/>
          <w:sz w:val="16"/>
          <w:szCs w:val="16"/>
          <w:color w:val="auto"/>
        </w:rPr>
      </w:pPr>
    </w:p>
    <w:p>
      <w:pPr>
        <w:ind w:left="300" w:right="500" w:firstLine="389"/>
        <w:spacing w:after="0" w:line="277" w:lineRule="auto"/>
        <w:tabs>
          <w:tab w:leader="none" w:pos="98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440" w:hanging="299"/>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Units are Offered Securities:</w:t>
      </w:r>
    </w:p>
    <w:p>
      <w:pPr>
        <w:spacing w:after="0" w:line="117" w:lineRule="exact"/>
        <w:rPr>
          <w:rFonts w:ascii="Arial" w:cs="Arial" w:eastAsia="Arial" w:hAnsi="Arial"/>
          <w:sz w:val="18"/>
          <w:szCs w:val="18"/>
          <w:color w:val="auto"/>
        </w:rPr>
      </w:pPr>
    </w:p>
    <w:p>
      <w:pPr>
        <w:ind w:left="300" w:right="240" w:firstLine="389"/>
        <w:spacing w:after="0" w:line="312" w:lineRule="auto"/>
        <w:tabs>
          <w:tab w:leader="none" w:pos="992" w:val="left"/>
        </w:tabs>
        <w:numPr>
          <w:ilvl w:val="1"/>
          <w:numId w:val="9"/>
        </w:numPr>
        <w:rPr>
          <w:rFonts w:ascii="Arial" w:cs="Arial" w:eastAsia="Arial" w:hAnsi="Arial"/>
          <w:sz w:val="16"/>
          <w:szCs w:val="16"/>
          <w:color w:val="auto"/>
        </w:rPr>
      </w:pPr>
      <w:r>
        <w:rPr>
          <w:rFonts w:ascii="Arial" w:cs="Arial" w:eastAsia="Arial" w:hAnsi="Arial"/>
          <w:sz w:val="16"/>
          <w:szCs w:val="16"/>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38" w:lineRule="exact"/>
        <w:rPr>
          <w:rFonts w:ascii="Arial" w:cs="Arial" w:eastAsia="Arial" w:hAnsi="Arial"/>
          <w:sz w:val="16"/>
          <w:szCs w:val="16"/>
          <w:color w:val="auto"/>
        </w:rPr>
      </w:pPr>
    </w:p>
    <w:p>
      <w:pPr>
        <w:ind w:left="300" w:right="760" w:firstLine="389"/>
        <w:spacing w:after="0" w:line="277" w:lineRule="auto"/>
        <w:tabs>
          <w:tab w:leader="none" w:pos="98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400" w:hanging="259"/>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280" w:right="140" w:firstLine="421"/>
        <w:spacing w:after="0" w:line="264" w:lineRule="auto"/>
        <w:tabs>
          <w:tab w:leader="none" w:pos="44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3" w:lineRule="exact"/>
        <w:rPr>
          <w:rFonts w:ascii="Arial" w:cs="Arial" w:eastAsia="Arial" w:hAnsi="Arial"/>
          <w:sz w:val="18"/>
          <w:szCs w:val="18"/>
          <w:color w:val="auto"/>
        </w:rPr>
      </w:pPr>
    </w:p>
    <w:p>
      <w:pPr>
        <w:ind w:left="-280" w:right="380" w:firstLine="421"/>
        <w:spacing w:after="0" w:line="308" w:lineRule="auto"/>
        <w:tabs>
          <w:tab w:leader="none" w:pos="49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00"/>
          </w:cols>
          <w:pgMar w:left="1440" w:top="274" w:right="259" w:bottom="1440" w:gutter="0" w:footer="0" w:header="0"/>
        </w:sectPr>
      </w:pPr>
    </w:p>
    <w:bookmarkStart w:id="20" w:name="page21"/>
    <w:bookmarkEnd w:id="20"/>
    <w:p>
      <w:pPr>
        <w:ind w:left="-280" w:right="560" w:firstLine="421"/>
        <w:spacing w:after="0" w:line="282" w:lineRule="auto"/>
        <w:tabs>
          <w:tab w:leader="none" w:pos="545"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Offered Securities that are convertible into or exercisable or exchangeable for other Securities (the “</w:t>
      </w:r>
      <w:r>
        <w:rPr>
          <w:rFonts w:ascii="Arial" w:cs="Arial" w:eastAsia="Arial" w:hAnsi="Arial"/>
          <w:sz w:val="18"/>
          <w:szCs w:val="18"/>
          <w:b w:val="1"/>
          <w:bCs w:val="1"/>
          <w:color w:val="auto"/>
        </w:rPr>
        <w:t>Underlying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57" w:lineRule="exact"/>
        <w:rPr>
          <w:rFonts w:ascii="Arial" w:cs="Arial" w:eastAsia="Arial" w:hAnsi="Arial"/>
          <w:sz w:val="18"/>
          <w:szCs w:val="18"/>
          <w:color w:val="auto"/>
        </w:rPr>
      </w:pPr>
    </w:p>
    <w:p>
      <w:pPr>
        <w:ind w:left="-280" w:right="220" w:firstLine="421"/>
        <w:spacing w:after="0" w:line="312" w:lineRule="auto"/>
        <w:tabs>
          <w:tab w:leader="none" w:pos="4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38" w:lineRule="exact"/>
        <w:rPr>
          <w:rFonts w:ascii="Arial" w:cs="Arial" w:eastAsia="Arial" w:hAnsi="Arial"/>
          <w:sz w:val="16"/>
          <w:szCs w:val="16"/>
          <w:color w:val="auto"/>
        </w:rPr>
      </w:pPr>
    </w:p>
    <w:p>
      <w:pPr>
        <w:jc w:val="both"/>
        <w:ind w:left="-280" w:right="20" w:firstLine="421"/>
        <w:spacing w:after="0" w:line="286" w:lineRule="auto"/>
        <w:tabs>
          <w:tab w:leader="none" w:pos="3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57" w:lineRule="exact"/>
        <w:rPr>
          <w:rFonts w:ascii="Arial" w:cs="Arial" w:eastAsia="Arial" w:hAnsi="Arial"/>
          <w:sz w:val="17"/>
          <w:szCs w:val="17"/>
          <w:color w:val="auto"/>
        </w:rPr>
      </w:pPr>
    </w:p>
    <w:p>
      <w:pPr>
        <w:ind w:left="-280" w:right="180" w:firstLine="421"/>
        <w:spacing w:after="0" w:line="279" w:lineRule="auto"/>
        <w:tabs>
          <w:tab w:leader="none" w:pos="4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63" w:lineRule="exact"/>
        <w:rPr>
          <w:rFonts w:ascii="Arial" w:cs="Arial" w:eastAsia="Arial" w:hAnsi="Arial"/>
          <w:sz w:val="17"/>
          <w:szCs w:val="17"/>
          <w:color w:val="auto"/>
        </w:rPr>
      </w:pPr>
    </w:p>
    <w:p>
      <w:pPr>
        <w:ind w:left="-280" w:right="300" w:firstLine="421"/>
        <w:spacing w:after="0" w:line="27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300" w:firstLine="389"/>
        <w:spacing w:after="0" w:line="273" w:lineRule="auto"/>
        <w:tabs>
          <w:tab w:leader="none" w:pos="992"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70" w:lineRule="exact"/>
        <w:rPr>
          <w:rFonts w:ascii="Arial" w:cs="Arial" w:eastAsia="Arial" w:hAnsi="Arial"/>
          <w:sz w:val="17"/>
          <w:szCs w:val="17"/>
          <w:color w:val="auto"/>
        </w:rPr>
      </w:pPr>
    </w:p>
    <w:p>
      <w:pPr>
        <w:ind w:left="980" w:hanging="291"/>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Time of Sale Prospectus (except for the financial statements and financial schedules and other financial</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270" w:right="259" w:bottom="1440" w:gutter="0" w:footer="0" w:header="0"/>
        </w:sectPr>
      </w:pPr>
    </w:p>
    <w:bookmarkStart w:id="21" w:name="page22"/>
    <w:bookmarkEnd w:id="21"/>
    <w:p>
      <w:pPr>
        <w:ind w:left="150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3" w:lineRule="exact"/>
        <w:rPr>
          <w:sz w:val="20"/>
          <w:szCs w:val="20"/>
          <w:color w:val="auto"/>
        </w:rPr>
      </w:pPr>
    </w:p>
    <w:p>
      <w:pPr>
        <w:ind w:left="1500" w:firstLine="389"/>
        <w:spacing w:after="0" w:line="302" w:lineRule="auto"/>
        <w:tabs>
          <w:tab w:leader="none" w:pos="2182"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46" w:lineRule="exact"/>
        <w:rPr>
          <w:rFonts w:ascii="Arial" w:cs="Arial" w:eastAsia="Arial" w:hAnsi="Arial"/>
          <w:sz w:val="16"/>
          <w:szCs w:val="16"/>
          <w:color w:val="auto"/>
        </w:rPr>
      </w:pPr>
    </w:p>
    <w:p>
      <w:pPr>
        <w:ind w:left="920" w:right="520" w:firstLine="421"/>
        <w:spacing w:after="0" w:line="277" w:lineRule="auto"/>
        <w:tabs>
          <w:tab w:leader="none" w:pos="17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Manager shall have received on the Closing Date an opinion of its own counsel, in a form acceptable to the Manager, dated the Closing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46" w:lineRule="exact"/>
        <w:rPr>
          <w:sz w:val="20"/>
          <w:szCs w:val="20"/>
          <w:color w:val="auto"/>
        </w:rPr>
      </w:pPr>
    </w:p>
    <w:p>
      <w:pPr>
        <w:ind w:left="460" w:right="60" w:firstLine="443"/>
        <w:spacing w:after="0" w:line="259" w:lineRule="auto"/>
        <w:tabs>
          <w:tab w:leader="none" w:pos="11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Subsequent to the Applicable Time and prior to the Closing Date, there shall not have occurred any downgrading, nor shall any notice have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been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2" w:name="page23"/>
    <w:bookmarkEnd w:id="22"/>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57" w:lineRule="exact"/>
        <w:rPr>
          <w:sz w:val="20"/>
          <w:szCs w:val="20"/>
          <w:color w:val="auto"/>
        </w:rPr>
      </w:pPr>
    </w:p>
    <w:p>
      <w:pPr>
        <w:ind w:right="20" w:firstLine="443"/>
        <w:spacing w:after="0" w:line="259" w:lineRule="auto"/>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9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right="420" w:firstLine="443"/>
        <w:spacing w:after="0" w:line="312" w:lineRule="auto"/>
        <w:tabs>
          <w:tab w:leader="none" w:pos="6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38" w:lineRule="exact"/>
        <w:rPr>
          <w:rFonts w:ascii="Arial" w:cs="Arial" w:eastAsia="Arial" w:hAnsi="Arial"/>
          <w:sz w:val="16"/>
          <w:szCs w:val="16"/>
          <w:color w:val="auto"/>
        </w:rPr>
      </w:pPr>
    </w:p>
    <w:p>
      <w:pPr>
        <w:ind w:right="220" w:firstLine="443"/>
        <w:spacing w:after="0" w:line="259" w:lineRule="auto"/>
        <w:tabs>
          <w:tab w:leader="none" w:pos="6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8" w:lineRule="exact"/>
        <w:rPr>
          <w:rFonts w:ascii="Arial" w:cs="Arial" w:eastAsia="Arial" w:hAnsi="Arial"/>
          <w:sz w:val="18"/>
          <w:szCs w:val="18"/>
          <w:color w:val="auto"/>
        </w:rPr>
      </w:pPr>
    </w:p>
    <w:p>
      <w:pPr>
        <w:ind w:right="200" w:firstLine="443"/>
        <w:spacing w:after="0" w:line="277" w:lineRule="auto"/>
        <w:tabs>
          <w:tab w:leader="none" w:pos="6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62" w:lineRule="exact"/>
        <w:rPr>
          <w:rFonts w:ascii="Arial" w:cs="Arial" w:eastAsia="Arial" w:hAnsi="Arial"/>
          <w:sz w:val="18"/>
          <w:szCs w:val="18"/>
          <w:color w:val="auto"/>
        </w:rPr>
      </w:pPr>
    </w:p>
    <w:p>
      <w:pPr>
        <w:ind w:firstLine="443"/>
        <w:spacing w:after="0" w:line="264" w:lineRule="auto"/>
        <w:tabs>
          <w:tab w:leader="none" w:pos="6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right="80" w:firstLine="443"/>
        <w:spacing w:after="0" w:line="264" w:lineRule="auto"/>
        <w:tabs>
          <w:tab w:leader="none" w:pos="6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81" w:lineRule="exact"/>
        <w:rPr>
          <w:sz w:val="20"/>
          <w:szCs w:val="20"/>
          <w:color w:val="auto"/>
        </w:rPr>
      </w:pPr>
    </w:p>
    <w:p>
      <w:pPr>
        <w:ind w:right="40" w:firstLine="443"/>
        <w:spacing w:after="0" w:line="287" w:lineRule="auto"/>
        <w:tabs>
          <w:tab w:leader="none" w:pos="6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4" w:lineRule="exact"/>
        <w:rPr>
          <w:rFonts w:ascii="Arial" w:cs="Arial" w:eastAsia="Arial" w:hAnsi="Arial"/>
          <w:sz w:val="16"/>
          <w:szCs w:val="16"/>
          <w:color w:val="auto"/>
        </w:rPr>
      </w:pPr>
    </w:p>
    <w:p>
      <w:pPr>
        <w:ind w:right="340" w:firstLine="443"/>
        <w:spacing w:after="0" w:line="342" w:lineRule="auto"/>
        <w:tabs>
          <w:tab w:leader="none" w:pos="69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5" w:lineRule="exact"/>
        <w:rPr>
          <w:rFonts w:ascii="Arial" w:cs="Arial" w:eastAsia="Arial" w:hAnsi="Arial"/>
          <w:sz w:val="16"/>
          <w:szCs w:val="16"/>
          <w:color w:val="auto"/>
        </w:rPr>
      </w:pPr>
    </w:p>
    <w:p>
      <w:pPr>
        <w:ind w:right="220" w:firstLine="443"/>
        <w:spacing w:after="0" w:line="279" w:lineRule="auto"/>
        <w:tabs>
          <w:tab w:leader="none" w:pos="6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24" w:name="page25"/>
    <w:bookmarkEnd w:id="24"/>
    <w:p>
      <w:pPr>
        <w:ind w:firstLine="443"/>
        <w:spacing w:after="0" w:line="259" w:lineRule="auto"/>
        <w:tabs>
          <w:tab w:leader="none" w:pos="653"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right="20" w:firstLine="443"/>
        <w:spacing w:after="0" w:line="259" w:lineRule="auto"/>
        <w:tabs>
          <w:tab w:leader="none" w:pos="6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360" w:firstLine="443"/>
        <w:spacing w:after="0" w:line="277" w:lineRule="auto"/>
        <w:tabs>
          <w:tab w:leader="none" w:pos="6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43"/>
        <w:spacing w:after="0" w:line="287" w:lineRule="auto"/>
        <w:tabs>
          <w:tab w:leader="none" w:pos="6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60" w:lineRule="exact"/>
        <w:rPr>
          <w:rFonts w:ascii="Arial" w:cs="Arial" w:eastAsia="Arial" w:hAnsi="Arial"/>
          <w:sz w:val="16"/>
          <w:szCs w:val="16"/>
          <w:color w:val="auto"/>
        </w:rPr>
      </w:pPr>
    </w:p>
    <w:p>
      <w:pPr>
        <w:ind w:right="100" w:firstLine="443"/>
        <w:spacing w:after="0" w:line="259" w:lineRule="auto"/>
        <w:tabs>
          <w:tab w:leader="none" w:pos="7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25" w:name="page26"/>
    <w:bookmarkEnd w:id="25"/>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out-of-pocket expenses (including the fees and disbursements of their counsel) reasonably incurred by such Underwriters in connection with this Agreement or the offering of the Securities contemplated hereby.</w:t>
      </w:r>
    </w:p>
    <w:p>
      <w:pPr>
        <w:spacing w:after="0" w:line="62" w:lineRule="exact"/>
        <w:rPr>
          <w:sz w:val="20"/>
          <w:szCs w:val="20"/>
          <w:color w:val="auto"/>
        </w:rPr>
      </w:pPr>
    </w:p>
    <w:p>
      <w:pPr>
        <w:ind w:firstLine="443"/>
        <w:spacing w:after="0" w:line="283" w:lineRule="auto"/>
        <w:tabs>
          <w:tab w:leader="none" w:pos="693" w:val="left"/>
        </w:tabs>
        <w:numPr>
          <w:ilvl w:val="1"/>
          <w:numId w:val="19"/>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w:t>
      </w:r>
    </w:p>
    <w:p>
      <w:pPr>
        <w:spacing w:after="0" w:line="4" w:lineRule="exact"/>
        <w:rPr>
          <w:rFonts w:ascii="Arial" w:cs="Arial" w:eastAsia="Arial" w:hAnsi="Arial"/>
          <w:sz w:val="16"/>
          <w:szCs w:val="16"/>
          <w:color w:val="auto"/>
        </w:rPr>
      </w:pPr>
    </w:p>
    <w:p>
      <w:pPr>
        <w:ind w:firstLine="4"/>
        <w:spacing w:after="0" w:line="253" w:lineRule="auto"/>
        <w:tabs>
          <w:tab w:leader="none" w:pos="3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200" w:lineRule="exact"/>
        <w:rPr>
          <w:sz w:val="20"/>
          <w:szCs w:val="20"/>
          <w:color w:val="auto"/>
        </w:rPr>
      </w:pPr>
    </w:p>
    <w:p>
      <w:pPr>
        <w:spacing w:after="0" w:line="20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right="80" w:firstLine="443"/>
        <w:spacing w:after="0" w:line="302" w:lineRule="auto"/>
        <w:tabs>
          <w:tab w:leader="none" w:pos="6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26" w:name="page27"/>
    <w:bookmarkEnd w:id="26"/>
    <w:p>
      <w:pPr>
        <w:ind w:firstLine="443"/>
        <w:spacing w:after="0" w:line="285" w:lineRule="auto"/>
        <w:tabs>
          <w:tab w:leader="none" w:pos="693"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62" w:lineRule="exact"/>
        <w:rPr>
          <w:rFonts w:ascii="Arial" w:cs="Arial" w:eastAsia="Arial" w:hAnsi="Arial"/>
          <w:sz w:val="16"/>
          <w:szCs w:val="16"/>
          <w:color w:val="auto"/>
        </w:rPr>
      </w:pPr>
    </w:p>
    <w:p>
      <w:pPr>
        <w:ind w:right="40" w:firstLine="443"/>
        <w:spacing w:after="0" w:line="257" w:lineRule="auto"/>
        <w:tabs>
          <w:tab w:leader="none" w:pos="6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27" w:name="page28"/>
    <w:bookmarkEnd w:id="27"/>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63" w:lineRule="exact"/>
        <w:rPr>
          <w:sz w:val="20"/>
          <w:szCs w:val="20"/>
          <w:color w:val="auto"/>
        </w:rPr>
      </w:pPr>
    </w:p>
    <w:p>
      <w:pPr>
        <w:ind w:right="60" w:firstLine="443"/>
        <w:spacing w:after="0" w:line="257"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80" w:lineRule="exact"/>
        <w:rPr>
          <w:rFonts w:ascii="Arial" w:cs="Arial" w:eastAsia="Arial" w:hAnsi="Arial"/>
          <w:sz w:val="18"/>
          <w:szCs w:val="18"/>
          <w:color w:val="auto"/>
        </w:rPr>
      </w:pPr>
    </w:p>
    <w:p>
      <w:pPr>
        <w:ind w:firstLine="443"/>
        <w:spacing w:after="0" w:line="264" w:lineRule="auto"/>
        <w:tabs>
          <w:tab w:leader="none" w:pos="6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right="100" w:firstLine="443"/>
        <w:spacing w:after="0" w:line="255" w:lineRule="auto"/>
        <w:tabs>
          <w:tab w:leader="none" w:pos="6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85" w:lineRule="exact"/>
        <w:rPr>
          <w:rFonts w:ascii="Arial" w:cs="Arial" w:eastAsia="Arial" w:hAnsi="Arial"/>
          <w:sz w:val="18"/>
          <w:szCs w:val="18"/>
          <w:color w:val="auto"/>
        </w:rPr>
      </w:pPr>
    </w:p>
    <w:p>
      <w:pPr>
        <w:ind w:right="100" w:firstLine="443"/>
        <w:spacing w:after="0" w:line="276" w:lineRule="auto"/>
        <w:tabs>
          <w:tab w:leader="none" w:pos="693"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64" w:lineRule="exact"/>
        <w:rPr>
          <w:rFonts w:ascii="Arial" w:cs="Arial" w:eastAsia="Arial" w:hAnsi="Arial"/>
          <w:sz w:val="17"/>
          <w:szCs w:val="17"/>
          <w:color w:val="auto"/>
        </w:rPr>
      </w:pPr>
    </w:p>
    <w:p>
      <w:pPr>
        <w:ind w:right="120" w:firstLine="443"/>
        <w:spacing w:after="0" w:line="277"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28" w:name="page29"/>
    <w:bookmarkEnd w:id="28"/>
    <w:p>
      <w:pPr>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57" w:lineRule="exact"/>
        <w:rPr>
          <w:sz w:val="20"/>
          <w:szCs w:val="20"/>
          <w:color w:val="auto"/>
        </w:rPr>
      </w:pPr>
    </w:p>
    <w:p>
      <w:pPr>
        <w:ind w:left="660" w:hanging="217"/>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43"/>
        <w:spacing w:after="0" w:line="255" w:lineRule="auto"/>
        <w:tabs>
          <w:tab w:leader="none" w:pos="65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1" w:lineRule="exact"/>
        <w:rPr>
          <w:rFonts w:ascii="Arial" w:cs="Arial" w:eastAsia="Arial" w:hAnsi="Arial"/>
          <w:sz w:val="18"/>
          <w:szCs w:val="18"/>
          <w:color w:val="auto"/>
        </w:rPr>
      </w:pPr>
    </w:p>
    <w:p>
      <w:pPr>
        <w:ind w:right="20" w:firstLine="443"/>
        <w:spacing w:after="0" w:line="286" w:lineRule="auto"/>
        <w:tabs>
          <w:tab w:leader="none" w:pos="693"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w:t>
      </w:r>
    </w:p>
    <w:p>
      <w:pPr>
        <w:spacing w:after="0" w:line="1" w:lineRule="exact"/>
        <w:rPr>
          <w:rFonts w:ascii="Arial" w:cs="Arial" w:eastAsia="Arial" w:hAnsi="Arial"/>
          <w:sz w:val="16"/>
          <w:szCs w:val="16"/>
          <w:color w:val="auto"/>
        </w:rPr>
      </w:pPr>
    </w:p>
    <w:p>
      <w:pPr>
        <w:ind w:firstLine="4"/>
        <w:spacing w:after="0" w:line="261" w:lineRule="auto"/>
        <w:tabs>
          <w:tab w:leader="none" w:pos="3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above, as would not, individually or in the aggregate, reasonably be expected to have a material adverse effect on the Company and its subsidiaries, taken as a whole.</w:t>
      </w:r>
    </w:p>
    <w:p>
      <w:pPr>
        <w:spacing w:after="0" w:line="75" w:lineRule="exact"/>
        <w:rPr>
          <w:rFonts w:ascii="Arial" w:cs="Arial" w:eastAsia="Arial" w:hAnsi="Arial"/>
          <w:sz w:val="18"/>
          <w:szCs w:val="18"/>
          <w:color w:val="auto"/>
        </w:rPr>
      </w:pPr>
    </w:p>
    <w:p>
      <w:pPr>
        <w:ind w:right="20" w:firstLine="443"/>
        <w:spacing w:after="0" w:line="264" w:lineRule="auto"/>
        <w:tabs>
          <w:tab w:leader="none" w:pos="6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73" w:lineRule="exact"/>
        <w:rPr>
          <w:rFonts w:ascii="Arial" w:cs="Arial" w:eastAsia="Arial" w:hAnsi="Arial"/>
          <w:sz w:val="18"/>
          <w:szCs w:val="18"/>
          <w:color w:val="auto"/>
        </w:rPr>
      </w:pPr>
    </w:p>
    <w:p>
      <w:pPr>
        <w:jc w:val="both"/>
        <w:ind w:right="140" w:firstLine="443"/>
        <w:spacing w:after="0" w:line="264" w:lineRule="auto"/>
        <w:tabs>
          <w:tab w:leader="none" w:pos="743"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29" w:name="page30"/>
    <w:bookmarkEnd w:id="29"/>
    <w:p>
      <w:pPr>
        <w:ind w:left="460" w:right="60" w:firstLine="443"/>
        <w:spacing w:after="0" w:line="276" w:lineRule="auto"/>
        <w:tabs>
          <w:tab w:leader="none" w:pos="1153"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64" w:lineRule="exact"/>
        <w:rPr>
          <w:rFonts w:ascii="Arial" w:cs="Arial" w:eastAsia="Arial" w:hAnsi="Arial"/>
          <w:sz w:val="17"/>
          <w:szCs w:val="17"/>
          <w:color w:val="auto"/>
        </w:rPr>
      </w:pPr>
    </w:p>
    <w:p>
      <w:pPr>
        <w:ind w:left="460" w:firstLine="443"/>
        <w:spacing w:after="0" w:line="264"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left="460" w:right="280" w:firstLine="443"/>
        <w:spacing w:after="0" w:line="264"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0" w:name="page31"/>
    <w:bookmarkEnd w:id="30"/>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81"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1" w:name="page32"/>
    <w:bookmarkEnd w:id="31"/>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left="1140" w:hanging="237"/>
        <w:spacing w:after="0"/>
        <w:tabs>
          <w:tab w:leader="none" w:pos="11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Not to take any action that would result in the Company being required to file with the Commission under Rule 433(d) a free writing</w:t>
      </w:r>
    </w:p>
    <w:p>
      <w:pPr>
        <w:spacing w:after="0" w:line="34" w:lineRule="exact"/>
        <w:rPr>
          <w:rFonts w:ascii="Arial" w:cs="Arial" w:eastAsia="Arial" w:hAnsi="Arial"/>
          <w:sz w:val="17"/>
          <w:szCs w:val="17"/>
          <w:color w:val="auto"/>
        </w:rPr>
      </w:pPr>
    </w:p>
    <w:p>
      <w:pPr>
        <w:ind w:left="460" w:right="20"/>
        <w:spacing w:after="0" w:line="261" w:lineRule="auto"/>
        <w:rPr>
          <w:rFonts w:ascii="Arial" w:cs="Arial" w:eastAsia="Arial" w:hAnsi="Arial"/>
          <w:sz w:val="17"/>
          <w:szCs w:val="17"/>
          <w:color w:val="auto"/>
        </w:rPr>
      </w:pPr>
      <w:r>
        <w:rPr>
          <w:rFonts w:ascii="Arial" w:cs="Arial" w:eastAsia="Arial" w:hAnsi="Arial"/>
          <w:sz w:val="18"/>
          <w:szCs w:val="18"/>
          <w:color w:val="auto"/>
        </w:rPr>
        <w:t>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7"/>
          <w:szCs w:val="17"/>
          <w:color w:val="auto"/>
        </w:rPr>
      </w:pPr>
    </w:p>
    <w:p>
      <w:pPr>
        <w:ind w:left="460" w:right="20" w:firstLine="443"/>
        <w:spacing w:after="0" w:line="288" w:lineRule="auto"/>
        <w:tabs>
          <w:tab w:leader="none" w:pos="1153"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w:t>
      </w:r>
    </w:p>
    <w:p>
      <w:pPr>
        <w:ind w:left="460" w:right="40" w:firstLine="4"/>
        <w:spacing w:after="0" w:line="277" w:lineRule="auto"/>
        <w:tabs>
          <w:tab w:leader="none" w:pos="72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IX.</w:t>
      </w:r>
    </w:p>
    <w:p>
      <w:pPr>
        <w:spacing w:after="0" w:line="22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34" w:name="page35"/>
    <w:bookmarkEnd w:id="34"/>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or equitable right, remedy or claim under or in respect of this Agreement or any provision contained herein. No purchaser of Securities from any Underwriter shall be deemed to be a successor merely by reason of such purchase.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21</w:t>
      </w:r>
    </w:p>
    <w:p>
      <w:pPr>
        <w:sectPr>
          <w:pgSz w:w="11900" w:h="16838" w:orient="portrait"/>
          <w:cols w:equalWidth="0" w:num="1">
            <w:col w:w="11360"/>
          </w:cols>
          <w:pgMar w:left="240" w:top="274"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6, 2016</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7"/>
          <w:szCs w:val="17"/>
          <w:color w:val="auto"/>
        </w:rPr>
        <w:t>Reference is made to the Indenture dated as of May 23, 2011 (the “</w:t>
      </w:r>
      <w:r>
        <w:rPr>
          <w:rFonts w:ascii="Arial" w:cs="Arial" w:eastAsia="Arial" w:hAnsi="Arial"/>
          <w:sz w:val="17"/>
          <w:szCs w:val="17"/>
          <w:b w:val="1"/>
          <w:bCs w:val="1"/>
          <w:color w:val="auto"/>
        </w:rPr>
        <w:t>Indenture</w:t>
      </w:r>
      <w:r>
        <w:rPr>
          <w:rFonts w:ascii="Arial" w:cs="Arial" w:eastAsia="Arial" w:hAnsi="Arial"/>
          <w:sz w:val="17"/>
          <w:szCs w:val="17"/>
          <w:color w:val="auto"/>
        </w:rPr>
        <w:t>”) by and between Texas Instruments Incorporated (the “</w:t>
      </w:r>
      <w:r>
        <w:rPr>
          <w:rFonts w:ascii="Arial" w:cs="Arial" w:eastAsia="Arial" w:hAnsi="Arial"/>
          <w:sz w:val="17"/>
          <w:szCs w:val="17"/>
          <w:b w:val="1"/>
          <w:bCs w:val="1"/>
          <w:color w:val="auto"/>
        </w:rPr>
        <w:t>Issuer</w:t>
      </w:r>
      <w:r>
        <w:rPr>
          <w:rFonts w:ascii="Arial" w:cs="Arial" w:eastAsia="Arial" w:hAnsi="Arial"/>
          <w:sz w:val="17"/>
          <w:szCs w:val="17"/>
          <w:color w:val="auto"/>
        </w:rPr>
        <w:t>”)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Trustee is the trustee for any and all securities issued under the Indenture. Pursuant to Section 2.04(c) of the Indenture, the undersigned officers do hereby certify, in connection with the issuance of $500,000,000 aggregate principal amount of 1.850% Notes due 2022 (the “</w:t>
      </w:r>
      <w:r>
        <w:rPr>
          <w:rFonts w:ascii="Arial" w:cs="Arial" w:eastAsia="Arial" w:hAnsi="Arial"/>
          <w:sz w:val="17"/>
          <w:szCs w:val="17"/>
          <w:b w:val="1"/>
          <w:bCs w:val="1"/>
          <w:color w:val="auto"/>
        </w:rPr>
        <w:t>Notes</w:t>
      </w:r>
      <w:r>
        <w:rPr>
          <w:rFonts w:ascii="Arial" w:cs="Arial" w:eastAsia="Arial" w:hAnsi="Arial"/>
          <w:sz w:val="17"/>
          <w:szCs w:val="17"/>
          <w:color w:val="auto"/>
        </w:rPr>
        <w:t>”), that (i) the form and terms of the Notes have been established pursuant to Section 2.01 and Section 2.03 of the Indenture and comply with the Indenture, and (ii) the terms of the Notes are as follows: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Aggregate Principal Amount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1.850% Notes due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1.850% per annum.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May 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15 and November 15, commencing on November 15, 2016.</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Prior to April 15, 2022 (the date that is one month prior to the maturity date of the Notes), the Issuer may at its option redeem the Notes, in whole or in part at any time, or from time to time, on at least 30 days but not more than 60 days prior notice, at a redemption price, calculated by the Issuer, equal to the greater of: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100% of the principal amount of the Notes to be redeemed; and</w:t>
      </w:r>
    </w:p>
    <w:p>
      <w:pPr>
        <w:sectPr>
          <w:pgSz w:w="11900" w:h="16838" w:orient="portrait"/>
          <w:cols w:equalWidth="0" w:num="2">
            <w:col w:w="2480" w:space="720"/>
            <w:col w:w="8220"/>
          </w:cols>
          <w:pgMar w:left="240" w:top="121" w:right="239" w:bottom="1440" w:gutter="0" w:footer="0" w:header="0"/>
          <w:type w:val="continuous"/>
        </w:sectPr>
      </w:pPr>
    </w:p>
    <w:bookmarkStart w:id="36" w:name="page37"/>
    <w:bookmarkEnd w:id="36"/>
    <w:p>
      <w:pPr>
        <w:ind w:left="32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the sum of the present values of the principal amount of such Notes and the scheduled payments of interest thereon (not including any portion of such payments of interest accrued as of the date of redemption) from the date of redemption to April 15, 2022 (the date that is one month prior to the maturity date of the Notes), in each case discounted to the date of redemption on a semi-annual basis (assuming a 360-day year consisting of twelve 30-day months) at the Treasury Rate (as defined in the Notes), plus 10 basis points;</w:t>
      </w:r>
    </w:p>
    <w:p>
      <w:pPr>
        <w:spacing w:after="0" w:line="18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52" w:lineRule="exact"/>
        <w:rPr>
          <w:sz w:val="20"/>
          <w:szCs w:val="20"/>
          <w:color w:val="auto"/>
        </w:rPr>
      </w:pPr>
    </w:p>
    <w:p>
      <w:pPr>
        <w:jc w:val="both"/>
        <w:ind w:left="3200" w:right="140"/>
        <w:spacing w:after="0" w:line="257" w:lineRule="auto"/>
        <w:rPr>
          <w:sz w:val="20"/>
          <w:szCs w:val="20"/>
          <w:color w:val="auto"/>
        </w:rPr>
      </w:pPr>
      <w:r>
        <w:rPr>
          <w:rFonts w:ascii="Arial" w:cs="Arial" w:eastAsia="Arial" w:hAnsi="Arial"/>
          <w:sz w:val="18"/>
          <w:szCs w:val="18"/>
          <w:color w:val="auto"/>
        </w:rPr>
        <w:t>At any time on or after April 15, 2022 (the date that is one month prior to the maturity date of the Notes), the Issuer may at its option redeem the Notes, in whole or in part at any time and from time to time, on at least 30 days but not more than 60 days prior notice mailed to the registered holder of the Notes, at a redemption price equal to 100% of the principal amount of the Notes to be redeemed plus accrued interest thereon to the date of redemption.</w:t>
      </w:r>
    </w:p>
    <w:p>
      <w:pPr>
        <w:sectPr>
          <w:pgSz w:w="11900" w:h="16838" w:orient="portrait"/>
          <w:cols w:equalWidth="0" w:num="1">
            <w:col w:w="11280"/>
          </w:cols>
          <w:pgMar w:left="240" w:top="274" w:right="37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1"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$2,000 and multiples of $1,000 in excess thereof.</w:t>
      </w:r>
    </w:p>
    <w:p>
      <w:pPr>
        <w:spacing w:after="0" w:line="200"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terms of the Notes shall include such other terms as are set forth in the form of Notes attached hereto as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and in the Indenture.</w:t>
      </w:r>
    </w:p>
    <w:p>
      <w:pPr>
        <w:spacing w:after="0" w:line="170" w:lineRule="exact"/>
        <w:rPr>
          <w:sz w:val="20"/>
          <w:szCs w:val="20"/>
          <w:color w:val="auto"/>
        </w:rPr>
      </w:pPr>
    </w:p>
    <w:p>
      <w:pPr>
        <w:sectPr>
          <w:pgSz w:w="11900" w:h="16838" w:orient="portrait"/>
          <w:cols w:equalWidth="0" w:num="2">
            <w:col w:w="2480" w:space="720"/>
            <w:col w:w="8080"/>
          </w:cols>
          <w:pgMar w:left="240" w:top="274" w:right="379" w:bottom="1440" w:gutter="0" w:footer="0" w:header="0"/>
          <w:type w:val="continuous"/>
        </w:sectPr>
      </w:pPr>
    </w:p>
    <w:p>
      <w:pPr>
        <w:ind w:firstLine="456"/>
        <w:spacing w:after="0" w:line="273" w:lineRule="auto"/>
        <w:rPr>
          <w:sz w:val="20"/>
          <w:szCs w:val="20"/>
          <w:color w:val="auto"/>
        </w:rPr>
      </w:pPr>
      <w:r>
        <w:rPr>
          <w:rFonts w:ascii="Arial" w:cs="Arial" w:eastAsia="Arial" w:hAnsi="Arial"/>
          <w:sz w:val="17"/>
          <w:szCs w:val="17"/>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the series of notes issued hereby. Any such additional notes shall have identical terms as the Notes issued on the issue date, other than with respect to the date of issuance and the issue price (together, the “</w:t>
      </w:r>
      <w:r>
        <w:rPr>
          <w:rFonts w:ascii="Arial" w:cs="Arial" w:eastAsia="Arial" w:hAnsi="Arial"/>
          <w:sz w:val="17"/>
          <w:szCs w:val="17"/>
          <w:b w:val="1"/>
          <w:bCs w:val="1"/>
          <w:color w:val="auto"/>
        </w:rPr>
        <w:t>Additional Notes</w:t>
      </w:r>
      <w:r>
        <w:rPr>
          <w:rFonts w:ascii="Arial" w:cs="Arial" w:eastAsia="Arial" w:hAnsi="Arial"/>
          <w:sz w:val="17"/>
          <w:szCs w:val="17"/>
          <w:color w:val="auto"/>
        </w:rPr>
        <w:t xml:space="preserve">”). The Additional Notes will have the same CUSIP number as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additional notes that are not fungible with the Notes for U.S. federal income tax purposes will be issued under a separate CUSIP number. Any Additional Notes will be issued in accordance with Section 2.03 of the Indenture.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type w:val="continuous"/>
        </w:sectPr>
      </w:pPr>
    </w:p>
    <w:bookmarkStart w:id="37" w:name="page38"/>
    <w:bookmarkEnd w:id="37"/>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8" w:name="page39"/>
    <w:bookmarkEnd w:id="38"/>
    <w:p>
      <w:pPr>
        <w:jc w:val="right"/>
        <w:ind w:right="7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officers of the Issuer have duly executed this certificate as of the date first set forth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Kevin P. March</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759"/>
          </w:cols>
          <w:pgMar w:left="700" w:top="274"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2022]</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UNLESS THIS NOTE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jc w:val="both"/>
        <w:ind w:right="800" w:firstLine="456"/>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1.850% Notes due 2022</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CUSIP No.: 882508 BA1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ISIN No.: US882508BA13</w:t>
      </w:r>
    </w:p>
    <w:p>
      <w:pPr>
        <w:spacing w:after="0" w:line="200" w:lineRule="exact"/>
        <w:rPr>
          <w:sz w:val="20"/>
          <w:szCs w:val="20"/>
          <w:color w:val="auto"/>
        </w:rPr>
      </w:pPr>
    </w:p>
    <w:p>
      <w:pPr>
        <w:sectPr>
          <w:pgSz w:w="11900" w:h="16838" w:orient="portrait"/>
          <w:cols w:equalWidth="0" w:num="2">
            <w:col w:w="8740" w:space="720"/>
            <w:col w:w="1960"/>
          </w:cols>
          <w:pgMar w:left="240" w:top="270" w:right="239" w:bottom="1440" w:gutter="0" w:footer="0" w:header="0"/>
          <w:type w:val="continuous"/>
        </w:sectPr>
      </w:pPr>
    </w:p>
    <w:p>
      <w:pPr>
        <w:spacing w:after="0" w:line="22"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$500,000,000</w:t>
      </w:r>
    </w:p>
    <w:p>
      <w:pPr>
        <w:sectPr>
          <w:pgSz w:w="11900" w:h="16838" w:orient="portrait"/>
          <w:cols w:equalWidth="0" w:num="1">
            <w:col w:w="11420"/>
          </w:cols>
          <w:pgMar w:left="240" w:top="270" w:right="239" w:bottom="1440" w:gutter="0" w:footer="0" w:header="0"/>
          <w:type w:val="continuous"/>
        </w:sectPr>
      </w:pPr>
    </w:p>
    <w:p>
      <w:pPr>
        <w:spacing w:after="0" w:line="244"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$500,000,000 on May 15, 2022.</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15 and November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15,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May 1 and November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ind w:left="520" w:right="180"/>
        <w:spacing w:after="0" w:line="449" w:lineRule="auto"/>
        <w:rPr>
          <w:sz w:val="20"/>
          <w:szCs w:val="20"/>
          <w:color w:val="auto"/>
        </w:rPr>
      </w:pPr>
      <w:r>
        <w:rPr>
          <w:rFonts w:ascii="Arial" w:cs="Arial" w:eastAsia="Arial" w:hAnsi="Arial"/>
          <w:sz w:val="18"/>
          <w:szCs w:val="18"/>
          <w:color w:val="auto"/>
        </w:rPr>
        <w:t>Reference is made to the further provisions of this Note contained herein, which will for all purposes have the same effect as if set forth at this place. B-2</w:t>
      </w:r>
    </w:p>
    <w:p>
      <w:pPr>
        <w:sectPr>
          <w:pgSz w:w="11900" w:h="16838" w:orient="portrait"/>
          <w:cols w:equalWidth="0" w:num="1">
            <w:col w:w="11420"/>
          </w:cols>
          <w:pgMar w:left="240" w:top="270" w:right="239" w:bottom="1440" w:gutter="0" w:footer="0" w:header="0"/>
          <w:type w:val="continuous"/>
        </w:sectPr>
      </w:pPr>
    </w:p>
    <w:bookmarkStart w:id="41" w:name="page42"/>
    <w:bookmarkEnd w:id="4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P. March</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Muriel C. McFarling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Assistant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74" w:right="25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6,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U.S. BANK NATIONAL ASSOCIATION,</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Mauri J. Cowen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219"/>
          </w:cols>
          <w:pgMar w:left="240" w:top="274"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1.850% Notes due 2022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Texas Instruments Incorporated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May 6, 2016. Interest on this Note will be paid to but excluding the relevant Interest Payment Date. The Issuer will pay interest semi-annually in arrears on each Interest Payment Date, commencing November 15, 2016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221"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22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This Note is one of the 1.850% Notes due 2022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May 6, 2016,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those stated in the Indenture and those made part of the Indenture by reference to the Trust Indenture Act of 1939 (15 U.S.C. Sections 77aaa-77bbbb)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Notwithstanding anything to the contrary herein, the Notes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such terms, and Holders of Notes are referred to the Indenture and the TIA for a statement of them. To the extent the terms of the Indenture and this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inconsistent, the terms of the Indenture shall govern.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274" w:right="25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Denominations; Transfer; Exchange.</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Amendment; Supplement; Waiver.</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Redemption.</w:t>
      </w:r>
    </w:p>
    <w:p>
      <w:pPr>
        <w:spacing w:after="0" w:line="225" w:lineRule="exact"/>
        <w:rPr>
          <w:sz w:val="20"/>
          <w:szCs w:val="20"/>
          <w:color w:val="auto"/>
        </w:rPr>
      </w:pPr>
    </w:p>
    <w:p>
      <w:pPr>
        <w:ind w:firstLine="464"/>
        <w:spacing w:after="0" w:line="264"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April 15, 2022 (the date that is one month prior to the maturity date of the Notes), the Issuer may at its option redeem the Notes, in whole or in part at any time, or from time to time, on at least 30 days but not more than 60 days prior notice, at a redemption price calculated by the Issuer equal to the greater of:</w:t>
      </w:r>
    </w:p>
    <w:p>
      <w:pPr>
        <w:spacing w:after="0" w:line="181" w:lineRule="exact"/>
        <w:rPr>
          <w:sz w:val="20"/>
          <w:szCs w:val="20"/>
          <w:color w:val="auto"/>
        </w:rPr>
      </w:pPr>
    </w:p>
    <w:p>
      <w:pPr>
        <w:ind w:left="680" w:hanging="21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ind w:right="20" w:firstLine="464"/>
        <w:spacing w:after="0" w:line="302" w:lineRule="auto"/>
        <w:tabs>
          <w:tab w:leader="none" w:pos="72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sum of the present values of the principal amount of such Notes and the scheduled payments of interest thereon (not including any portion of such payments of interest accrued as of the date of redemption) from the date of redemption to April 15, 2022 (the date that is one month prior to the maturity date of the Notes), in each case discounted to the date of redemption on a semi-annual basis (assuming a 360-day year consisting of twelve 30-day months) at the Treasury Rate (as defined below), plus 10 basis points, plus in each case accrued interest thereon to the date of redemption.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274" w:right="259" w:bottom="1440" w:gutter="0" w:footer="0" w:header="0"/>
        </w:sectPr>
      </w:pPr>
    </w:p>
    <w:bookmarkStart w:id="45" w:name="page46"/>
    <w:bookmarkEnd w:id="45"/>
    <w:p>
      <w:pPr>
        <w:ind w:firstLine="464"/>
        <w:spacing w:after="0" w:line="264"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time on or after April 15, 2022 (the date that is one month prior to the maturity date of the Notes), the Issuer may at its option redeem the Notes, in whole or in part at any time and from time to time, on at least 30 days but not more than 60 days prior notice, at a redemption price equal to 100% of the principal amount of the Notes to be redeemed plus accrued interest thereon to the date of redemption.</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jc w:val="both"/>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Barclays Capital Inc., Merrill Lynch, Pierce, Fenner &amp; Smith Incorporated and Mizuho Securities USA Inc.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8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74" w:right="239" w:bottom="1440" w:gutter="0" w:footer="0" w:header="0"/>
        </w:sectPr>
      </w:pPr>
    </w:p>
    <w:bookmarkStart w:id="46" w:name="page47"/>
    <w:bookmarkEnd w:id="46"/>
    <w:p>
      <w:pPr>
        <w:ind w:right="8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Defaults and Remedies.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Authentication.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Abbreviations and Defined Terms.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270" w:right="25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CUSIP Numbers.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Governing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60"/>
          </w:cols>
          <w:pgMar w:left="240" w:top="274" w:right="2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120" w:type="dxa"/>
            <w:vAlign w:val="bottom"/>
            <w:gridSpan w:val="3"/>
          </w:tcPr>
          <w:p>
            <w:pPr>
              <w:jc w:val="center"/>
              <w:ind w:right="230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432"/>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120" w:type="dxa"/>
            <w:vAlign w:val="bottom"/>
            <w:gridSpan w:val="3"/>
          </w:tcPr>
          <w:p>
            <w:pPr>
              <w:jc w:val="center"/>
              <w:ind w:right="2300"/>
              <w:spacing w:after="0"/>
              <w:rPr>
                <w:sz w:val="20"/>
                <w:szCs w:val="20"/>
                <w:color w:val="auto"/>
              </w:rPr>
            </w:pPr>
            <w:r>
              <w:rPr>
                <w:rFonts w:ascii="Arial" w:cs="Arial" w:eastAsia="Arial" w:hAnsi="Arial"/>
                <w:sz w:val="18"/>
                <w:szCs w:val="18"/>
                <w:color w:val="auto"/>
                <w:w w:val="90"/>
              </w:rPr>
              <w:t>(Insert assignee’s soc. sec. or tax I.D. No.)</w:t>
            </w: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120" w:type="dxa"/>
            <w:vAlign w:val="bottom"/>
            <w:gridSpan w:val="3"/>
          </w:tcPr>
          <w:p>
            <w:pPr>
              <w:ind w:left="58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459"/>
        </w:trPr>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7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460" w:type="dxa"/>
            <w:vAlign w:val="bottom"/>
          </w:tcPr>
          <w:p>
            <w:pPr>
              <w:ind w:left="120"/>
              <w:spacing w:after="0"/>
              <w:rPr>
                <w:sz w:val="20"/>
                <w:szCs w:val="20"/>
                <w:color w:val="auto"/>
              </w:rPr>
            </w:pPr>
            <w:r>
              <w:rPr>
                <w:rFonts w:ascii="Arial" w:cs="Arial" w:eastAsia="Arial" w:hAnsi="Arial"/>
                <w:sz w:val="18"/>
                <w:szCs w:val="18"/>
                <w:color w:val="auto"/>
              </w:rPr>
              <w:t>Your Signature:</w:t>
            </w:r>
          </w:p>
        </w:tc>
        <w:tc>
          <w:tcPr>
            <w:tcW w:w="46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306705</wp:posOffset>
            </wp:positionV>
            <wp:extent cx="31127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50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27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Physical Notes or a part of another Global Note have been made: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30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4"/>
                <w:szCs w:val="14"/>
                <w:color w:val="auto"/>
              </w:rPr>
            </w:pPr>
          </w:p>
        </w:tc>
        <w:tc>
          <w:tcPr>
            <w:tcW w:w="300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Principal amount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1"/>
              </w:rPr>
              <w:t>Amount of increase</w:t>
            </w:r>
          </w:p>
        </w:tc>
        <w:tc>
          <w:tcPr>
            <w:tcW w:w="20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2020" w:type="dxa"/>
            <w:vAlign w:val="bottom"/>
            <w:gridSpan w:val="2"/>
            <w:vMerge w:val="continue"/>
          </w:tcPr>
          <w:p>
            <w:pPr>
              <w:spacing w:after="0"/>
              <w:rPr>
                <w:sz w:val="12"/>
                <w:szCs w:val="12"/>
                <w:color w:val="auto"/>
              </w:rPr>
            </w:pPr>
          </w:p>
        </w:tc>
        <w:tc>
          <w:tcPr>
            <w:tcW w:w="20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20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decrease (or</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 of</w:t>
            </w:r>
          </w:p>
        </w:tc>
        <w:tc>
          <w:tcPr>
            <w:tcW w:w="0" w:type="dxa"/>
            <w:vAlign w:val="bottom"/>
          </w:tcPr>
          <w:p>
            <w:pPr>
              <w:spacing w:after="0"/>
              <w:rPr>
                <w:sz w:val="1"/>
                <w:szCs w:val="1"/>
                <w:color w:val="auto"/>
              </w:rPr>
            </w:pPr>
          </w:p>
        </w:tc>
      </w:tr>
      <w:tr>
        <w:trPr>
          <w:trHeight w:val="171"/>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8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8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-8255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320"/>
          </w:cols>
          <w:pgMar w:left="240" w:top="274" w:right="239"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B-11</w:t>
      </w:r>
    </w:p>
    <w:p>
      <w:pPr>
        <w:sectPr>
          <w:pgSz w:w="11900" w:h="16838" w:orient="portrait"/>
          <w:cols w:equalWidth="0" w:num="1">
            <w:col w:w="11420"/>
          </w:cols>
          <w:pgMar w:left="240" w:top="274" w:right="239" w:bottom="1440" w:gutter="0" w:footer="0" w:header="0"/>
          <w:type w:val="continuous"/>
        </w:sectPr>
      </w:pPr>
    </w:p>
    <w:bookmarkStart w:id="50" w:name="page51"/>
    <w:bookmarkEnd w:id="50"/>
    <w:p>
      <w:pPr>
        <w:ind w:left="105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97635" cy="283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97635"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220" w:space="720"/>
            <w:col w:w="1480"/>
          </w:cols>
          <w:pgMar w:left="240" w:top="121" w:right="239" w:bottom="1440" w:gutter="0" w:footer="0" w:header="0"/>
          <w:type w:val="continuous"/>
        </w:sect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b w:val="1"/>
                <w:bCs w:val="1"/>
                <w:color w:val="auto"/>
              </w:rPr>
              <w:t xml:space="preserve">Davis Polk &amp; Wardwell </w:t>
            </w:r>
            <w:r>
              <w:rPr>
                <w:rFonts w:ascii="Arial" w:cs="Arial" w:eastAsia="Arial" w:hAnsi="Arial"/>
                <w:sz w:val="15"/>
                <w:szCs w:val="15"/>
                <w:b w:val="1"/>
                <w:bCs w:val="1"/>
                <w:color w:val="auto"/>
              </w:rPr>
              <w:t>LLP</w:t>
            </w: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w w:val="91"/>
              </w:rPr>
              <w:t>650 752 2000 tel</w:t>
            </w:r>
          </w:p>
        </w:tc>
      </w:tr>
      <w:tr>
        <w:trPr>
          <w:trHeight w:val="216"/>
        </w:trPr>
        <w:tc>
          <w:tcPr>
            <w:tcW w:w="2500" w:type="dxa"/>
            <w:vAlign w:val="bottom"/>
          </w:tcPr>
          <w:p>
            <w:pPr>
              <w:spacing w:after="0"/>
              <w:rPr>
                <w:sz w:val="20"/>
                <w:szCs w:val="20"/>
                <w:color w:val="auto"/>
              </w:rPr>
            </w:pPr>
            <w:r>
              <w:rPr>
                <w:rFonts w:ascii="Arial" w:cs="Arial" w:eastAsia="Arial" w:hAnsi="Arial"/>
                <w:sz w:val="18"/>
                <w:szCs w:val="18"/>
                <w:b w:val="1"/>
                <w:bCs w:val="1"/>
                <w:color w:val="auto"/>
              </w:rPr>
              <w:t>1600 El Camino Real</w:t>
            </w: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w w:val="87"/>
              </w:rPr>
              <w:t>650 752 2111 fax</w:t>
            </w:r>
          </w:p>
        </w:tc>
      </w:t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Menlo Park, CA 94025</w:t>
            </w:r>
          </w:p>
        </w:tc>
        <w:tc>
          <w:tcPr>
            <w:tcW w:w="160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May 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special counsel for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offering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of $500,000,000 aggregate principal amount of 1.850% Notes due 2022 (the “</w:t>
      </w:r>
      <w:r>
        <w:rPr>
          <w:rFonts w:ascii="Arial" w:cs="Arial" w:eastAsia="Arial" w:hAnsi="Arial"/>
          <w:sz w:val="17"/>
          <w:szCs w:val="17"/>
          <w:b w:val="1"/>
          <w:bCs w:val="1"/>
          <w:color w:val="auto"/>
        </w:rPr>
        <w:t>Notes</w:t>
      </w:r>
      <w:r>
        <w:rPr>
          <w:rFonts w:ascii="Arial" w:cs="Arial" w:eastAsia="Arial" w:hAnsi="Arial"/>
          <w:sz w:val="17"/>
          <w:szCs w:val="17"/>
          <w:color w:val="auto"/>
        </w:rPr>
        <w:t>”) in an underwritten public offering pursuant to an underwriting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April 29, 2016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and Barclays Capital Inc., Merrill Lynch, Pierce, Fenner &amp; Smith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Incorporated and Mizuho Securities USA Inc. (the “</w:t>
      </w:r>
      <w:r>
        <w:rPr>
          <w:rFonts w:ascii="Arial" w:cs="Arial" w:eastAsia="Arial" w:hAnsi="Arial"/>
          <w:sz w:val="17"/>
          <w:szCs w:val="17"/>
          <w:b w:val="1"/>
          <w:bCs w:val="1"/>
          <w:color w:val="auto"/>
        </w:rPr>
        <w:t>Representatives</w:t>
      </w:r>
      <w:r>
        <w:rPr>
          <w:rFonts w:ascii="Arial" w:cs="Arial" w:eastAsia="Arial" w:hAnsi="Arial"/>
          <w:sz w:val="17"/>
          <w:szCs w:val="17"/>
          <w:color w:val="auto"/>
        </w:rPr>
        <w:t>”), as representatives of the several underwriters listed in Schedule II thereto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The Notes are to be issued pursuant to an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 Company and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National Association, as Trustee, and an Officers’ Certificate to be issued pursuant thereto on or about May 6, 2016. The Company has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a Registration Statement on Form S-3 (File No. 333-209678,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registering under the Securities Act of 1933, as amended (“the Securities Act”), the offer and sale of certain securities, including the Notes.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ind w:right="120" w:firstLine="8"/>
        <w:spacing w:after="0" w:line="255"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w:t>
      </w:r>
    </w:p>
    <w:p>
      <w:pPr>
        <w:sectPr>
          <w:pgSz w:w="11900" w:h="16838" w:orient="portrait"/>
          <w:cols w:equalWidth="0" w:num="1">
            <w:col w:w="11420"/>
          </w:cols>
          <w:pgMar w:left="240" w:top="121"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Texas Instruments Incorporated</w:t>
            </w:r>
          </w:p>
        </w:tc>
        <w:tc>
          <w:tcPr>
            <w:tcW w:w="4160" w:type="dxa"/>
            <w:vAlign w:val="bottom"/>
          </w:tcPr>
          <w:p>
            <w:pPr>
              <w:jc w:val="right"/>
              <w:ind w:right="2170"/>
              <w:spacing w:after="0"/>
              <w:rPr>
                <w:sz w:val="20"/>
                <w:szCs w:val="20"/>
                <w:color w:val="auto"/>
              </w:rPr>
            </w:pPr>
            <w:r>
              <w:rPr>
                <w:rFonts w:ascii="Arial" w:cs="Arial" w:eastAsia="Arial" w:hAnsi="Arial"/>
                <w:sz w:val="18"/>
                <w:szCs w:val="18"/>
                <w:color w:val="auto"/>
              </w:rPr>
              <w:t>2</w:t>
            </w:r>
          </w:p>
        </w:tc>
        <w:tc>
          <w:tcPr>
            <w:tcW w:w="3160" w:type="dxa"/>
            <w:vAlign w:val="bottom"/>
          </w:tcPr>
          <w:p>
            <w:pPr>
              <w:ind w:left="2240"/>
              <w:spacing w:after="0"/>
              <w:rPr>
                <w:sz w:val="20"/>
                <w:szCs w:val="20"/>
                <w:color w:val="auto"/>
              </w:rPr>
            </w:pPr>
            <w:r>
              <w:rPr>
                <w:rFonts w:ascii="Arial" w:cs="Arial" w:eastAsia="Arial" w:hAnsi="Arial"/>
                <w:sz w:val="18"/>
                <w:szCs w:val="18"/>
                <w:color w:val="auto"/>
                <w:w w:val="90"/>
              </w:rPr>
              <w:t>May 6, 2016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80"/>
        <w:spacing w:after="0" w:line="342" w:lineRule="auto"/>
        <w:rPr>
          <w:sz w:val="20"/>
          <w:szCs w:val="20"/>
          <w:color w:val="auto"/>
        </w:rPr>
      </w:pPr>
      <w:r>
        <w:rPr>
          <w:rFonts w:ascii="Arial" w:cs="Arial" w:eastAsia="Arial" w:hAnsi="Arial"/>
          <w:sz w:val="16"/>
          <w:szCs w:val="16"/>
          <w:color w:val="auto"/>
        </w:rPr>
        <w:t>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2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connection with the opinion expressed above, we have assumed that (i) the Registration Statement became effective upon filing with the Commission and such effectiveness shall not have been terminated or rescinded and (ii)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w:t>
      </w:r>
    </w:p>
    <w:p>
      <w:pPr>
        <w:spacing w:after="0" w:line="2" w:lineRule="exact"/>
        <w:rPr>
          <w:sz w:val="20"/>
          <w:szCs w:val="20"/>
          <w:color w:val="auto"/>
        </w:rPr>
      </w:pPr>
    </w:p>
    <w:p>
      <w:pPr>
        <w:ind w:right="80" w:firstLine="8"/>
        <w:spacing w:after="0" w:line="295" w:lineRule="auto"/>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public policy,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hereby consent to the filing of this opinion as an exhibit to a report on Form 8-K to be filed by the Company on the date hereof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
    <w:nsid w:val="7C83E458"/>
    <w:multiLevelType w:val="hybridMultilevel"/>
    <w:lvl w:ilvl="0">
      <w:lvlJc w:val="left"/>
      <w:lvlText w:val="(%1)"/>
      <w:numFmt w:val="lowerRoman"/>
      <w:start w:val="7"/>
    </w:lvl>
    <w:lvl w:ilvl="1">
      <w:lvlJc w:val="left"/>
      <w:lvlText w:val="(%2)"/>
      <w:numFmt w:val="upperLetter"/>
      <w:start w:val="1"/>
    </w:lvl>
  </w:abstractNum>
  <w:abstractNum w:abstractNumId="5">
    <w:nsid w:val="257130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6">
    <w:nsid w:val="62BBD95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
    <w:nsid w:val="436C6125"/>
    <w:multiLevelType w:val="hybridMultilevel"/>
    <w:lvl w:ilvl="0">
      <w:lvlJc w:val="left"/>
      <w:lvlText w:val="%1"/>
      <w:numFmt w:val="lowerRoman"/>
      <w:start w:val="1"/>
    </w:lvl>
    <w:lvl w:ilvl="1">
      <w:lvlJc w:val="left"/>
      <w:lvlText w:val="(%2)"/>
      <w:numFmt w:val="upperLetter"/>
      <w:start w:val="3"/>
    </w:lvl>
  </w:abstractNum>
  <w:abstractNum w:abstractNumId="8">
    <w:nsid w:val="628C895D"/>
    <w:multiLevelType w:val="hybridMultilevel"/>
    <w:lvl w:ilvl="0">
      <w:lvlJc w:val="left"/>
      <w:lvlText w:val="(%1)"/>
      <w:numFmt w:val="lowerRoman"/>
      <w:start w:val="3"/>
    </w:lvl>
    <w:lvl w:ilvl="1">
      <w:lvlJc w:val="left"/>
      <w:lvlText w:val="(%2)"/>
      <w:numFmt w:val="upperLetter"/>
      <w:start w:val="1"/>
    </w:lvl>
  </w:abstractNum>
  <w:abstractNum w:abstractNumId="9">
    <w:nsid w:val="333AB105"/>
    <w:multiLevelType w:val="hybridMultilevel"/>
    <w:lvl w:ilvl="0">
      <w:lvlJc w:val="left"/>
      <w:lvlText w:val="(%1)"/>
      <w:numFmt w:val="lowerRoman"/>
      <w:start w:val="8"/>
    </w:lvl>
    <w:lvl w:ilvl="1">
      <w:lvlJc w:val="left"/>
      <w:lvlText w:val="(%2)"/>
      <w:numFmt w:val="upperLetter"/>
      <w:start w:val="1"/>
    </w:lvl>
  </w:abstractNum>
  <w:abstractNum w:abstractNumId="10">
    <w:nsid w:val="721DA31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1">
    <w:nsid w:val="2443A858"/>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2">
    <w:nsid w:val="2D1D5AE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
    <w:nsid w:val="6763845E"/>
    <w:multiLevelType w:val="hybridMultilevel"/>
    <w:lvl w:ilvl="0">
      <w:lvlJc w:val="left"/>
      <w:lvlText w:val="(%1)"/>
      <w:numFmt w:val="lowerLetter"/>
      <w:start w:val="5"/>
    </w:lvl>
  </w:abstractNum>
  <w:abstractNum w:abstractNumId="14">
    <w:nsid w:val="75A2A8D4"/>
    <w:multiLevelType w:val="hybridMultilevel"/>
    <w:lvl w:ilvl="0">
      <w:lvlJc w:val="left"/>
      <w:lvlText w:val="(%1)"/>
      <w:numFmt w:val="lowerLetter"/>
      <w:start w:val="7"/>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6"/>
    </w:lvl>
  </w:abstractNum>
  <w:abstractNum w:abstractNumId="17">
    <w:nsid w:val="4353D0CD"/>
    <w:multiLevelType w:val="hybridMultilevel"/>
    <w:lvl w:ilvl="0">
      <w:lvlJc w:val="left"/>
      <w:lvlText w:val="(%1)"/>
      <w:numFmt w:val="lowerLetter"/>
      <w:start w:val="9"/>
    </w:lvl>
  </w:abstractNum>
  <w:abstractNum w:abstractNumId="18">
    <w:nsid w:val="B03E0C6"/>
    <w:multiLevelType w:val="hybridMultilevel"/>
    <w:lvl w:ilvl="0">
      <w:lvlJc w:val="left"/>
      <w:lvlText w:val="%1"/>
      <w:numFmt w:val="lowerRoman"/>
      <w:start w:val="1"/>
    </w:lvl>
    <w:lvl w:ilvl="1">
      <w:lvlJc w:val="left"/>
      <w:lvlText w:val="(%2)"/>
      <w:numFmt w:val="lowerLetter"/>
      <w:start w:val="14"/>
    </w:lvl>
  </w:abstractNum>
  <w:abstractNum w:abstractNumId="19">
    <w:nsid w:val="189A769B"/>
    <w:multiLevelType w:val="hybridMultilevel"/>
    <w:lvl w:ilvl="0">
      <w:lvlJc w:val="left"/>
      <w:lvlText w:val="(%1)"/>
      <w:numFmt w:val="lowerRoman"/>
      <w:start w:val="7"/>
    </w:lvl>
    <w:lvl w:ilvl="1">
      <w:lvlJc w:val="left"/>
      <w:lvlText w:val="%2"/>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2"/>
    </w:lvl>
  </w:abstractNum>
  <w:abstractNum w:abstractNumId="22">
    <w:nsid w:val="2CA88611"/>
    <w:multiLevelType w:val="hybridMultilevel"/>
    <w:lvl w:ilvl="0">
      <w:lvlJc w:val="left"/>
      <w:lvlText w:val="(%1)"/>
      <w:numFmt w:val="lowerLetter"/>
      <w:start w:val="4"/>
    </w:lvl>
  </w:abstractNum>
  <w:abstractNum w:abstractNumId="23">
    <w:nsid w:val="836C40E"/>
    <w:multiLevelType w:val="hybridMultilevel"/>
    <w:lvl w:ilvl="0">
      <w:lvlJc w:val="left"/>
      <w:lvlText w:val="%1"/>
      <w:numFmt w:val="lowerRoman"/>
      <w:start w:val="1"/>
    </w:lvl>
    <w:lvl w:ilvl="1">
      <w:lvlJc w:val="left"/>
      <w:lvlText w:val="(%2)"/>
      <w:numFmt w:val="lowerLetter"/>
      <w:start w:val="9"/>
    </w:lvl>
  </w:abstractNum>
  <w:abstractNum w:abstractNumId="24">
    <w:nsid w:val="2901D82"/>
    <w:multiLevelType w:val="hybridMultilevel"/>
    <w:lvl w:ilvl="0">
      <w:lvlJc w:val="left"/>
      <w:lvlText w:val="(%1)"/>
      <w:numFmt w:val="lowerRoman"/>
      <w:start w:val="4"/>
    </w:lvl>
    <w:lvl w:ilvl="1">
      <w:lvlJc w:val="left"/>
      <w:lvlText w:val="(%2)"/>
      <w:numFmt w:val="lowerLetter"/>
      <w:start w:val="12"/>
    </w:lvl>
  </w:abstractNum>
  <w:abstractNum w:abstractNumId="25">
    <w:nsid w:val="3A95F874"/>
    <w:multiLevelType w:val="hybridMultilevel"/>
    <w:lvl w:ilvl="0">
      <w:lvlJc w:val="left"/>
      <w:lvlText w:val="(%1)"/>
      <w:numFmt w:val="lowerLetter"/>
      <w:start w:val="14"/>
    </w:lvl>
  </w:abstractNum>
  <w:abstractNum w:abstractNumId="26">
    <w:nsid w:val="8138641"/>
    <w:multiLevelType w:val="hybridMultilevel"/>
    <w:lvl w:ilvl="0">
      <w:lvlJc w:val="left"/>
      <w:lvlText w:val="%1"/>
      <w:numFmt w:val="lowerLetter"/>
      <w:start w:val="1"/>
    </w:lvl>
    <w:lvl w:ilvl="1">
      <w:lvlJc w:val="left"/>
      <w:lvlText w:val="(%2)"/>
      <w:numFmt w:val="lowerLetter"/>
      <w:start w:val="1"/>
    </w:lvl>
  </w:abstractNum>
  <w:abstractNum w:abstractNumId="27">
    <w:nsid w:val="1E7FF521"/>
    <w:multiLevelType w:val="hybridMultilevel"/>
    <w:lvl w:ilvl="0">
      <w:lvlJc w:val="left"/>
      <w:lvlText w:val="(%1)"/>
      <w:numFmt w:val="lowerLetter"/>
      <w:start w:val="35"/>
    </w:lvl>
    <w:lvl w:ilvl="1">
      <w:lvlJc w:val="left"/>
      <w:lvlText w:val="%2"/>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lowerLetter"/>
      <w:start w:val="2"/>
    </w:lvl>
  </w:abstractNum>
  <w:abstractNum w:abstractNumId="31">
    <w:nsid w:val="22221A70"/>
    <w:multiLevelType w:val="hybridMultilevel"/>
    <w:lvl w:ilvl="0">
      <w:lvlJc w:val="left"/>
      <w:lvlText w:val="(%1)"/>
      <w:numFmt w:val="lowerRoman"/>
      <w:start w:val="5"/>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2019-12-05T11:28:00Z</dcterms:created>
  <dcterms:modified xsi:type="dcterms:W3CDTF">2019-12-05T11:28:00Z</dcterms:modified>
</cp:coreProperties>
</file>