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October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October 23, 2018, regarding its third-quarter results of operations and financial condition is attached hereto as Exhibit 99.</w:t>
      </w:r>
    </w:p>
    <w:p>
      <w:pPr>
        <w:spacing w:after="0" w:line="24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80"/>
          </w:cols>
          <w:pgMar w:left="240" w:top="557" w:right="27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100"/>
          </w:cols>
          <w:pgMar w:left="240" w:top="557" w:right="27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Registrant’s News Release</w:t>
        </w:r>
      </w:hyperlink>
    </w:p>
    <w:p>
      <w:pPr>
        <w:spacing w:after="0" w:line="23" w:lineRule="exact"/>
        <w:rPr>
          <w:rFonts w:ascii="Arial" w:cs="Arial" w:eastAsia="Arial" w:hAnsi="Arial"/>
          <w:sz w:val="18"/>
          <w:szCs w:val="18"/>
          <w:u w:val="single" w:color="auto"/>
          <w:color w:val="0000EE"/>
        </w:rPr>
      </w:pPr>
    </w:p>
    <w:p>
      <w:pPr>
        <w:ind w:left="1280"/>
        <w:spacing w:after="0"/>
        <w:rPr>
          <w:rFonts w:ascii="Arial" w:cs="Arial" w:eastAsia="Arial" w:hAnsi="Arial"/>
          <w:sz w:val="18"/>
          <w:szCs w:val="18"/>
          <w:u w:val="single" w:color="auto"/>
          <w:color w:val="0000EE"/>
        </w:rPr>
      </w:pPr>
      <w:r>
        <w:rPr>
          <w:rFonts w:ascii="Arial" w:cs="Arial" w:eastAsia="Arial" w:hAnsi="Arial"/>
          <w:sz w:val="16"/>
          <w:szCs w:val="16"/>
          <w:color w:val="auto"/>
        </w:rPr>
        <w:t>Dated October 23, 2018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October 23, 2018</w:t>
            </w:r>
          </w:p>
        </w:tc>
        <w:tc>
          <w:tcPr>
            <w:tcW w:w="7360" w:type="dxa"/>
            <w:vAlign w:val="bottom"/>
            <w:gridSpan w:val="2"/>
          </w:tcPr>
          <w:p>
            <w:pPr>
              <w:ind w:left="2340"/>
              <w:spacing w:after="0"/>
              <w:rPr>
                <w:sz w:val="20"/>
                <w:szCs w:val="20"/>
                <w:color w:val="auto"/>
              </w:rPr>
            </w:pPr>
            <w:r>
              <w:rPr>
                <w:rFonts w:ascii="Arial" w:cs="Arial" w:eastAsia="Arial" w:hAnsi="Arial"/>
                <w:sz w:val="18"/>
                <w:szCs w:val="18"/>
                <w:color w:val="auto"/>
              </w:rPr>
              <w:t>By:  /s/ Rafael R. Lizardi</w:t>
            </w:r>
          </w:p>
        </w:tc>
      </w:tr>
      <w:tr>
        <w:trPr>
          <w:trHeight w:val="195"/>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40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40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3Q18 financial results and shareholder returns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DALLAS (Oct. 23, 2018) – Texas Instruments Incorporated (TI) (NASDAQ: TXN) today reported third-quarter revenue of $4.26 billion, net income of $1.57 billion and earnings per share of $1.58.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4 percent from the same quarter a year ago; however, demand for our products slowed across most markets.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our core businesses, Analog revenue grew 8 percent and Embedded Processing declined 4 percent from the same quarter a year ago.</w:t>
      </w:r>
    </w:p>
    <w:p>
      <w:pPr>
        <w:spacing w:after="0" w:line="117" w:lineRule="exact"/>
        <w:rPr>
          <w:rFonts w:ascii="Arial" w:cs="Arial" w:eastAsia="Arial" w:hAnsi="Arial"/>
          <w:sz w:val="18"/>
          <w:szCs w:val="18"/>
          <w:color w:val="auto"/>
        </w:rPr>
      </w:pPr>
    </w:p>
    <w:p>
      <w:pPr>
        <w:ind w:left="440" w:right="200" w:hanging="432"/>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$7.0 billion for the trailing 12 months again underscored the strength of our business model. Free cash flow for the trailing 12 months was $5.9 billion, or 37.5 percent of revenue. This reflects the quality of our product portfolio, as well as the efficiency of our manufacturing strategy, including the benefit of 300-millimeter Analog production.</w:t>
      </w:r>
    </w:p>
    <w:p>
      <w:pPr>
        <w:spacing w:after="0" w:line="73" w:lineRule="exact"/>
        <w:rPr>
          <w:rFonts w:ascii="Arial" w:cs="Arial" w:eastAsia="Arial" w:hAnsi="Arial"/>
          <w:sz w:val="18"/>
          <w:szCs w:val="18"/>
          <w:color w:val="auto"/>
        </w:rPr>
      </w:pPr>
    </w:p>
    <w:p>
      <w:pPr>
        <w:ind w:left="440" w:right="100" w:hanging="432"/>
        <w:spacing w:after="0" w:line="34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returned $6.2 billion to owners in the past 12 months through stock repurchases and dividends, and our strategy to return to owners all of our free cash flow remains consistent. Over the last 12 months, our dividends represented 41 percent of free cash flow, emphasizing their sustainability.</w:t>
      </w:r>
    </w:p>
    <w:p>
      <w:pPr>
        <w:spacing w:after="0" w:line="15" w:lineRule="exact"/>
        <w:rPr>
          <w:rFonts w:ascii="Arial" w:cs="Arial" w:eastAsia="Arial" w:hAnsi="Arial"/>
          <w:sz w:val="16"/>
          <w:szCs w:val="16"/>
          <w:color w:val="auto"/>
        </w:rPr>
      </w:pPr>
    </w:p>
    <w:p>
      <w:pPr>
        <w:ind w:left="440" w:right="400" w:hanging="432"/>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we announced we would increase our dividend by 24 percent and also increased our share repurchase authorizations by $12 billion, which together reflect our commitment to return all free cash flow to our owners.</w:t>
      </w:r>
    </w:p>
    <w:p>
      <w:pPr>
        <w:spacing w:after="0" w:line="62" w:lineRule="exact"/>
        <w:rPr>
          <w:rFonts w:ascii="Arial" w:cs="Arial" w:eastAsia="Arial" w:hAnsi="Arial"/>
          <w:sz w:val="18"/>
          <w:szCs w:val="18"/>
          <w:color w:val="auto"/>
        </w:rPr>
      </w:pPr>
    </w:p>
    <w:p>
      <w:pPr>
        <w:ind w:left="440" w:right="200" w:hanging="432"/>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fourth-quarter outlook is for revenue in the range of $3.60 billion to $3.90 billion, and earnings per share between $1.14 and $1.34. We continue to expect our ongoing annual operating tax rate to be about 20 percent in 2018 and about 16 percent starting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20" w:type="dxa"/>
            <w:vAlign w:val="bottom"/>
            <w:tcBorders>
              <w:bottom w:val="single" w:sz="8" w:color="CFF0FC"/>
            </w:tcBorders>
          </w:tcPr>
          <w:p>
            <w:pPr>
              <w:spacing w:after="0"/>
              <w:rPr>
                <w:sz w:val="20"/>
                <w:szCs w:val="20"/>
                <w:color w:val="auto"/>
              </w:rPr>
            </w:pPr>
          </w:p>
        </w:tc>
        <w:tc>
          <w:tcPr>
            <w:tcW w:w="19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3Q18</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3Q17</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profit</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1,937</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1,788</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per share</w:t>
            </w:r>
          </w:p>
        </w:tc>
        <w:tc>
          <w:tcPr>
            <w:tcW w:w="21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160" w:type="dxa"/>
            <w:vAlign w:val="bottom"/>
          </w:tcPr>
          <w:p>
            <w:pPr>
              <w:spacing w:after="0"/>
              <w:rPr>
                <w:sz w:val="20"/>
                <w:szCs w:val="20"/>
                <w:color w:val="auto"/>
              </w:rPr>
            </w:pPr>
          </w:p>
        </w:tc>
      </w:tr>
      <w:tr>
        <w:trPr>
          <w:trHeight w:val="546"/>
        </w:trPr>
        <w:tc>
          <w:tcPr>
            <w:tcW w:w="1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Page 2</w:t>
            </w:r>
          </w:p>
        </w:tc>
      </w:tr>
      <w:tr>
        <w:trPr>
          <w:trHeight w:val="74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Trailing 12 Months</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3Q17</w:t>
            </w:r>
          </w:p>
        </w:tc>
        <w:tc>
          <w:tcPr>
            <w:tcW w:w="3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58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1,039</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58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8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4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580"/>
              <w:spacing w:after="0"/>
              <w:rPr>
                <w:sz w:val="20"/>
                <w:szCs w:val="20"/>
                <w:color w:val="auto"/>
              </w:rPr>
            </w:pPr>
            <w:r>
              <w:rPr>
                <w:rFonts w:ascii="Arial" w:cs="Arial" w:eastAsia="Arial" w:hAnsi="Arial"/>
                <w:sz w:val="18"/>
                <w:szCs w:val="18"/>
                <w:color w:val="auto"/>
              </w:rPr>
              <w:t>Free cash flow % of revenue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left="290"/>
              <w:spacing w:after="0"/>
              <w:rPr>
                <w:sz w:val="20"/>
                <w:szCs w:val="20"/>
                <w:color w:val="auto"/>
              </w:rPr>
            </w:pPr>
            <w:r>
              <w:rPr>
                <w:rFonts w:ascii="Arial" w:cs="Arial" w:eastAsia="Arial" w:hAnsi="Arial"/>
                <w:sz w:val="18"/>
                <w:szCs w:val="18"/>
                <w:color w:val="auto"/>
                <w:w w:val="93"/>
              </w:rPr>
              <w:t>37.5%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99"/>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424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4"/>
              </w:rPr>
              <w:t>Trailing 12 Months</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330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3Q18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3Q18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3Q17</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w w:val="93"/>
              </w:rPr>
              <w:t>2,430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Stock repurchases</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310"/>
              <w:spacing w:after="0"/>
              <w:rPr>
                <w:sz w:val="20"/>
                <w:szCs w:val="20"/>
                <w:color w:val="auto"/>
              </w:rPr>
            </w:pPr>
            <w:r>
              <w:rPr>
                <w:rFonts w:ascii="Arial" w:cs="Arial" w:eastAsia="Arial" w:hAnsi="Arial"/>
                <w:sz w:val="18"/>
                <w:szCs w:val="18"/>
                <w:color w:val="auto"/>
                <w:w w:val="93"/>
              </w:rPr>
              <w:t>3,797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18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w w:val="93"/>
              </w:rPr>
              <w:t>6,227</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r>
      <w:tr>
        <w:trPr>
          <w:trHeight w:val="1209"/>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Page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820" w:type="dxa"/>
            <w:vAlign w:val="bottom"/>
            <w:gridSpan w:val="3"/>
          </w:tcPr>
          <w:p>
            <w:pPr>
              <w:jc w:val="center"/>
              <w:ind w:left="251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tcPr>
          <w:p>
            <w:pPr>
              <w:jc w:val="center"/>
              <w:ind w:left="3798"/>
              <w:spacing w:after="0"/>
              <w:rPr>
                <w:sz w:val="20"/>
                <w:szCs w:val="20"/>
                <w:color w:val="auto"/>
              </w:rPr>
            </w:pPr>
            <w:r>
              <w:rPr>
                <w:rFonts w:ascii="Arial" w:cs="Arial" w:eastAsia="Arial" w:hAnsi="Arial"/>
                <w:sz w:val="18"/>
                <w:szCs w:val="18"/>
                <w:b w:val="1"/>
                <w:bCs w:val="1"/>
                <w:color w:val="auto"/>
                <w:w w:val="88"/>
              </w:rPr>
              <w:t>Consolidated Statements of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jc w:val="center"/>
              <w:ind w:left="2478"/>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5"/>
          </w:tcPr>
          <w:p>
            <w:pPr>
              <w:jc w:val="right"/>
              <w:ind w:right="374"/>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4,261</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4,116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 (COR)</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1,460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2,656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Research and development (R&amp;D)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Acquisition charges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charges/other</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1,937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1,788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 (OI&amp;E)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and debt expense</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1,924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1,789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1,570</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5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260" w:type="dxa"/>
            <w:vAlign w:val="bottom"/>
            <w:gridSpan w:val="2"/>
          </w:tcPr>
          <w:p>
            <w:pPr>
              <w:jc w:val="right"/>
              <w:ind w:right="92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280" w:type="dxa"/>
            <w:vAlign w:val="bottom"/>
          </w:tcPr>
          <w:p>
            <w:pPr>
              <w:spacing w:after="0"/>
              <w:rPr>
                <w:sz w:val="18"/>
                <w:szCs w:val="18"/>
                <w:color w:val="auto"/>
              </w:rPr>
            </w:pPr>
          </w:p>
        </w:tc>
        <w:tc>
          <w:tcPr>
            <w:tcW w:w="1240" w:type="dxa"/>
            <w:vAlign w:val="bottom"/>
            <w:gridSpan w:val="2"/>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Average shares outstanding (millions):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989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1,008</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1260" w:type="dxa"/>
            <w:vAlign w:val="bottom"/>
            <w:gridSpan w:val="2"/>
          </w:tcPr>
          <w:p>
            <w:pPr>
              <w:jc w:val="right"/>
              <w:ind w:right="92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280" w:type="dxa"/>
            <w:vAlign w:val="bottom"/>
          </w:tcPr>
          <w:p>
            <w:pPr>
              <w:spacing w:after="0"/>
              <w:rPr>
                <w:sz w:val="18"/>
                <w:szCs w:val="18"/>
                <w:color w:val="auto"/>
              </w:rPr>
            </w:pPr>
          </w:p>
        </w:tc>
        <w:tc>
          <w:tcPr>
            <w:tcW w:w="1240" w:type="dxa"/>
            <w:vAlign w:val="bottom"/>
            <w:gridSpan w:val="2"/>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4720"/>
              <w:spacing w:after="0"/>
              <w:rPr>
                <w:sz w:val="20"/>
                <w:szCs w:val="20"/>
                <w:color w:val="auto"/>
              </w:rPr>
            </w:pPr>
            <w:r>
              <w:rPr>
                <w:rFonts w:ascii="Arial" w:cs="Arial" w:eastAsia="Arial" w:hAnsi="Arial"/>
                <w:sz w:val="16"/>
                <w:szCs w:val="16"/>
                <w:b w:val="1"/>
                <w:bCs w:val="1"/>
                <w:color w:val="auto"/>
              </w:rPr>
              <w:t>Supplemental Information</w:t>
            </w: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4660"/>
              <w:spacing w:after="0"/>
              <w:rPr>
                <w:sz w:val="20"/>
                <w:szCs w:val="20"/>
                <w:color w:val="auto"/>
              </w:rPr>
            </w:pPr>
            <w:r>
              <w:rPr>
                <w:rFonts w:ascii="Arial" w:cs="Arial" w:eastAsia="Arial" w:hAnsi="Arial"/>
                <w:sz w:val="16"/>
                <w:szCs w:val="16"/>
                <w:b w:val="1"/>
                <w:bCs w:val="1"/>
                <w:color w:val="auto"/>
              </w:rPr>
              <w:t>(Quarterly, except as noted)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 is based on the following:</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6"/>
                <w:szCs w:val="16"/>
                <w:color w:val="auto"/>
              </w:rPr>
              <w:t>Operating taxes (calculated using the estimated annual effective tax rate)</w:t>
            </w:r>
          </w:p>
        </w:tc>
        <w:tc>
          <w:tcPr>
            <w:tcW w:w="1260" w:type="dxa"/>
            <w:vAlign w:val="bottom"/>
            <w:gridSpan w:val="2"/>
          </w:tcPr>
          <w:p>
            <w:pPr>
              <w:jc w:val="right"/>
              <w:ind w:right="92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280" w:type="dxa"/>
            <w:vAlign w:val="bottom"/>
          </w:tcPr>
          <w:p>
            <w:pPr>
              <w:spacing w:after="0"/>
              <w:rPr>
                <w:sz w:val="18"/>
                <w:szCs w:val="18"/>
                <w:color w:val="auto"/>
              </w:rPr>
            </w:pPr>
          </w:p>
        </w:tc>
        <w:tc>
          <w:tcPr>
            <w:tcW w:w="1240" w:type="dxa"/>
            <w:vAlign w:val="bottom"/>
            <w:gridSpan w:val="2"/>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Discrete tax items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color w:val="auto"/>
              </w:rPr>
              <w:t>Provision for income taxes (effective taxes)</w:t>
            </w:r>
          </w:p>
        </w:tc>
        <w:tc>
          <w:tcPr>
            <w:tcW w:w="1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80" w:type="dxa"/>
            <w:vAlign w:val="bottom"/>
          </w:tcPr>
          <w:p>
            <w:pPr>
              <w:jc w:val="right"/>
              <w:ind w:right="922"/>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354</w:t>
            </w:r>
          </w:p>
        </w:tc>
        <w:tc>
          <w:tcPr>
            <w:tcW w:w="280" w:type="dxa"/>
            <w:vAlign w:val="bottom"/>
          </w:tcPr>
          <w:p>
            <w:pPr>
              <w:spacing w:after="0"/>
              <w:rPr>
                <w:sz w:val="17"/>
                <w:szCs w:val="17"/>
                <w:color w:val="auto"/>
              </w:rPr>
            </w:pPr>
          </w:p>
        </w:tc>
        <w:tc>
          <w:tcPr>
            <w:tcW w:w="1240" w:type="dxa"/>
            <w:vAlign w:val="bottom"/>
            <w:gridSpan w:val="2"/>
          </w:tcPr>
          <w:p>
            <w:pPr>
              <w:jc w:val="right"/>
              <w:ind w:right="97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Arial" w:cs="Arial" w:eastAsia="Arial" w:hAnsi="Arial"/>
                <w:sz w:val="16"/>
                <w:szCs w:val="16"/>
                <w:color w:val="auto"/>
              </w:rPr>
              <w:t>Annual operating tax rate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6"/>
                <w:szCs w:val="16"/>
                <w:color w:val="auto"/>
              </w:rPr>
              <w:t>Effective tax rate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20"/>
                <w:szCs w:val="20"/>
                <w:color w:val="auto"/>
              </w:rPr>
            </w:pPr>
            <w:r>
              <w:rPr>
                <w:rFonts w:ascii="Arial" w:cs="Arial" w:eastAsia="Arial" w:hAnsi="Arial"/>
                <w:sz w:val="16"/>
                <w:szCs w:val="16"/>
                <w:color w:val="auto"/>
              </w:rPr>
              <w:t>Net income</w:t>
            </w:r>
          </w:p>
        </w:tc>
        <w:tc>
          <w:tcPr>
            <w:tcW w:w="640" w:type="dxa"/>
            <w:vAlign w:val="bottom"/>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1,570</w:t>
            </w:r>
          </w:p>
        </w:tc>
        <w:tc>
          <w:tcPr>
            <w:tcW w:w="380" w:type="dxa"/>
            <w:vAlign w:val="bottom"/>
          </w:tcPr>
          <w:p>
            <w:pPr>
              <w:spacing w:after="0"/>
              <w:rPr>
                <w:sz w:val="18"/>
                <w:szCs w:val="18"/>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Income allocated to RSUs</w:t>
            </w:r>
          </w:p>
        </w:tc>
        <w:tc>
          <w:tcPr>
            <w:tcW w:w="6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b w:val="1"/>
                <w:bCs w:val="1"/>
                <w:color w:val="auto"/>
              </w:rPr>
              <w:t>(11)</w:t>
            </w:r>
          </w:p>
        </w:tc>
        <w:tc>
          <w:tcPr>
            <w:tcW w:w="6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r>
      <w:tr>
        <w:trPr>
          <w:trHeight w:val="207"/>
        </w:trPr>
        <w:tc>
          <w:tcPr>
            <w:tcW w:w="7740" w:type="dxa"/>
            <w:vAlign w:val="bottom"/>
          </w:tcPr>
          <w:p>
            <w:pPr>
              <w:spacing w:after="0"/>
              <w:rPr>
                <w:sz w:val="20"/>
                <w:szCs w:val="20"/>
                <w:color w:val="auto"/>
              </w:rPr>
            </w:pPr>
            <w:r>
              <w:rPr>
                <w:rFonts w:ascii="Arial" w:cs="Arial" w:eastAsia="Arial" w:hAnsi="Arial"/>
                <w:sz w:val="16"/>
                <w:szCs w:val="16"/>
                <w:color w:val="auto"/>
              </w:rPr>
              <w:t>Income allocated to common stock for diluted EPS</w:t>
            </w: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1,559</w:t>
            </w:r>
          </w:p>
        </w:tc>
        <w:tc>
          <w:tcPr>
            <w:tcW w:w="3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81"/>
        </w:trPr>
        <w:tc>
          <w:tcPr>
            <w:tcW w:w="7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Page 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20" w:type="dxa"/>
            <w:vAlign w:val="bottom"/>
            <w:gridSpan w:val="3"/>
          </w:tcPr>
          <w:p>
            <w:pPr>
              <w:jc w:val="center"/>
              <w:ind w:left="247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38"/>
              <w:spacing w:after="0"/>
              <w:rPr>
                <w:sz w:val="20"/>
                <w:szCs w:val="20"/>
                <w:color w:val="auto"/>
              </w:rPr>
            </w:pPr>
            <w:r>
              <w:rPr>
                <w:rFonts w:ascii="Arial" w:cs="Arial" w:eastAsia="Arial" w:hAnsi="Arial"/>
                <w:sz w:val="18"/>
                <w:szCs w:val="18"/>
                <w:b w:val="1"/>
                <w:bCs w:val="1"/>
                <w:color w:val="auto"/>
                <w:w w:val="87"/>
              </w:rPr>
              <w:t>Consolidated Balance Sheets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8"/>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September 30,</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shd w:val="clear" w:color="auto" w:fill="CFF0FC"/>
          </w:tcPr>
          <w:p>
            <w:pPr>
              <w:jc w:val="right"/>
              <w:ind w:right="84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1,502</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3,611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allowances of ($13) and ($14)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Work in process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gridSpan w:val="2"/>
          </w:tcPr>
          <w:p>
            <w:pPr>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5,250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(2,199)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3,051</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intangibles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licenses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Overfunded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0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7"/>
                <w:szCs w:val="17"/>
                <w:color w:val="auto"/>
              </w:rPr>
            </w:pPr>
          </w:p>
        </w:tc>
        <w:tc>
          <w:tcPr>
            <w:tcW w:w="1000" w:type="dxa"/>
            <w:vAlign w:val="bottom"/>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18,573</w:t>
            </w:r>
          </w:p>
        </w:tc>
        <w:tc>
          <w:tcPr>
            <w:tcW w:w="18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long-term debt</w:t>
            </w:r>
          </w:p>
        </w:tc>
        <w:tc>
          <w:tcPr>
            <w:tcW w:w="1240" w:type="dxa"/>
            <w:vAlign w:val="bottom"/>
            <w:gridSpan w:val="2"/>
            <w:shd w:val="clear" w:color="auto" w:fill="CFF0FC"/>
          </w:tcPr>
          <w:p>
            <w:pPr>
              <w:jc w:val="right"/>
              <w:ind w:right="842"/>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749</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Underfunded retirement plans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8,057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5,941</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$25 par value. Authorized – 10,000,000 shares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6"/>
                <w:szCs w:val="16"/>
                <w:color w:val="auto"/>
              </w:rPr>
              <w:t>Participating cumulative preferred – None issued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6"/>
                <w:szCs w:val="16"/>
                <w:color w:val="auto"/>
              </w:rPr>
              <w:t>Shares issued – 1,740,815,939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Paid-in capital</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37,378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common stock at cost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6"/>
                <w:szCs w:val="16"/>
                <w:color w:val="auto"/>
              </w:rPr>
              <w:t>Shares: September 30, 2018 – 775,952,837; September 30, 2017 – 754,459,144</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(30,167)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(354)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10,516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10,988</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2"/>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18,573</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16,929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20" w:type="dxa"/>
            <w:vAlign w:val="bottom"/>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Page 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60" w:type="dxa"/>
            <w:vAlign w:val="bottom"/>
            <w:gridSpan w:val="3"/>
          </w:tcPr>
          <w:p>
            <w:pPr>
              <w:jc w:val="center"/>
              <w:ind w:left="243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jc w:val="center"/>
              <w:ind w:left="3778"/>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Pr>
          <w:p>
            <w:pPr>
              <w:jc w:val="center"/>
              <w:ind w:left="3798"/>
              <w:spacing w:after="0"/>
              <w:rPr>
                <w:sz w:val="20"/>
                <w:szCs w:val="20"/>
                <w:color w:val="auto"/>
              </w:rPr>
            </w:pPr>
            <w:r>
              <w:rPr>
                <w:rFonts w:ascii="Arial" w:cs="Arial" w:eastAsia="Arial" w:hAnsi="Arial"/>
                <w:sz w:val="18"/>
                <w:szCs w:val="18"/>
                <w:b w:val="1"/>
                <w:bCs w:val="1"/>
                <w:color w:val="auto"/>
                <w:w w:val="92"/>
              </w:rPr>
              <w:t>(Millions of dollars)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5"/>
          </w:tcPr>
          <w:p>
            <w:pPr>
              <w:jc w:val="right"/>
              <w:ind w:right="290"/>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88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1,570</w:t>
            </w:r>
          </w:p>
        </w:tc>
        <w:tc>
          <w:tcPr>
            <w:tcW w:w="180" w:type="dxa"/>
            <w:vAlign w:val="bottom"/>
          </w:tcPr>
          <w:p>
            <w:pPr>
              <w:spacing w:after="0"/>
              <w:rPr>
                <w:sz w:val="18"/>
                <w:szCs w:val="18"/>
                <w:color w:val="auto"/>
              </w:rPr>
            </w:pPr>
          </w:p>
        </w:tc>
        <w:tc>
          <w:tcPr>
            <w:tcW w:w="1240" w:type="dxa"/>
            <w:vAlign w:val="bottom"/>
            <w:gridSpan w:val="2"/>
          </w:tcPr>
          <w:p>
            <w:pPr>
              <w:jc w:val="right"/>
              <w:ind w:right="95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Net income: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acquisition-related intangibles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Amortization of capitalized software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 compensation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Increase (decrease) from changes in: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Changes in funded status of retirement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(3,099)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8"/>
              </w:rPr>
              <w:t>(1,218)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Proceeds from short-term investments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(1,768)</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(602)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 repurchases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(1,200)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6"/>
                <w:szCs w:val="16"/>
                <w:color w:val="auto"/>
              </w:rPr>
              <w:t>Proceeds from common stock transactions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(1,755)</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(1,078)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(1,417)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2,919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jc w:val="right"/>
              <w:ind w:right="881"/>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1,502</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5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0"/>
        </w:trPr>
        <w:tc>
          <w:tcPr>
            <w:tcW w:w="20" w:type="dxa"/>
            <w:vAlign w:val="bottom"/>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w w:val="82"/>
              </w:rPr>
              <w:t>Page 6</w:t>
            </w:r>
          </w:p>
        </w:tc>
      </w:tr>
      <w:tr>
        <w:trPr>
          <w:trHeight w:val="419"/>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5"/>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3Q18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3Q17</w:t>
            </w:r>
          </w:p>
        </w:tc>
        <w:tc>
          <w:tcPr>
            <w:tcW w:w="180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2,698</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Embedded Processing:</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21"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due to Power and Signal Chain. High Volume decreased.</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121"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due to Processors.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primarily due to lower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15"/>
          <w:szCs w:val="15"/>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calculators and custom ASIC products)</w:t>
      </w:r>
    </w:p>
    <w:p>
      <w:pPr>
        <w:spacing w:after="0" w:line="12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$27 million, and operating profit declined by $14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TI reports 3Q18 financial results and shareholder returns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 7</w:t>
            </w:r>
          </w:p>
        </w:tc>
        <w:tc>
          <w:tcPr>
            <w:tcW w:w="0" w:type="dxa"/>
            <w:vAlign w:val="bottom"/>
          </w:tcPr>
          <w:p>
            <w:pPr>
              <w:spacing w:after="0"/>
              <w:rPr>
                <w:sz w:val="1"/>
                <w:szCs w:val="1"/>
                <w:color w:val="auto"/>
              </w:rPr>
            </w:pPr>
          </w:p>
        </w:tc>
      </w:tr>
      <w:tr>
        <w:trPr>
          <w:trHeight w:val="675"/>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For 12 Months Ended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6,973</w:t>
            </w: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(1,039)</w:t>
            </w:r>
          </w:p>
        </w:tc>
        <w:tc>
          <w:tcPr>
            <w:tcW w:w="4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5,934</w:t>
            </w:r>
          </w:p>
        </w:tc>
        <w:tc>
          <w:tcPr>
            <w:tcW w:w="360" w:type="dxa"/>
            <w:vAlign w:val="bottom"/>
            <w:tcBorders>
              <w:top w:val="single" w:sz="8" w:color="CFF0FC"/>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4,247</w:t>
            </w:r>
          </w:p>
        </w:tc>
        <w:tc>
          <w:tcPr>
            <w:tcW w:w="340" w:type="dxa"/>
            <w:vAlign w:val="bottom"/>
            <w:tcBorders>
              <w:top w:val="single" w:sz="8" w:color="CFF0FC"/>
              <w:bottom w:val="single" w:sz="8" w:color="CFF0FC"/>
            </w:tcBorders>
            <w:shd w:val="clear" w:color="auto" w:fill="CFF0FC"/>
          </w:tcPr>
          <w:p>
            <w:pPr>
              <w:spacing w:after="0"/>
              <w:rPr>
                <w:sz w:val="22"/>
                <w:szCs w:val="22"/>
                <w:color w:val="auto"/>
              </w:rPr>
            </w:pPr>
          </w:p>
        </w:tc>
        <w:tc>
          <w:tcPr>
            <w:tcW w:w="15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15,817</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14,625</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44.1%</w:t>
            </w: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33.0%</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37.5%</w:t>
            </w:r>
          </w:p>
        </w:tc>
        <w:tc>
          <w:tcPr>
            <w:tcW w:w="4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280" w:val="left"/>
        </w:tabs>
        <w:rPr>
          <w:sz w:val="20"/>
          <w:szCs w:val="20"/>
          <w:color w:val="auto"/>
        </w:rPr>
      </w:pPr>
      <w:r>
        <w:rPr>
          <w:rFonts w:ascii="Arial" w:cs="Arial" w:eastAsia="Arial" w:hAnsi="Arial"/>
          <w:sz w:val="18"/>
          <w:szCs w:val="18"/>
          <w:b w:val="1"/>
          <w:bCs w:val="1"/>
          <w:color w:val="auto"/>
        </w:rPr>
        <w:t>TI reports 3Q18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440" w:right="10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62" w:lineRule="exact"/>
        <w:rPr>
          <w:rFonts w:ascii="Arial" w:cs="Arial" w:eastAsia="Arial" w:hAnsi="Arial"/>
          <w:sz w:val="18"/>
          <w:szCs w:val="18"/>
          <w:color w:val="auto"/>
        </w:rPr>
      </w:pPr>
    </w:p>
    <w:p>
      <w:pPr>
        <w:ind w:left="440" w:hanging="432"/>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40" w:lineRule="exact"/>
        <w:rPr>
          <w:rFonts w:ascii="Arial" w:cs="Arial" w:eastAsia="Arial" w:hAnsi="Arial"/>
          <w:sz w:val="16"/>
          <w:szCs w:val="16"/>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440" w:right="24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440" w:right="120" w:hanging="432"/>
        <w:spacing w:after="0" w:line="34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5" w:lineRule="exact"/>
        <w:rPr>
          <w:rFonts w:ascii="Arial" w:cs="Arial" w:eastAsia="Arial" w:hAnsi="Arial"/>
          <w:sz w:val="16"/>
          <w:szCs w:val="16"/>
          <w:color w:val="auto"/>
        </w:rPr>
      </w:pPr>
    </w:p>
    <w:p>
      <w:pPr>
        <w:ind w:left="440" w:right="34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440" w:right="60" w:hanging="432"/>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440" w:right="82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spacing w:after="0"/>
        <w:tabs>
          <w:tab w:leader="none" w:pos="10280" w:val="left"/>
        </w:tabs>
        <w:rPr>
          <w:sz w:val="20"/>
          <w:szCs w:val="20"/>
          <w:color w:val="auto"/>
        </w:rPr>
      </w:pPr>
      <w:r>
        <w:rPr>
          <w:rFonts w:ascii="Arial" w:cs="Arial" w:eastAsia="Arial" w:hAnsi="Arial"/>
          <w:sz w:val="18"/>
          <w:szCs w:val="18"/>
          <w:b w:val="1"/>
          <w:bCs w:val="1"/>
          <w:color w:val="auto"/>
        </w:rPr>
        <w:t>TI reports 3Q18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364" w:lineRule="exact"/>
        <w:rPr>
          <w:sz w:val="20"/>
          <w:szCs w:val="20"/>
          <w:color w:val="auto"/>
        </w:rPr>
      </w:pPr>
    </w:p>
    <w:p>
      <w:pPr>
        <w:ind w:left="440" w:right="300" w:hanging="43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62" w:lineRule="exact"/>
        <w:rPr>
          <w:rFonts w:ascii="Arial" w:cs="Arial" w:eastAsia="Arial" w:hAnsi="Arial"/>
          <w:sz w:val="18"/>
          <w:szCs w:val="18"/>
          <w:color w:val="auto"/>
        </w:rPr>
      </w:pPr>
    </w:p>
    <w:p>
      <w:pPr>
        <w:ind w:left="440" w:right="240" w:hanging="43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440" w:right="660" w:hanging="43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17" w:lineRule="exact"/>
        <w:rPr>
          <w:rFonts w:ascii="Arial" w:cs="Arial" w:eastAsia="Arial" w:hAnsi="Arial"/>
          <w:sz w:val="18"/>
          <w:szCs w:val="18"/>
          <w:color w:val="auto"/>
        </w:rPr>
      </w:pPr>
    </w:p>
    <w:p>
      <w:pPr>
        <w:ind w:left="440" w:right="340" w:hanging="43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0000FF"/>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2019-12-28T19:07:46Z</dcterms:created>
  <dcterms:modified xsi:type="dcterms:W3CDTF">2019-12-28T19:07:46Z</dcterms:modified>
</cp:coreProperties>
</file>