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6"/>
        </w:trPr>
        <w:tc>
          <w:tcPr>
            <w:tcW w:w="2680" w:type="dxa"/>
            <w:vAlign w:val="bottom"/>
          </w:tcPr>
          <w:p>
            <w:pPr>
              <w:spacing w:after="0"/>
              <w:rPr>
                <w:sz w:val="23"/>
                <w:szCs w:val="23"/>
                <w:color w:val="auto"/>
              </w:rPr>
            </w:pPr>
          </w:p>
        </w:tc>
        <w:tc>
          <w:tcPr>
            <w:tcW w:w="37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SCHEDULE 14A INFORMATION</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Proxy Statement Pursuant</w:t>
            </w:r>
          </w:p>
        </w:tc>
        <w:tc>
          <w:tcPr>
            <w:tcW w:w="2140" w:type="dxa"/>
            <w:vAlign w:val="bottom"/>
          </w:tcPr>
          <w:p>
            <w:pPr>
              <w:ind w:left="40"/>
              <w:spacing w:after="0"/>
              <w:rPr>
                <w:sz w:val="20"/>
                <w:szCs w:val="20"/>
                <w:color w:val="auto"/>
              </w:rPr>
            </w:pPr>
            <w:r>
              <w:rPr>
                <w:rFonts w:ascii="Courier New" w:cs="Courier New" w:eastAsia="Courier New" w:hAnsi="Courier New"/>
                <w:sz w:val="16"/>
                <w:szCs w:val="16"/>
                <w:color w:val="auto"/>
              </w:rPr>
              <w:t>to Section 14(a)</w:t>
            </w:r>
          </w:p>
        </w:tc>
        <w:tc>
          <w:tcPr>
            <w:tcW w:w="4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2680" w:type="dxa"/>
            <w:vAlign w:val="bottom"/>
          </w:tcPr>
          <w:p>
            <w:pPr>
              <w:ind w:left="980"/>
              <w:spacing w:after="0"/>
              <w:rPr>
                <w:sz w:val="20"/>
                <w:szCs w:val="20"/>
                <w:color w:val="auto"/>
              </w:rPr>
            </w:pPr>
            <w:r>
              <w:rPr>
                <w:rFonts w:ascii="Courier New" w:cs="Courier New" w:eastAsia="Courier New" w:hAnsi="Courier New"/>
                <w:sz w:val="16"/>
                <w:szCs w:val="16"/>
                <w:color w:val="auto"/>
              </w:rPr>
              <w:t>of the Securities</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Exchange Act of</w:t>
            </w:r>
          </w:p>
        </w:tc>
        <w:tc>
          <w:tcPr>
            <w:tcW w:w="2140" w:type="dxa"/>
            <w:vAlign w:val="bottom"/>
          </w:tcPr>
          <w:p>
            <w:pPr>
              <w:ind w:left="40"/>
              <w:spacing w:after="0"/>
              <w:rPr>
                <w:sz w:val="20"/>
                <w:szCs w:val="20"/>
                <w:color w:val="auto"/>
              </w:rPr>
            </w:pPr>
            <w:r>
              <w:rPr>
                <w:rFonts w:ascii="Courier New" w:cs="Courier New" w:eastAsia="Courier New" w:hAnsi="Courier New"/>
                <w:sz w:val="16"/>
                <w:szCs w:val="16"/>
                <w:color w:val="auto"/>
              </w:rPr>
              <w:t>1934 (Amendment No.</w:t>
            </w:r>
          </w:p>
        </w:tc>
        <w:tc>
          <w:tcPr>
            <w:tcW w:w="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Filed by the Registrant [X]</w:t>
            </w:r>
          </w:p>
        </w:tc>
        <w:tc>
          <w:tcPr>
            <w:tcW w:w="3720" w:type="dxa"/>
            <w:vAlign w:val="bottom"/>
            <w:gridSpan w:val="3"/>
            <w:vMerge w:val="restart"/>
          </w:tcPr>
          <w:p>
            <w:pPr>
              <w:ind w:left="60"/>
              <w:spacing w:after="0"/>
              <w:rPr>
                <w:sz w:val="20"/>
                <w:szCs w:val="20"/>
                <w:color w:val="auto"/>
              </w:rPr>
            </w:pPr>
            <w:r>
              <w:rPr>
                <w:rFonts w:ascii="Courier New" w:cs="Courier New" w:eastAsia="Courier New" w:hAnsi="Courier New"/>
                <w:sz w:val="16"/>
                <w:szCs w:val="16"/>
                <w:color w:val="auto"/>
              </w:rPr>
              <w:t>the Registrant [ ]</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80" w:type="dxa"/>
            <w:vAlign w:val="bottom"/>
          </w:tcPr>
          <w:p>
            <w:pPr>
              <w:spacing w:after="0"/>
              <w:rPr>
                <w:sz w:val="20"/>
                <w:szCs w:val="20"/>
                <w:color w:val="auto"/>
              </w:rPr>
            </w:pPr>
            <w:r>
              <w:rPr>
                <w:rFonts w:ascii="Courier New" w:cs="Courier New" w:eastAsia="Courier New" w:hAnsi="Courier New"/>
                <w:sz w:val="16"/>
                <w:szCs w:val="16"/>
                <w:color w:val="auto"/>
              </w:rPr>
              <w:t>Filed by a Party other than</w:t>
            </w:r>
          </w:p>
        </w:tc>
        <w:tc>
          <w:tcPr>
            <w:tcW w:w="3720" w:type="dxa"/>
            <w:vAlign w:val="bottom"/>
            <w:gridSpan w:val="3"/>
            <w:vMerge w:val="continue"/>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2680" w:type="dxa"/>
            <w:vAlign w:val="bottom"/>
          </w:tcPr>
          <w:p>
            <w:pPr>
              <w:spacing w:after="0"/>
              <w:rPr>
                <w:sz w:val="20"/>
                <w:szCs w:val="20"/>
                <w:color w:val="auto"/>
              </w:rPr>
            </w:pPr>
            <w:r>
              <w:rPr>
                <w:rFonts w:ascii="Courier New" w:cs="Courier New" w:eastAsia="Courier New" w:hAnsi="Courier New"/>
                <w:sz w:val="16"/>
                <w:szCs w:val="16"/>
                <w:color w:val="auto"/>
              </w:rPr>
              <w:t>Check the appropriate box:</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 ] Preliminary Proxy Statement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5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 Confidential, For Use of</w:t>
            </w:r>
          </w:p>
        </w:tc>
        <w:tc>
          <w:tcPr>
            <w:tcW w:w="0" w:type="dxa"/>
            <w:vAlign w:val="bottom"/>
          </w:tcPr>
          <w:p>
            <w:pPr>
              <w:spacing w:after="0"/>
              <w:rPr>
                <w:sz w:val="1"/>
                <w:szCs w:val="1"/>
                <w:color w:val="auto"/>
              </w:rPr>
            </w:pPr>
          </w:p>
        </w:tc>
      </w:tr>
    </w:tbl>
    <w:p>
      <w:pPr>
        <w:ind w:left="4500"/>
        <w:spacing w:after="0"/>
        <w:rPr>
          <w:sz w:val="20"/>
          <w:szCs w:val="20"/>
          <w:color w:val="auto"/>
        </w:rPr>
      </w:pPr>
      <w:r>
        <w:rPr>
          <w:rFonts w:ascii="Courier New" w:cs="Courier New" w:eastAsia="Courier New" w:hAnsi="Courier New"/>
          <w:sz w:val="16"/>
          <w:szCs w:val="16"/>
          <w:color w:val="auto"/>
        </w:rPr>
        <w:t>Commission Only (as Permitted</w:t>
      </w:r>
    </w:p>
    <w:p>
      <w:pPr>
        <w:spacing w:after="0" w:line="7" w:lineRule="exact"/>
        <w:rPr>
          <w:sz w:val="24"/>
          <w:szCs w:val="24"/>
          <w:color w:val="auto"/>
        </w:rPr>
      </w:pPr>
    </w:p>
    <w:p>
      <w:pPr>
        <w:ind w:left="4500"/>
        <w:spacing w:after="0"/>
        <w:rPr>
          <w:sz w:val="20"/>
          <w:szCs w:val="20"/>
          <w:color w:val="auto"/>
        </w:rPr>
      </w:pPr>
      <w:r>
        <w:rPr>
          <w:rFonts w:ascii="Courier New" w:cs="Courier New" w:eastAsia="Courier New" w:hAnsi="Courier New"/>
          <w:sz w:val="16"/>
          <w:szCs w:val="16"/>
          <w:color w:val="auto"/>
        </w:rPr>
        <w:t>by Rule 14a-6(e)(2))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Definitive Proxy Statement</w:t>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Definitive Additional Materials</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Soliciting Material Pursuant to</w:t>
      </w:r>
    </w:p>
    <w:p>
      <w:pPr>
        <w:spacing w:after="0" w:line="37"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Rule 14a-11(c) or Rule 14a-12</w:t>
      </w:r>
    </w:p>
    <w:p>
      <w:pPr>
        <w:spacing w:after="0" w:line="165"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TEXAS INSTRUMENTS INCORPORATED</w:t>
      </w:r>
    </w:p>
    <w:p>
      <w:pPr>
        <w:spacing w:after="0" w:line="37"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No fee required.</w:t>
      </w:r>
    </w:p>
    <w:p>
      <w:pPr>
        <w:spacing w:after="0" w:line="195" w:lineRule="exact"/>
        <w:rPr>
          <w:sz w:val="24"/>
          <w:szCs w:val="24"/>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94" w:lineRule="exact"/>
        <w:rPr>
          <w:rFonts w:ascii="Courier New" w:cs="Courier New" w:eastAsia="Courier New" w:hAnsi="Courier New"/>
          <w:sz w:val="16"/>
          <w:szCs w:val="16"/>
          <w:color w:val="auto"/>
        </w:rPr>
      </w:pPr>
    </w:p>
    <w:p>
      <w:pPr>
        <w:ind w:left="780" w:hanging="487"/>
        <w:spacing w:after="0"/>
        <w:tabs>
          <w:tab w:leader="none" w:pos="7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4" w:lineRule="exact"/>
        <w:rPr>
          <w:rFonts w:ascii="Courier New" w:cs="Courier New" w:eastAsia="Courier New" w:hAnsi="Courier New"/>
          <w:sz w:val="16"/>
          <w:szCs w:val="16"/>
          <w:color w:val="auto"/>
        </w:rPr>
      </w:pPr>
    </w:p>
    <w:p>
      <w:pPr>
        <w:ind w:left="780" w:hanging="487"/>
        <w:spacing w:after="0"/>
        <w:tabs>
          <w:tab w:leader="none" w:pos="7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4" w:lineRule="exact"/>
        <w:rPr>
          <w:rFonts w:ascii="Courier New" w:cs="Courier New" w:eastAsia="Courier New" w:hAnsi="Courier New"/>
          <w:sz w:val="16"/>
          <w:szCs w:val="16"/>
          <w:color w:val="auto"/>
        </w:rPr>
      </w:pPr>
    </w:p>
    <w:p>
      <w:pPr>
        <w:ind w:left="780" w:right="3079" w:hanging="487"/>
        <w:spacing w:after="0" w:line="311" w:lineRule="auto"/>
        <w:tabs>
          <w:tab w:leader="none" w:pos="7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47" w:lineRule="exact"/>
        <w:rPr>
          <w:rFonts w:ascii="Courier New" w:cs="Courier New" w:eastAsia="Courier New" w:hAnsi="Courier New"/>
          <w:sz w:val="16"/>
          <w:szCs w:val="16"/>
          <w:color w:val="auto"/>
        </w:rPr>
      </w:pPr>
    </w:p>
    <w:p>
      <w:pPr>
        <w:ind w:left="780" w:hanging="487"/>
        <w:spacing w:after="0"/>
        <w:tabs>
          <w:tab w:leader="none" w:pos="7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4" w:lineRule="exact"/>
        <w:rPr>
          <w:rFonts w:ascii="Courier New" w:cs="Courier New" w:eastAsia="Courier New" w:hAnsi="Courier New"/>
          <w:sz w:val="16"/>
          <w:szCs w:val="16"/>
          <w:color w:val="auto"/>
        </w:rPr>
      </w:pPr>
    </w:p>
    <w:p>
      <w:pPr>
        <w:ind w:left="780" w:hanging="487"/>
        <w:spacing w:after="0"/>
        <w:tabs>
          <w:tab w:leader="none" w:pos="7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5" w:lineRule="exact"/>
        <w:rPr>
          <w:sz w:val="24"/>
          <w:szCs w:val="24"/>
          <w:color w:val="auto"/>
        </w:rPr>
      </w:pPr>
    </w:p>
    <w:p>
      <w:pPr>
        <w:spacing w:after="0"/>
        <w:tabs>
          <w:tab w:leader="none" w:pos="1340" w:val="left"/>
        </w:tabs>
        <w:rPr>
          <w:sz w:val="20"/>
          <w:szCs w:val="20"/>
          <w:color w:val="auto"/>
        </w:rPr>
      </w:pPr>
      <w:r>
        <w:rPr>
          <w:rFonts w:ascii="Courier New" w:cs="Courier New" w:eastAsia="Courier New" w:hAnsi="Courier New"/>
          <w:sz w:val="16"/>
          <w:szCs w:val="16"/>
          <w:color w:val="auto"/>
        </w:rPr>
        <w:t>[ ] Fee paid</w:t>
        <w:tab/>
        <w:t>previously with preliminary materials.</w:t>
      </w:r>
    </w:p>
    <w:p>
      <w:pPr>
        <w:spacing w:after="0" w:line="195" w:lineRule="exact"/>
        <w:rPr>
          <w:sz w:val="24"/>
          <w:szCs w:val="24"/>
          <w:color w:val="auto"/>
        </w:rPr>
      </w:pPr>
    </w:p>
    <w:p>
      <w:pPr>
        <w:jc w:val="both"/>
        <w:ind w:left="400" w:right="2799" w:hanging="400"/>
        <w:spacing w:after="0" w:line="290" w:lineRule="auto"/>
        <w:tabs>
          <w:tab w:leader="none" w:pos="20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3" w:lineRule="exact"/>
        <w:rPr>
          <w:rFonts w:ascii="Courier New" w:cs="Courier New" w:eastAsia="Courier New" w:hAnsi="Courier New"/>
          <w:sz w:val="16"/>
          <w:szCs w:val="16"/>
          <w:color w:val="auto"/>
        </w:rPr>
      </w:pPr>
    </w:p>
    <w:p>
      <w:pPr>
        <w:ind w:left="780" w:hanging="487"/>
        <w:spacing w:after="0"/>
        <w:tabs>
          <w:tab w:leader="none" w:pos="7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4" w:lineRule="exact"/>
        <w:rPr>
          <w:rFonts w:ascii="Courier New" w:cs="Courier New" w:eastAsia="Courier New" w:hAnsi="Courier New"/>
          <w:sz w:val="16"/>
          <w:szCs w:val="16"/>
          <w:color w:val="auto"/>
        </w:rPr>
      </w:pPr>
    </w:p>
    <w:p>
      <w:pPr>
        <w:ind w:left="780" w:hanging="487"/>
        <w:spacing w:after="0"/>
        <w:tabs>
          <w:tab w:leader="none" w:pos="7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4" w:lineRule="exact"/>
        <w:rPr>
          <w:rFonts w:ascii="Courier New" w:cs="Courier New" w:eastAsia="Courier New" w:hAnsi="Courier New"/>
          <w:sz w:val="16"/>
          <w:szCs w:val="16"/>
          <w:color w:val="auto"/>
        </w:rPr>
      </w:pPr>
    </w:p>
    <w:p>
      <w:pPr>
        <w:ind w:left="780" w:hanging="487"/>
        <w:spacing w:after="0"/>
        <w:tabs>
          <w:tab w:leader="none" w:pos="7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5" w:lineRule="exact"/>
        <w:rPr>
          <w:sz w:val="24"/>
          <w:szCs w:val="24"/>
          <w:color w:val="auto"/>
        </w:rPr>
      </w:pPr>
    </w:p>
    <w:p>
      <w:pPr>
        <w:ind w:left="780" w:hanging="389"/>
        <w:spacing w:after="0"/>
        <w:tabs>
          <w:tab w:leader="none" w:pos="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200" w:lineRule="exact"/>
        <w:rPr>
          <w:sz w:val="24"/>
          <w:szCs w:val="24"/>
          <w:color w:val="auto"/>
        </w:rPr>
      </w:pPr>
    </w:p>
    <w:p>
      <w:pPr>
        <w:spacing w:after="0" w:line="371" w:lineRule="exact"/>
        <w:rPr>
          <w:sz w:val="24"/>
          <w:szCs w:val="24"/>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[Company Logo]</w:t>
      </w:r>
      <w:r>
        <w:rPr>
          <w:sz w:val="20"/>
          <w:szCs w:val="20"/>
          <w:color w:val="auto"/>
        </w:rPr>
        <w:tab/>
      </w:r>
      <w:r>
        <w:rPr>
          <w:rFonts w:ascii="Courier New" w:cs="Courier New" w:eastAsia="Courier New" w:hAnsi="Courier New"/>
          <w:sz w:val="16"/>
          <w:szCs w:val="16"/>
          <w:color w:val="auto"/>
        </w:rPr>
        <w:t>TEXAS INSTRUMENTS</w:t>
      </w:r>
    </w:p>
    <w:p>
      <w:pPr>
        <w:spacing w:after="0" w:line="383" w:lineRule="exact"/>
        <w:rPr>
          <w:sz w:val="24"/>
          <w:szCs w:val="24"/>
          <w:color w:val="auto"/>
        </w:rPr>
      </w:pPr>
    </w:p>
    <w:p>
      <w:pPr>
        <w:ind w:left="2060"/>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37"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April 17, 1997</w:t>
      </w:r>
    </w:p>
    <w:p>
      <w:pPr>
        <w:spacing w:after="0" w:line="353" w:lineRule="exact"/>
        <w:rPr>
          <w:sz w:val="24"/>
          <w:szCs w:val="24"/>
          <w:color w:val="auto"/>
        </w:rPr>
      </w:pPr>
    </w:p>
    <w:p>
      <w:pPr>
        <w:ind w:right="2599"/>
        <w:spacing w:after="0" w:line="282" w:lineRule="auto"/>
        <w:rPr>
          <w:sz w:val="20"/>
          <w:szCs w:val="20"/>
          <w:color w:val="auto"/>
        </w:rPr>
      </w:pPr>
      <w:r>
        <w:rPr>
          <w:rFonts w:ascii="Courier New" w:cs="Courier New" w:eastAsia="Courier New" w:hAnsi="Courier New"/>
          <w:sz w:val="16"/>
          <w:szCs w:val="16"/>
          <w:color w:val="auto"/>
        </w:rPr>
        <w:t>We are pleased to invite you to attend the 1997 Annual Meeting of Stockholders which will be held on Thursday, April 17, 1997 at the North Building Cafeteria on the Company's property, 13500 North Central Expressway, Dallas, Texas, at 10:00 a.m. (Dallas time). The meeting will be held for the following purposes:</w:t>
      </w:r>
    </w:p>
    <w:p>
      <w:pPr>
        <w:spacing w:after="0" w:line="276" w:lineRule="exact"/>
        <w:rPr>
          <w:sz w:val="24"/>
          <w:szCs w:val="24"/>
          <w:color w:val="auto"/>
        </w:rPr>
      </w:pPr>
    </w:p>
    <w:p>
      <w:pPr>
        <w:ind w:left="980" w:hanging="393"/>
        <w:spacing w:after="0"/>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for the ensuing year;</w:t>
      </w:r>
    </w:p>
    <w:p>
      <w:pPr>
        <w:spacing w:after="0" w:line="194" w:lineRule="exact"/>
        <w:rPr>
          <w:rFonts w:ascii="Courier New" w:cs="Courier New" w:eastAsia="Courier New" w:hAnsi="Courier New"/>
          <w:sz w:val="16"/>
          <w:szCs w:val="16"/>
          <w:color w:val="auto"/>
        </w:rPr>
      </w:pPr>
    </w:p>
    <w:p>
      <w:pPr>
        <w:ind w:left="980" w:right="3379" w:hanging="393"/>
        <w:spacing w:after="0" w:line="373" w:lineRule="auto"/>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board proposal to approve a Texas Instruments Executive Officer Performance Plan;</w:t>
      </w:r>
    </w:p>
    <w:p>
      <w:pPr>
        <w:ind w:left="980" w:right="3679" w:hanging="393"/>
        <w:spacing w:after="0" w:line="373" w:lineRule="auto"/>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board proposal to approve a TI Employees 1997 Stock Purchase Plan; and</w:t>
      </w:r>
    </w:p>
    <w:p>
      <w:pPr>
        <w:ind w:left="980" w:right="2979" w:hanging="393"/>
        <w:spacing w:after="0" w:line="373" w:lineRule="auto"/>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such other matters as may properly come before the meeting.</w:t>
      </w:r>
    </w:p>
    <w:p>
      <w:pPr>
        <w:ind w:right="3179"/>
        <w:spacing w:after="0" w:line="373" w:lineRule="auto"/>
        <w:rPr>
          <w:sz w:val="20"/>
          <w:szCs w:val="20"/>
          <w:color w:val="auto"/>
        </w:rPr>
      </w:pPr>
      <w:r>
        <w:rPr>
          <w:rFonts w:ascii="Courier New" w:cs="Courier New" w:eastAsia="Courier New" w:hAnsi="Courier New"/>
          <w:sz w:val="16"/>
          <w:szCs w:val="16"/>
          <w:color w:val="auto"/>
        </w:rPr>
        <w:t>Stockholders of record at the close of business on February 18, 1997 are entitled to notice of and to vote at the annual meeting.</w:t>
      </w:r>
    </w:p>
    <w:p>
      <w:pPr>
        <w:spacing w:after="0"/>
        <w:rPr>
          <w:sz w:val="20"/>
          <w:szCs w:val="20"/>
          <w:color w:val="auto"/>
        </w:rPr>
      </w:pPr>
      <w:r>
        <w:rPr>
          <w:rFonts w:ascii="Courier New" w:cs="Courier New" w:eastAsia="Courier New" w:hAnsi="Courier New"/>
          <w:sz w:val="16"/>
          <w:szCs w:val="16"/>
          <w:color w:val="auto"/>
        </w:rPr>
        <w:t>Stockholders are urged to sign, date and return the enclosed proxy as promptly</w:t>
      </w:r>
    </w:p>
    <w:p>
      <w:pPr>
        <w:sectPr>
          <w:pgSz w:w="11900" w:h="16838" w:orient="portrait"/>
          <w:cols w:equalWidth="0" w:num="1">
            <w:col w:w="10219"/>
          </w:cols>
          <w:pgMar w:left="240" w:top="212" w:right="1440" w:bottom="0" w:gutter="0" w:footer="0" w:header="0"/>
        </w:sectPr>
      </w:pPr>
    </w:p>
    <w:bookmarkStart w:id="1" w:name="page2"/>
    <w:bookmarkEnd w:id="1"/>
    <w:p>
      <w:pPr>
        <w:spacing w:after="0" w:line="37" w:lineRule="exact"/>
        <w:rPr>
          <w:sz w:val="20"/>
          <w:szCs w:val="20"/>
          <w:color w:val="auto"/>
        </w:rPr>
      </w:pPr>
    </w:p>
    <w:p>
      <w:pPr>
        <w:ind w:right="2599"/>
        <w:spacing w:after="0" w:line="373" w:lineRule="auto"/>
        <w:rPr>
          <w:sz w:val="20"/>
          <w:szCs w:val="20"/>
          <w:color w:val="auto"/>
        </w:rPr>
      </w:pPr>
      <w:r>
        <w:rPr>
          <w:rFonts w:ascii="Courier New" w:cs="Courier New" w:eastAsia="Courier New" w:hAnsi="Courier New"/>
          <w:sz w:val="16"/>
          <w:szCs w:val="16"/>
          <w:color w:val="auto"/>
        </w:rPr>
        <w:t>as possible. You may revoke your proxy at any time before the shares to which the proxy relates are voted at the meeting.</w:t>
      </w:r>
    </w:p>
    <w:p>
      <w:pPr>
        <w:spacing w:after="0" w:line="376"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37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 RICHARD J. AGNICH</w:t>
      </w:r>
    </w:p>
    <w:p>
      <w:pPr>
        <w:spacing w:after="0" w:line="3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Richard J. Agnich</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Senior Vice President,</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Secretary and General Counsel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7, 1997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[Company Logo]</w:t>
      </w:r>
      <w:r>
        <w:rPr>
          <w:sz w:val="20"/>
          <w:szCs w:val="20"/>
          <w:color w:val="auto"/>
        </w:rPr>
        <w:tab/>
      </w:r>
      <w:r>
        <w:rPr>
          <w:rFonts w:ascii="Courier New" w:cs="Courier New" w:eastAsia="Courier New" w:hAnsi="Courier New"/>
          <w:sz w:val="16"/>
          <w:szCs w:val="16"/>
          <w:color w:val="auto"/>
        </w:rPr>
        <w:t>TEXAS INSTRUMENTS</w:t>
      </w:r>
    </w:p>
    <w:p>
      <w:pPr>
        <w:spacing w:after="0" w:line="195" w:lineRule="exact"/>
        <w:rPr>
          <w:sz w:val="20"/>
          <w:szCs w:val="20"/>
          <w:color w:val="auto"/>
        </w:rPr>
      </w:pPr>
    </w:p>
    <w:p>
      <w:pPr>
        <w:jc w:val="center"/>
        <w:ind w:right="2499"/>
        <w:spacing w:after="0"/>
        <w:tabs>
          <w:tab w:leader="none" w:pos="180" w:val="left"/>
        </w:tabs>
        <w:rPr>
          <w:sz w:val="20"/>
          <w:szCs w:val="20"/>
          <w:color w:val="auto"/>
        </w:rPr>
      </w:pPr>
      <w:r>
        <w:rPr>
          <w:rFonts w:ascii="Courier New" w:cs="Courier New" w:eastAsia="Courier New" w:hAnsi="Courier New"/>
          <w:sz w:val="16"/>
          <w:szCs w:val="16"/>
          <w:color w:val="auto"/>
        </w:rPr>
        <w:t>EXECUTIVE OFFICES:</w:t>
        <w:tab/>
        <w:t>NORTH BUILDING, 13500 NORTH CENTRAL EXPRESSWAY,</w:t>
      </w:r>
    </w:p>
    <w:p>
      <w:pPr>
        <w:spacing w:after="0" w:line="3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DALLAS, TEXAS</w:t>
      </w:r>
    </w:p>
    <w:p>
      <w:pPr>
        <w:spacing w:after="0" w:line="165" w:lineRule="exact"/>
        <w:rPr>
          <w:sz w:val="20"/>
          <w:szCs w:val="20"/>
          <w:color w:val="auto"/>
        </w:rPr>
      </w:pPr>
    </w:p>
    <w:p>
      <w:pPr>
        <w:ind w:left="680"/>
        <w:spacing w:after="0"/>
        <w:tabs>
          <w:tab w:leader="none" w:pos="2420" w:val="left"/>
        </w:tabs>
        <w:rPr>
          <w:sz w:val="20"/>
          <w:szCs w:val="20"/>
          <w:color w:val="auto"/>
        </w:rPr>
      </w:pPr>
      <w:r>
        <w:rPr>
          <w:rFonts w:ascii="Courier New" w:cs="Courier New" w:eastAsia="Courier New" w:hAnsi="Courier New"/>
          <w:sz w:val="16"/>
          <w:szCs w:val="16"/>
          <w:color w:val="auto"/>
        </w:rPr>
        <w:t>MAILING ADDRESS:</w:t>
        <w:tab/>
        <w:t>POST OFFICE BOX 655474, DALLAS, TEXAS 75265-5474</w:t>
      </w:r>
    </w:p>
    <w:p>
      <w:pPr>
        <w:spacing w:after="0" w:line="3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PROXY STATEMENT</w:t>
      </w:r>
    </w:p>
    <w:p>
      <w:pPr>
        <w:spacing w:after="0" w:line="3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March 7, 1997</w:t>
      </w:r>
    </w:p>
    <w:p>
      <w:pPr>
        <w:spacing w:after="0" w:line="165" w:lineRule="exact"/>
        <w:rPr>
          <w:sz w:val="20"/>
          <w:szCs w:val="20"/>
          <w:color w:val="auto"/>
        </w:rPr>
      </w:pPr>
    </w:p>
    <w:p>
      <w:pPr>
        <w:ind w:right="2499"/>
        <w:spacing w:after="0" w:line="273" w:lineRule="auto"/>
        <w:rPr>
          <w:sz w:val="20"/>
          <w:szCs w:val="20"/>
          <w:color w:val="auto"/>
        </w:rPr>
      </w:pPr>
      <w:r>
        <w:rPr>
          <w:rFonts w:ascii="Courier New" w:cs="Courier New" w:eastAsia="Courier New" w:hAnsi="Courier New"/>
          <w:sz w:val="16"/>
          <w:szCs w:val="16"/>
          <w:color w:val="auto"/>
        </w:rPr>
        <w:t>The board of directors of Texas Instruments Incorporated (the Company or TI) is requesting your proxy for the Annual Meeting of Stockholders (the Annual Meeting) on April 17, 1997. By executing and returning the enclosed proxy card, you authorize the persons named in the proxy to represent you and vote your shares in connection with the purposes set forth in the Notice of Annual Meeting.</w:t>
      </w:r>
    </w:p>
    <w:p>
      <w:pPr>
        <w:spacing w:after="0" w:line="79" w:lineRule="exact"/>
        <w:rPr>
          <w:sz w:val="20"/>
          <w:szCs w:val="20"/>
          <w:color w:val="auto"/>
        </w:rPr>
      </w:pPr>
    </w:p>
    <w:p>
      <w:pPr>
        <w:ind w:right="2499"/>
        <w:spacing w:after="0" w:line="269" w:lineRule="auto"/>
        <w:rPr>
          <w:sz w:val="20"/>
          <w:szCs w:val="20"/>
          <w:color w:val="auto"/>
        </w:rPr>
      </w:pPr>
      <w:r>
        <w:rPr>
          <w:rFonts w:ascii="Courier New" w:cs="Courier New" w:eastAsia="Courier New" w:hAnsi="Courier New"/>
          <w:sz w:val="16"/>
          <w:szCs w:val="16"/>
          <w:color w:val="auto"/>
        </w:rPr>
        <w:t>If you attend the meeting, you may of course vote in person. But, if you are not present, your shares can be voted only if you have returned a properly executed proxy. If a proxy in the accompanying form is duly executed and returned, the shares represented thereby will be voted as specified therein, and if no specification is made, the shares will be voted in accordance with the recommendations of the board of directors. You may revoke the proxy at any time before it is exercised.</w:t>
      </w:r>
    </w:p>
    <w:p>
      <w:pPr>
        <w:spacing w:after="0" w:line="8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ELECTION OF DIRECTORS</w:t>
      </w:r>
    </w:p>
    <w:p>
      <w:pPr>
        <w:spacing w:after="0" w:line="195" w:lineRule="exact"/>
        <w:rPr>
          <w:sz w:val="20"/>
          <w:szCs w:val="20"/>
          <w:color w:val="auto"/>
        </w:rPr>
      </w:pPr>
    </w:p>
    <w:p>
      <w:pPr>
        <w:ind w:right="2499"/>
        <w:spacing w:after="0" w:line="255" w:lineRule="auto"/>
        <w:rPr>
          <w:sz w:val="20"/>
          <w:szCs w:val="20"/>
          <w:color w:val="auto"/>
        </w:rPr>
      </w:pPr>
      <w:r>
        <w:rPr>
          <w:rFonts w:ascii="Courier New" w:cs="Courier New" w:eastAsia="Courier New" w:hAnsi="Courier New"/>
          <w:sz w:val="16"/>
          <w:szCs w:val="16"/>
          <w:color w:val="auto"/>
        </w:rPr>
        <w:t>Directors are to be elected at the Annual Meeting to hold office until the next Annual Meeting and until their successors are elected and qualified. Unless authority to vote for directors is withheld in the proxy, the persons named in the proxy will vote for the election of the following nominees, who have been designated by the board of directors: JAMES R. ADAMS, DAVID L. BOREN, JAMES B. BUSEY IV, THOMAS J. ENGIBOUS, GERALD W. FRONTERHOUSE, DAVID R. GOODE, GLORIA 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SHATTO, WILLIAM P. WEBER and CLAYTON K. YEUTTER.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Directorship</w:t>
      </w:r>
    </w:p>
    <w:p>
      <w:pPr>
        <w:spacing w:after="0" w:line="195" w:lineRule="exact"/>
        <w:rPr>
          <w:sz w:val="20"/>
          <w:szCs w:val="20"/>
          <w:color w:val="auto"/>
        </w:rPr>
      </w:pPr>
    </w:p>
    <w:p>
      <w:pPr>
        <w:ind w:right="2499"/>
        <w:spacing w:after="0" w:line="280" w:lineRule="auto"/>
        <w:rPr>
          <w:sz w:val="20"/>
          <w:szCs w:val="20"/>
          <w:color w:val="auto"/>
        </w:rPr>
      </w:pPr>
      <w:r>
        <w:rPr>
          <w:rFonts w:ascii="Courier New" w:cs="Courier New" w:eastAsia="Courier New" w:hAnsi="Courier New"/>
          <w:sz w:val="16"/>
          <w:szCs w:val="16"/>
          <w:color w:val="auto"/>
        </w:rPr>
        <w:t>All of the nominees for directorship are now directors of the Company. While it is not anticipated that any of the nominees will be unable to serve, if any nominee is not a candidate for election as a director at the meeting, the proxy will be voted for the election of a substitute nominee proposed by the present board of directors or the number of directors will be reduced accordingly.</w:t>
      </w:r>
    </w:p>
    <w:p>
      <w:pPr>
        <w:spacing w:after="0" w:line="258" w:lineRule="exact"/>
        <w:rPr>
          <w:sz w:val="20"/>
          <w:szCs w:val="20"/>
          <w:color w:val="auto"/>
        </w:rPr>
      </w:pPr>
    </w:p>
    <w:p>
      <w:pPr>
        <w:spacing w:after="0"/>
        <w:tabs>
          <w:tab w:leader="none" w:pos="3200" w:val="left"/>
          <w:tab w:leader="none" w:pos="4760" w:val="left"/>
        </w:tabs>
        <w:rPr>
          <w:sz w:val="20"/>
          <w:szCs w:val="20"/>
          <w:color w:val="auto"/>
        </w:rPr>
      </w:pPr>
      <w:r>
        <w:rPr>
          <w:rFonts w:ascii="Courier New" w:cs="Courier New" w:eastAsia="Courier New" w:hAnsi="Courier New"/>
          <w:sz w:val="16"/>
          <w:szCs w:val="16"/>
          <w:color w:val="auto"/>
        </w:rPr>
        <w:t>[Photo of J.R. Adams]</w:t>
      </w:r>
      <w:r>
        <w:rPr>
          <w:sz w:val="20"/>
          <w:szCs w:val="20"/>
          <w:color w:val="auto"/>
        </w:rPr>
        <w:tab/>
      </w:r>
      <w:r>
        <w:rPr>
          <w:rFonts w:ascii="Courier New" w:cs="Courier New" w:eastAsia="Courier New" w:hAnsi="Courier New"/>
          <w:sz w:val="16"/>
          <w:szCs w:val="16"/>
          <w:color w:val="auto"/>
        </w:rPr>
        <w:t>JAMES R. ADAMS</w:t>
        <w:tab/>
        <w:t>Chairman of the Board</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Member, Benefit Plans, Board Organization</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and Nominating and Finance Committees.</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Chairman of the Board of the Company since</w:t>
      </w:r>
    </w:p>
    <w:p>
      <w:pPr>
        <w:spacing w:after="0" w:line="37" w:lineRule="exact"/>
        <w:rPr>
          <w:sz w:val="20"/>
          <w:szCs w:val="20"/>
          <w:color w:val="auto"/>
        </w:rPr>
      </w:pPr>
    </w:p>
    <w:p>
      <w:pPr>
        <w:ind w:left="3220"/>
        <w:spacing w:after="0"/>
        <w:tabs>
          <w:tab w:leader="none" w:pos="4380" w:val="left"/>
        </w:tabs>
        <w:rPr>
          <w:sz w:val="20"/>
          <w:szCs w:val="20"/>
          <w:color w:val="auto"/>
        </w:rPr>
      </w:pPr>
      <w:r>
        <w:rPr>
          <w:rFonts w:ascii="Courier New" w:cs="Courier New" w:eastAsia="Courier New" w:hAnsi="Courier New"/>
          <w:sz w:val="16"/>
          <w:szCs w:val="16"/>
          <w:color w:val="auto"/>
        </w:rPr>
        <w:t>June 1996.</w:t>
        <w:tab/>
        <w:t>Group president, SBC</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Communications Inc. from 1992 until retirement</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 1995; president and chief executive officer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of Southwestern Bell Telephone Company,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1988-92.</w:t>
      </w:r>
    </w:p>
    <w:p>
      <w:pPr>
        <w:spacing w:after="0" w:line="165" w:lineRule="exact"/>
        <w:rPr>
          <w:sz w:val="20"/>
          <w:szCs w:val="20"/>
          <w:color w:val="auto"/>
        </w:rPr>
      </w:pPr>
    </w:p>
    <w:p>
      <w:pPr>
        <w:spacing w:after="0"/>
        <w:tabs>
          <w:tab w:leader="none" w:pos="3200" w:val="left"/>
          <w:tab w:leader="none" w:pos="4760" w:val="left"/>
        </w:tabs>
        <w:rPr>
          <w:sz w:val="20"/>
          <w:szCs w:val="20"/>
          <w:color w:val="auto"/>
        </w:rPr>
      </w:pPr>
      <w:r>
        <w:rPr>
          <w:rFonts w:ascii="Courier New" w:cs="Courier New" w:eastAsia="Courier New" w:hAnsi="Courier New"/>
          <w:sz w:val="16"/>
          <w:szCs w:val="16"/>
          <w:color w:val="auto"/>
        </w:rPr>
        <w:t>[Photo of D.L. Boren]</w:t>
      </w:r>
      <w:r>
        <w:rPr>
          <w:sz w:val="20"/>
          <w:szCs w:val="20"/>
          <w:color w:val="auto"/>
        </w:rPr>
        <w:tab/>
      </w:r>
      <w:r>
        <w:rPr>
          <w:rFonts w:ascii="Courier New" w:cs="Courier New" w:eastAsia="Courier New" w:hAnsi="Courier New"/>
          <w:sz w:val="16"/>
          <w:szCs w:val="16"/>
          <w:color w:val="auto"/>
        </w:rPr>
        <w:t>DAVID L. BOREN</w:t>
        <w:tab/>
        <w:t>Director</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Member, Compensation, Finance and Stockholder</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Relations and Public Policy Committees.</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President of the University of Oklahoma</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since 1994. U.S. Senator, 1979-1994;</w:t>
      </w:r>
    </w:p>
    <w:p>
      <w:pPr>
        <w:spacing w:after="0" w:line="7" w:lineRule="exact"/>
        <w:rPr>
          <w:sz w:val="20"/>
          <w:szCs w:val="20"/>
          <w:color w:val="auto"/>
        </w:rPr>
      </w:pPr>
    </w:p>
    <w:p>
      <w:pPr>
        <w:ind w:left="3220"/>
        <w:spacing w:after="0"/>
        <w:tabs>
          <w:tab w:leader="none" w:pos="6520" w:val="left"/>
        </w:tabs>
        <w:rPr>
          <w:sz w:val="20"/>
          <w:szCs w:val="20"/>
          <w:color w:val="auto"/>
        </w:rPr>
      </w:pPr>
      <w:r>
        <w:rPr>
          <w:rFonts w:ascii="Courier New" w:cs="Courier New" w:eastAsia="Courier New" w:hAnsi="Courier New"/>
          <w:sz w:val="16"/>
          <w:szCs w:val="16"/>
          <w:color w:val="auto"/>
        </w:rPr>
        <w:t>Governor of Oklahoma, 1975-1979.</w:t>
        <w:tab/>
        <w:t>Director,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AMR Corporation, Phillips Petroleum Company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and Torchmark Corporation; trustee,</w:t>
      </w:r>
    </w:p>
    <w:p>
      <w:pPr>
        <w:sectPr>
          <w:pgSz w:w="11900" w:h="16875" w:orient="portrait"/>
          <w:cols w:equalWidth="0" w:num="1">
            <w:col w:w="10219"/>
          </w:cols>
          <w:pgMar w:left="240" w:top="112" w:right="1440" w:bottom="0" w:gutter="0" w:footer="0" w:header="0"/>
        </w:sectPr>
      </w:pPr>
    </w:p>
    <w:bookmarkStart w:id="2" w:name="page3"/>
    <w:bookmarkEnd w:id="2"/>
    <w:p>
      <w:pPr>
        <w:ind w:left="3220"/>
        <w:spacing w:after="0"/>
        <w:rPr>
          <w:sz w:val="20"/>
          <w:szCs w:val="20"/>
          <w:color w:val="auto"/>
        </w:rPr>
      </w:pPr>
      <w:r>
        <w:rPr>
          <w:rFonts w:ascii="Courier New" w:cs="Courier New" w:eastAsia="Courier New" w:hAnsi="Courier New"/>
          <w:sz w:val="16"/>
          <w:szCs w:val="16"/>
          <w:color w:val="auto"/>
        </w:rPr>
        <w:t>Yale University.</w:t>
      </w:r>
    </w:p>
    <w:p>
      <w:pPr>
        <w:spacing w:after="0" w:line="195" w:lineRule="exact"/>
        <w:rPr>
          <w:sz w:val="20"/>
          <w:szCs w:val="20"/>
          <w:color w:val="auto"/>
        </w:rPr>
      </w:pPr>
    </w:p>
    <w:p>
      <w:pPr>
        <w:spacing w:after="0"/>
        <w:tabs>
          <w:tab w:leader="none" w:pos="3200" w:val="left"/>
          <w:tab w:leader="none" w:pos="5060" w:val="left"/>
        </w:tabs>
        <w:rPr>
          <w:sz w:val="20"/>
          <w:szCs w:val="20"/>
          <w:color w:val="auto"/>
        </w:rPr>
      </w:pPr>
      <w:r>
        <w:rPr>
          <w:rFonts w:ascii="Courier New" w:cs="Courier New" w:eastAsia="Courier New" w:hAnsi="Courier New"/>
          <w:sz w:val="16"/>
          <w:szCs w:val="16"/>
          <w:color w:val="auto"/>
        </w:rPr>
        <w:t>[Photo of J.B. Busey IV]</w:t>
      </w:r>
      <w:r>
        <w:rPr>
          <w:sz w:val="20"/>
          <w:szCs w:val="20"/>
          <w:color w:val="auto"/>
        </w:rPr>
        <w:tab/>
      </w:r>
      <w:r>
        <w:rPr>
          <w:rFonts w:ascii="Courier New" w:cs="Courier New" w:eastAsia="Courier New" w:hAnsi="Courier New"/>
          <w:sz w:val="16"/>
          <w:szCs w:val="16"/>
          <w:color w:val="auto"/>
        </w:rPr>
        <w:t>JAMES B. BUSEY IV</w:t>
        <w:tab/>
        <w:t>Director</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Chair, Board Organization and Nominating</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Committee; member, Audit and Finance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Committees.</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Retired from U.S. Navy as Admiral in 1989.</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President and chief executive officer, Armed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Forces Communications and Electronics</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Association, 1992-96; Deputy Secretary,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Department of Transportation, 1991-92;</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Administrator, Federal Aviation</w:t>
      </w:r>
    </w:p>
    <w:p>
      <w:pPr>
        <w:spacing w:after="0" w:line="7" w:lineRule="exact"/>
        <w:rPr>
          <w:sz w:val="20"/>
          <w:szCs w:val="20"/>
          <w:color w:val="auto"/>
        </w:rPr>
      </w:pPr>
    </w:p>
    <w:p>
      <w:pPr>
        <w:ind w:left="3220"/>
        <w:spacing w:after="0"/>
        <w:tabs>
          <w:tab w:leader="none" w:pos="5740" w:val="left"/>
        </w:tabs>
        <w:rPr>
          <w:sz w:val="20"/>
          <w:szCs w:val="20"/>
          <w:color w:val="auto"/>
        </w:rPr>
      </w:pPr>
      <w:r>
        <w:rPr>
          <w:rFonts w:ascii="Courier New" w:cs="Courier New" w:eastAsia="Courier New" w:hAnsi="Courier New"/>
          <w:sz w:val="16"/>
          <w:szCs w:val="16"/>
          <w:color w:val="auto"/>
        </w:rPr>
        <w:t>Administration, 1989-91.</w:t>
        <w:tab/>
        <w:t>Director,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Association of Naval Aviation,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Curtiss-Wright Corporation and S.T. Research</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Corporation; trustee, MITRE Corporation.</w:t>
      </w:r>
    </w:p>
    <w:p>
      <w:pPr>
        <w:sectPr>
          <w:pgSz w:w="11900" w:h="16838" w:orient="portrait"/>
          <w:cols w:equalWidth="0" w:num="1">
            <w:col w:w="10219"/>
          </w:cols>
          <w:pgMar w:left="240" w:top="112"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[Photo of T.J. Engibous]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J. ENGIBOUS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w:t>
      </w:r>
    </w:p>
    <w:p>
      <w:pPr>
        <w:spacing w:after="0" w:line="165" w:lineRule="exact"/>
        <w:rPr>
          <w:sz w:val="20"/>
          <w:szCs w:val="20"/>
          <w:color w:val="auto"/>
        </w:rPr>
      </w:pPr>
    </w:p>
    <w:p>
      <w:pPr>
        <w:sectPr>
          <w:pgSz w:w="11900" w:h="16838" w:orient="portrait"/>
          <w:cols w:equalWidth="0" w:num="3">
            <w:col w:w="2500" w:space="720"/>
            <w:col w:w="1760" w:space="200"/>
            <w:col w:w="5039"/>
          </w:cols>
          <w:pgMar w:left="240" w:top="112"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6"/>
          <w:szCs w:val="16"/>
          <w:color w:val="auto"/>
        </w:rPr>
        <w:t>Member, Benefit Plans and Finance Committees.</w:t>
      </w:r>
    </w:p>
    <w:p>
      <w:pPr>
        <w:sectPr>
          <w:pgSz w:w="11900" w:h="16838" w:orient="portrait"/>
          <w:cols w:equalWidth="0" w:num="1">
            <w:col w:w="10219"/>
          </w:cols>
          <w:pgMar w:left="240" w:top="112" w:right="1440" w:bottom="1440" w:gutter="0" w:footer="0" w:header="0"/>
          <w:type w:val="continuous"/>
        </w:sectPr>
      </w:pP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President and chief executive officer of the</w:t>
      </w:r>
    </w:p>
    <w:p>
      <w:pPr>
        <w:spacing w:after="0" w:line="37" w:lineRule="exact"/>
        <w:rPr>
          <w:sz w:val="20"/>
          <w:szCs w:val="20"/>
          <w:color w:val="auto"/>
        </w:rPr>
      </w:pPr>
    </w:p>
    <w:p>
      <w:pPr>
        <w:ind w:left="3220"/>
        <w:spacing w:after="0"/>
        <w:tabs>
          <w:tab w:leader="none" w:pos="5740" w:val="left"/>
        </w:tabs>
        <w:rPr>
          <w:sz w:val="20"/>
          <w:szCs w:val="20"/>
          <w:color w:val="auto"/>
        </w:rPr>
      </w:pPr>
      <w:r>
        <w:rPr>
          <w:rFonts w:ascii="Courier New" w:cs="Courier New" w:eastAsia="Courier New" w:hAnsi="Courier New"/>
          <w:sz w:val="16"/>
          <w:szCs w:val="16"/>
          <w:color w:val="auto"/>
        </w:rPr>
        <w:t>Company since June 1996.</w:t>
        <w:tab/>
        <w:t>Joined the Company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 1976; elected executive vice president in</w:t>
      </w:r>
    </w:p>
    <w:p>
      <w:pPr>
        <w:spacing w:after="0" w:line="7" w:lineRule="exact"/>
        <w:rPr>
          <w:sz w:val="20"/>
          <w:szCs w:val="20"/>
          <w:color w:val="auto"/>
        </w:rPr>
      </w:pPr>
    </w:p>
    <w:p>
      <w:pPr>
        <w:ind w:left="3220"/>
        <w:spacing w:after="0"/>
        <w:tabs>
          <w:tab w:leader="none" w:pos="3880" w:val="left"/>
        </w:tabs>
        <w:rPr>
          <w:sz w:val="20"/>
          <w:szCs w:val="20"/>
          <w:color w:val="auto"/>
        </w:rPr>
      </w:pPr>
      <w:r>
        <w:rPr>
          <w:rFonts w:ascii="Courier New" w:cs="Courier New" w:eastAsia="Courier New" w:hAnsi="Courier New"/>
          <w:sz w:val="16"/>
          <w:szCs w:val="16"/>
          <w:color w:val="auto"/>
        </w:rPr>
        <w:t>1993.</w:t>
        <w:tab/>
        <w:t>Member, The Business Roundtable.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spacing w:after="0"/>
        <w:tabs>
          <w:tab w:leader="none" w:pos="3200" w:val="left"/>
          <w:tab w:leader="none" w:pos="5560" w:val="left"/>
        </w:tabs>
        <w:rPr>
          <w:sz w:val="20"/>
          <w:szCs w:val="20"/>
          <w:color w:val="auto"/>
        </w:rPr>
      </w:pPr>
      <w:r>
        <w:rPr>
          <w:rFonts w:ascii="Courier New" w:cs="Courier New" w:eastAsia="Courier New" w:hAnsi="Courier New"/>
          <w:sz w:val="16"/>
          <w:szCs w:val="16"/>
          <w:color w:val="auto"/>
        </w:rPr>
        <w:t>[Photo of G.W. Fronterhouse]</w:t>
      </w:r>
      <w:r>
        <w:rPr>
          <w:sz w:val="20"/>
          <w:szCs w:val="20"/>
          <w:color w:val="auto"/>
        </w:rPr>
        <w:tab/>
      </w:r>
      <w:r>
        <w:rPr>
          <w:rFonts w:ascii="Courier New" w:cs="Courier New" w:eastAsia="Courier New" w:hAnsi="Courier New"/>
          <w:sz w:val="16"/>
          <w:szCs w:val="16"/>
          <w:color w:val="auto"/>
        </w:rPr>
        <w:t>GERALD W. FRONTERHOUSE</w:t>
        <w:tab/>
        <w:t>Director</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Chair, Compensation and Trust Review</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Committees; member, Stockholder Relations and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Public Policy Committee.</w:t>
      </w:r>
    </w:p>
    <w:p>
      <w:pPr>
        <w:spacing w:after="0" w:line="165" w:lineRule="exact"/>
        <w:rPr>
          <w:sz w:val="20"/>
          <w:szCs w:val="20"/>
          <w:color w:val="auto"/>
        </w:rPr>
      </w:pPr>
    </w:p>
    <w:p>
      <w:pPr>
        <w:ind w:left="3220"/>
        <w:spacing w:after="0"/>
        <w:tabs>
          <w:tab w:leader="none" w:pos="4580" w:val="left"/>
        </w:tabs>
        <w:rPr>
          <w:sz w:val="20"/>
          <w:szCs w:val="20"/>
          <w:color w:val="auto"/>
        </w:rPr>
      </w:pPr>
      <w:r>
        <w:rPr>
          <w:rFonts w:ascii="Courier New" w:cs="Courier New" w:eastAsia="Courier New" w:hAnsi="Courier New"/>
          <w:sz w:val="16"/>
          <w:szCs w:val="16"/>
          <w:color w:val="auto"/>
        </w:rPr>
        <w:t>Investments.</w:t>
        <w:tab/>
        <w:t>Former chief executive officer</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(1985-88) of First RepublicBank Corporation.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President and director, Hoblitzelle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Foundation.</w:t>
      </w:r>
    </w:p>
    <w:p>
      <w:pPr>
        <w:spacing w:after="0" w:line="165" w:lineRule="exact"/>
        <w:rPr>
          <w:sz w:val="20"/>
          <w:szCs w:val="20"/>
          <w:color w:val="auto"/>
        </w:rPr>
      </w:pPr>
    </w:p>
    <w:p>
      <w:pPr>
        <w:spacing w:after="0"/>
        <w:tabs>
          <w:tab w:leader="none" w:pos="3200" w:val="left"/>
          <w:tab w:leader="none" w:pos="4760" w:val="left"/>
        </w:tabs>
        <w:rPr>
          <w:sz w:val="20"/>
          <w:szCs w:val="20"/>
          <w:color w:val="auto"/>
        </w:rPr>
      </w:pPr>
      <w:r>
        <w:rPr>
          <w:rFonts w:ascii="Courier New" w:cs="Courier New" w:eastAsia="Courier New" w:hAnsi="Courier New"/>
          <w:sz w:val="16"/>
          <w:szCs w:val="16"/>
          <w:color w:val="auto"/>
        </w:rPr>
        <w:t>[Photo of D.R. Goode]</w:t>
      </w:r>
      <w:r>
        <w:rPr>
          <w:sz w:val="20"/>
          <w:szCs w:val="20"/>
          <w:color w:val="auto"/>
        </w:rPr>
        <w:tab/>
      </w:r>
      <w:r>
        <w:rPr>
          <w:rFonts w:ascii="Courier New" w:cs="Courier New" w:eastAsia="Courier New" w:hAnsi="Courier New"/>
          <w:sz w:val="16"/>
          <w:szCs w:val="16"/>
          <w:color w:val="auto"/>
        </w:rPr>
        <w:t>DAVID R. GOODE</w:t>
        <w:tab/>
        <w:t>Director</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Member, Board Organization and Nominating,</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Compensation and Finance Committees.</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Chairman of the board and chief executive</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officer of Norfolk Southern Corporation since</w:t>
      </w:r>
    </w:p>
    <w:p>
      <w:pPr>
        <w:spacing w:after="0" w:line="7" w:lineRule="exact"/>
        <w:rPr>
          <w:sz w:val="20"/>
          <w:szCs w:val="20"/>
          <w:color w:val="auto"/>
        </w:rPr>
      </w:pPr>
    </w:p>
    <w:p>
      <w:pPr>
        <w:ind w:left="3220"/>
        <w:spacing w:after="0"/>
        <w:tabs>
          <w:tab w:leader="none" w:pos="6620" w:val="left"/>
        </w:tabs>
        <w:rPr>
          <w:sz w:val="20"/>
          <w:szCs w:val="20"/>
          <w:color w:val="auto"/>
        </w:rPr>
      </w:pPr>
      <w:r>
        <w:rPr>
          <w:rFonts w:ascii="Courier New" w:cs="Courier New" w:eastAsia="Courier New" w:hAnsi="Courier New"/>
          <w:sz w:val="16"/>
          <w:szCs w:val="16"/>
          <w:color w:val="auto"/>
        </w:rPr>
        <w:t>1992; also, president since 1991.</w:t>
        <w:tab/>
        <w:t>Director,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Caterpillar, Inc., Georgia-Pacific</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Corporation and TRINOVA Corporation; member,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The Business Council and The Business</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Roundtable; trustee, Hollins College.</w:t>
      </w:r>
    </w:p>
    <w:p>
      <w:pPr>
        <w:spacing w:after="0" w:line="165" w:lineRule="exact"/>
        <w:rPr>
          <w:sz w:val="20"/>
          <w:szCs w:val="20"/>
          <w:color w:val="auto"/>
        </w:rPr>
      </w:pPr>
    </w:p>
    <w:p>
      <w:pPr>
        <w:spacing w:after="0"/>
        <w:tabs>
          <w:tab w:leader="none" w:pos="3200" w:val="left"/>
          <w:tab w:leader="none" w:pos="4960" w:val="left"/>
        </w:tabs>
        <w:rPr>
          <w:sz w:val="20"/>
          <w:szCs w:val="20"/>
          <w:color w:val="auto"/>
        </w:rPr>
      </w:pPr>
      <w:r>
        <w:rPr>
          <w:rFonts w:ascii="Courier New" w:cs="Courier New" w:eastAsia="Courier New" w:hAnsi="Courier New"/>
          <w:sz w:val="16"/>
          <w:szCs w:val="16"/>
          <w:color w:val="auto"/>
        </w:rPr>
        <w:t>[Photo of G.M. Shatto]</w:t>
      </w:r>
      <w:r>
        <w:rPr>
          <w:sz w:val="20"/>
          <w:szCs w:val="20"/>
          <w:color w:val="auto"/>
        </w:rPr>
        <w:tab/>
      </w:r>
      <w:r>
        <w:rPr>
          <w:rFonts w:ascii="Courier New" w:cs="Courier New" w:eastAsia="Courier New" w:hAnsi="Courier New"/>
          <w:sz w:val="16"/>
          <w:szCs w:val="16"/>
          <w:color w:val="auto"/>
        </w:rPr>
        <w:t>GLORIA M. SHATTO</w:t>
        <w:tab/>
        <w:t>Director</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Chair, Stockholder Relations and Public Policy</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Committee; member Audit, Board Organization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and Nominating and Trust Review Committees.</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President of Berry College since 1980.</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Director, Becton Dickinson and Company,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Georgia Power Company and The Southern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Company.</w:t>
      </w:r>
    </w:p>
    <w:p>
      <w:pPr>
        <w:spacing w:after="0" w:line="165" w:lineRule="exact"/>
        <w:rPr>
          <w:sz w:val="20"/>
          <w:szCs w:val="20"/>
          <w:color w:val="auto"/>
        </w:rPr>
      </w:pPr>
    </w:p>
    <w:p>
      <w:pPr>
        <w:spacing w:after="0"/>
        <w:tabs>
          <w:tab w:leader="none" w:pos="3200" w:val="left"/>
          <w:tab w:leader="none" w:pos="4960" w:val="left"/>
        </w:tabs>
        <w:rPr>
          <w:sz w:val="20"/>
          <w:szCs w:val="20"/>
          <w:color w:val="auto"/>
        </w:rPr>
      </w:pPr>
      <w:r>
        <w:rPr>
          <w:rFonts w:ascii="Courier New" w:cs="Courier New" w:eastAsia="Courier New" w:hAnsi="Courier New"/>
          <w:sz w:val="16"/>
          <w:szCs w:val="16"/>
          <w:color w:val="auto"/>
        </w:rPr>
        <w:t>[Photo of W.P. Weber]</w:t>
      </w:r>
      <w:r>
        <w:rPr>
          <w:sz w:val="20"/>
          <w:szCs w:val="20"/>
          <w:color w:val="auto"/>
        </w:rPr>
        <w:tab/>
      </w:r>
      <w:r>
        <w:rPr>
          <w:rFonts w:ascii="Courier New" w:cs="Courier New" w:eastAsia="Courier New" w:hAnsi="Courier New"/>
          <w:sz w:val="16"/>
          <w:szCs w:val="16"/>
          <w:color w:val="auto"/>
        </w:rPr>
        <w:t>WILLIAM P. WEBER</w:t>
        <w:tab/>
        <w:t>Vice Chairman</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Chair, Benefit Plans and Finance Committees.</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Vice chairman of the Company since 1993.</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Joined the Company in 1962; elected vice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president in 1979 and executive vice president</w:t>
      </w:r>
    </w:p>
    <w:p>
      <w:pPr>
        <w:spacing w:after="0" w:line="7" w:lineRule="exact"/>
        <w:rPr>
          <w:sz w:val="20"/>
          <w:szCs w:val="20"/>
          <w:color w:val="auto"/>
        </w:rPr>
      </w:pPr>
    </w:p>
    <w:p>
      <w:pPr>
        <w:ind w:left="3220"/>
        <w:spacing w:after="0"/>
        <w:tabs>
          <w:tab w:leader="none" w:pos="4180" w:val="left"/>
        </w:tabs>
        <w:rPr>
          <w:sz w:val="20"/>
          <w:szCs w:val="20"/>
          <w:color w:val="auto"/>
        </w:rPr>
      </w:pPr>
      <w:r>
        <w:rPr>
          <w:rFonts w:ascii="Courier New" w:cs="Courier New" w:eastAsia="Courier New" w:hAnsi="Courier New"/>
          <w:sz w:val="16"/>
          <w:szCs w:val="16"/>
          <w:color w:val="auto"/>
        </w:rPr>
        <w:t>in 1984.</w:t>
        <w:tab/>
        <w:t>Director, Kmart Corporation and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Semiconductor Industry Association.</w:t>
      </w:r>
    </w:p>
    <w:p>
      <w:pPr>
        <w:sectPr>
          <w:pgSz w:w="11900" w:h="16838" w:orient="portrait"/>
          <w:cols w:equalWidth="0" w:num="1">
            <w:col w:w="10219"/>
          </w:cols>
          <w:pgMar w:left="240" w:top="112" w:right="1440" w:bottom="1440" w:gutter="0" w:footer="0" w:header="0"/>
          <w:type w:val="continuous"/>
        </w:sectPr>
      </w:pPr>
    </w:p>
    <w:bookmarkStart w:id="3" w:name="page4"/>
    <w:bookmarkEnd w:id="3"/>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spacing w:after="0"/>
        <w:tabs>
          <w:tab w:leader="none" w:pos="3200" w:val="left"/>
          <w:tab w:leader="none" w:pos="5160" w:val="left"/>
        </w:tabs>
        <w:rPr>
          <w:sz w:val="20"/>
          <w:szCs w:val="20"/>
          <w:color w:val="auto"/>
        </w:rPr>
      </w:pPr>
      <w:r>
        <w:rPr>
          <w:rFonts w:ascii="Courier New" w:cs="Courier New" w:eastAsia="Courier New" w:hAnsi="Courier New"/>
          <w:sz w:val="16"/>
          <w:szCs w:val="16"/>
          <w:color w:val="auto"/>
        </w:rPr>
        <w:t>[Photo of C.K. Yeutter]</w:t>
      </w:r>
      <w:r>
        <w:rPr>
          <w:sz w:val="20"/>
          <w:szCs w:val="20"/>
          <w:color w:val="auto"/>
        </w:rPr>
        <w:tab/>
      </w:r>
      <w:r>
        <w:rPr>
          <w:rFonts w:ascii="Courier New" w:cs="Courier New" w:eastAsia="Courier New" w:hAnsi="Courier New"/>
          <w:sz w:val="16"/>
          <w:szCs w:val="16"/>
          <w:color w:val="auto"/>
        </w:rPr>
        <w:t>CLAYTON K. YEUTTER</w:t>
        <w:tab/>
        <w:t>Director</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Chair, Audit Committee; member, Stockholder</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Relations and Public Policy and Trust Review</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Committees.</w:t>
      </w:r>
    </w:p>
    <w:p>
      <w:pPr>
        <w:spacing w:after="0" w:line="165" w:lineRule="exact"/>
        <w:rPr>
          <w:sz w:val="20"/>
          <w:szCs w:val="20"/>
          <w:color w:val="auto"/>
        </w:rPr>
      </w:pPr>
    </w:p>
    <w:p>
      <w:pPr>
        <w:ind w:left="3220"/>
        <w:spacing w:after="0"/>
        <w:tabs>
          <w:tab w:leader="none" w:pos="6140" w:val="left"/>
        </w:tabs>
        <w:rPr>
          <w:sz w:val="20"/>
          <w:szCs w:val="20"/>
          <w:color w:val="auto"/>
        </w:rPr>
      </w:pPr>
      <w:r>
        <w:rPr>
          <w:rFonts w:ascii="Courier New" w:cs="Courier New" w:eastAsia="Courier New" w:hAnsi="Courier New"/>
          <w:sz w:val="16"/>
          <w:szCs w:val="16"/>
          <w:color w:val="auto"/>
        </w:rPr>
        <w:t>Of counsel, Hogan &amp; Hartson.</w:t>
        <w:tab/>
        <w:t>Counselor to</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President Bush for domestic policy during</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1992; chairman, Republican National Committee,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1991-92; Secretary, Department of Agriculture,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1989-91; U.S. Trade Representative, 1985-89.</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Director, B.A.T. Industries P.L.C.,</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Caterpillar Inc., ConAgra, Inc., FMC</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Corporation, IMC Global Inc. and Oppenheimer</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Funds.</w:t>
      </w:r>
    </w:p>
    <w:p>
      <w:pPr>
        <w:spacing w:after="0" w:line="165" w:lineRule="exact"/>
        <w:rPr>
          <w:sz w:val="20"/>
          <w:szCs w:val="20"/>
          <w:color w:val="auto"/>
        </w:rPr>
      </w:pPr>
    </w:p>
    <w:p>
      <w:pPr>
        <w:ind w:right="2879"/>
        <w:spacing w:after="0" w:line="373" w:lineRule="auto"/>
        <w:rPr>
          <w:sz w:val="20"/>
          <w:szCs w:val="20"/>
          <w:color w:val="auto"/>
        </w:rPr>
      </w:pPr>
      <w:r>
        <w:rPr>
          <w:rFonts w:ascii="Courier New" w:cs="Courier New" w:eastAsia="Courier New" w:hAnsi="Courier New"/>
          <w:sz w:val="16"/>
          <w:szCs w:val="16"/>
          <w:color w:val="auto"/>
        </w:rPr>
        <w:t>The ages and holdings of common stock of the nominees and the year in which each became a director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Director</w:t>
            </w:r>
          </w:p>
        </w:tc>
        <w:tc>
          <w:tcPr>
            <w:tcW w:w="2160" w:type="dxa"/>
            <w:vAlign w:val="bottom"/>
          </w:tcPr>
          <w:p>
            <w:pPr>
              <w:ind w:left="400"/>
              <w:spacing w:after="0"/>
              <w:rPr>
                <w:sz w:val="20"/>
                <w:szCs w:val="20"/>
                <w:color w:val="auto"/>
              </w:rPr>
            </w:pPr>
            <w:r>
              <w:rPr>
                <w:rFonts w:ascii="Courier New" w:cs="Courier New" w:eastAsia="Courier New" w:hAnsi="Courier New"/>
                <w:sz w:val="16"/>
                <w:szCs w:val="16"/>
                <w:color w:val="auto"/>
              </w:rPr>
              <w:t>Common Stock</w:t>
            </w:r>
          </w:p>
        </w:tc>
        <w:tc>
          <w:tcPr>
            <w:tcW w:w="0" w:type="dxa"/>
            <w:vAlign w:val="bottom"/>
          </w:tcPr>
          <w:p>
            <w:pPr>
              <w:spacing w:after="0"/>
              <w:rPr>
                <w:sz w:val="1"/>
                <w:szCs w:val="1"/>
                <w:color w:val="auto"/>
              </w:rPr>
            </w:pPr>
          </w:p>
        </w:tc>
      </w:tr>
      <w:tr>
        <w:trPr>
          <w:trHeight w:val="188"/>
        </w:trPr>
        <w:tc>
          <w:tcPr>
            <w:tcW w:w="2500" w:type="dxa"/>
            <w:vAlign w:val="bottom"/>
            <w:vMerge w:val="restart"/>
          </w:tcPr>
          <w:p>
            <w:pPr>
              <w:ind w:left="680"/>
              <w:spacing w:after="0"/>
              <w:rPr>
                <w:sz w:val="20"/>
                <w:szCs w:val="20"/>
                <w:color w:val="auto"/>
              </w:rPr>
            </w:pPr>
            <w:r>
              <w:rPr>
                <w:rFonts w:ascii="Courier New" w:cs="Courier New" w:eastAsia="Courier New" w:hAnsi="Courier New"/>
                <w:sz w:val="16"/>
                <w:szCs w:val="16"/>
                <w:color w:val="auto"/>
              </w:rPr>
              <w:t>Nominee</w:t>
            </w:r>
          </w:p>
        </w:tc>
        <w:tc>
          <w:tcPr>
            <w:tcW w:w="9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Age</w:t>
            </w:r>
          </w:p>
        </w:tc>
        <w:tc>
          <w:tcPr>
            <w:tcW w:w="1520" w:type="dxa"/>
            <w:vAlign w:val="bottom"/>
            <w:vMerge w:val="continue"/>
          </w:tcPr>
          <w:p>
            <w:pPr>
              <w:spacing w:after="0"/>
              <w:rPr>
                <w:sz w:val="16"/>
                <w:szCs w:val="16"/>
                <w:color w:val="auto"/>
              </w:rPr>
            </w:pPr>
          </w:p>
        </w:tc>
        <w:tc>
          <w:tcPr>
            <w:tcW w:w="2160" w:type="dxa"/>
            <w:vAlign w:val="bottom"/>
          </w:tcPr>
          <w:p>
            <w:pPr>
              <w:ind w:left="400"/>
              <w:spacing w:after="0"/>
              <w:rPr>
                <w:sz w:val="20"/>
                <w:szCs w:val="20"/>
                <w:color w:val="auto"/>
              </w:rPr>
            </w:pPr>
            <w:r>
              <w:rPr>
                <w:rFonts w:ascii="Courier New" w:cs="Courier New" w:eastAsia="Courier New" w:hAnsi="Courier New"/>
                <w:sz w:val="16"/>
                <w:szCs w:val="16"/>
                <w:color w:val="auto"/>
              </w:rPr>
              <w:t>Ownership at</w:t>
            </w:r>
          </w:p>
        </w:tc>
        <w:tc>
          <w:tcPr>
            <w:tcW w:w="0" w:type="dxa"/>
            <w:vAlign w:val="bottom"/>
          </w:tcPr>
          <w:p>
            <w:pPr>
              <w:spacing w:after="0"/>
              <w:rPr>
                <w:sz w:val="1"/>
                <w:szCs w:val="1"/>
                <w:color w:val="auto"/>
              </w:rPr>
            </w:pPr>
          </w:p>
        </w:tc>
      </w:tr>
      <w:tr>
        <w:trPr>
          <w:trHeight w:val="188"/>
        </w:trPr>
        <w:tc>
          <w:tcPr>
            <w:tcW w:w="25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5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Since</w:t>
            </w:r>
          </w:p>
        </w:tc>
        <w:tc>
          <w:tcPr>
            <w:tcW w:w="2160" w:type="dxa"/>
            <w:vAlign w:val="bottom"/>
          </w:tcPr>
          <w:p>
            <w:pPr>
              <w:ind w:left="400"/>
              <w:spacing w:after="0"/>
              <w:rPr>
                <w:sz w:val="20"/>
                <w:szCs w:val="20"/>
                <w:color w:val="auto"/>
              </w:rPr>
            </w:pPr>
            <w:r>
              <w:rPr>
                <w:rFonts w:ascii="Courier New" w:cs="Courier New" w:eastAsia="Courier New" w:hAnsi="Courier New"/>
                <w:sz w:val="16"/>
                <w:szCs w:val="16"/>
                <w:color w:val="auto"/>
              </w:rPr>
              <w:t>December 31, 1996*</w:t>
            </w:r>
          </w:p>
        </w:tc>
        <w:tc>
          <w:tcPr>
            <w:tcW w:w="0" w:type="dxa"/>
            <w:vAlign w:val="bottom"/>
          </w:tcPr>
          <w:p>
            <w:pPr>
              <w:spacing w:after="0"/>
              <w:rPr>
                <w:sz w:val="1"/>
                <w:szCs w:val="1"/>
                <w:color w:val="auto"/>
              </w:rPr>
            </w:pPr>
          </w:p>
        </w:tc>
      </w:tr>
      <w:tr>
        <w:trPr>
          <w:trHeight w:val="276"/>
        </w:trPr>
        <w:tc>
          <w:tcPr>
            <w:tcW w:w="250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James R. Adams</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57</w:t>
            </w:r>
          </w:p>
        </w:tc>
        <w:tc>
          <w:tcPr>
            <w:tcW w:w="15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1989</w:t>
            </w:r>
          </w:p>
        </w:tc>
        <w:tc>
          <w:tcPr>
            <w:tcW w:w="2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7,314</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David L. Boren</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55</w:t>
            </w:r>
          </w:p>
        </w:tc>
        <w:tc>
          <w:tcPr>
            <w:tcW w:w="15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1995</w:t>
            </w:r>
          </w:p>
        </w:tc>
        <w:tc>
          <w:tcPr>
            <w:tcW w:w="2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2,926</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James B. Busey IV</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w:t>
            </w:r>
          </w:p>
        </w:tc>
        <w:tc>
          <w:tcPr>
            <w:tcW w:w="15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1992</w:t>
            </w:r>
          </w:p>
        </w:tc>
        <w:tc>
          <w:tcPr>
            <w:tcW w:w="2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4,066</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Thomas J. Engibous</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44</w:t>
            </w:r>
          </w:p>
        </w:tc>
        <w:tc>
          <w:tcPr>
            <w:tcW w:w="15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1996</w:t>
            </w:r>
          </w:p>
        </w:tc>
        <w:tc>
          <w:tcPr>
            <w:tcW w:w="2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103,444</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Gerald W. Fronterhouse</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60</w:t>
            </w:r>
          </w:p>
        </w:tc>
        <w:tc>
          <w:tcPr>
            <w:tcW w:w="15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1986</w:t>
            </w:r>
          </w:p>
        </w:tc>
        <w:tc>
          <w:tcPr>
            <w:tcW w:w="2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5,653</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David R. Goode</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56</w:t>
            </w:r>
          </w:p>
        </w:tc>
        <w:tc>
          <w:tcPr>
            <w:tcW w:w="15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1996</w:t>
            </w:r>
          </w:p>
        </w:tc>
        <w:tc>
          <w:tcPr>
            <w:tcW w:w="2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1,470</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Gloria M. Shatto</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65</w:t>
            </w:r>
          </w:p>
        </w:tc>
        <w:tc>
          <w:tcPr>
            <w:tcW w:w="15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1992</w:t>
            </w:r>
          </w:p>
        </w:tc>
        <w:tc>
          <w:tcPr>
            <w:tcW w:w="2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3,626</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William P. Weber</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56</w:t>
            </w:r>
          </w:p>
        </w:tc>
        <w:tc>
          <w:tcPr>
            <w:tcW w:w="15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1984</w:t>
            </w:r>
          </w:p>
        </w:tc>
        <w:tc>
          <w:tcPr>
            <w:tcW w:w="2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151,112</w:t>
            </w:r>
          </w:p>
        </w:tc>
        <w:tc>
          <w:tcPr>
            <w:tcW w:w="0" w:type="dxa"/>
            <w:vAlign w:val="bottom"/>
          </w:tcPr>
          <w:p>
            <w:pPr>
              <w:spacing w:after="0"/>
              <w:rPr>
                <w:sz w:val="1"/>
                <w:szCs w:val="1"/>
                <w:color w:val="auto"/>
              </w:rPr>
            </w:pPr>
          </w:p>
        </w:tc>
      </w:tr>
      <w:tr>
        <w:trPr>
          <w:trHeight w:val="276"/>
        </w:trPr>
        <w:tc>
          <w:tcPr>
            <w:tcW w:w="2500" w:type="dxa"/>
            <w:vAlign w:val="bottom"/>
          </w:tcPr>
          <w:p>
            <w:pPr>
              <w:spacing w:after="0"/>
              <w:rPr>
                <w:sz w:val="20"/>
                <w:szCs w:val="20"/>
                <w:color w:val="auto"/>
              </w:rPr>
            </w:pPr>
            <w:r>
              <w:rPr>
                <w:rFonts w:ascii="Courier New" w:cs="Courier New" w:eastAsia="Courier New" w:hAnsi="Courier New"/>
                <w:sz w:val="16"/>
                <w:szCs w:val="16"/>
                <w:color w:val="auto"/>
              </w:rPr>
              <w:t>Clayton K. Yeutter</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66</w:t>
            </w:r>
          </w:p>
        </w:tc>
        <w:tc>
          <w:tcPr>
            <w:tcW w:w="15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1992</w:t>
            </w:r>
          </w:p>
        </w:tc>
        <w:tc>
          <w:tcPr>
            <w:tcW w:w="2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4,226</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tabs>
          <w:tab w:leader="none" w:pos="6140" w:val="left"/>
        </w:tabs>
        <w:rPr>
          <w:sz w:val="20"/>
          <w:szCs w:val="20"/>
          <w:color w:val="auto"/>
        </w:rPr>
      </w:pPr>
      <w:r>
        <w:rPr>
          <w:rFonts w:ascii="Courier New" w:cs="Courier New" w:eastAsia="Courier New" w:hAnsi="Courier New"/>
          <w:sz w:val="16"/>
          <w:szCs w:val="16"/>
          <w:color w:val="auto"/>
        </w:rPr>
        <w:t>*Includes any shares subject to restricted stock unit awards.</w:t>
      </w:r>
      <w:r>
        <w:rPr>
          <w:sz w:val="20"/>
          <w:szCs w:val="20"/>
          <w:color w:val="auto"/>
        </w:rPr>
        <w:tab/>
      </w:r>
      <w:r>
        <w:rPr>
          <w:rFonts w:ascii="Courier New" w:cs="Courier New" w:eastAsia="Courier New" w:hAnsi="Courier New"/>
          <w:sz w:val="15"/>
          <w:szCs w:val="15"/>
          <w:color w:val="auto"/>
        </w:rPr>
        <w:t>Also</w:t>
      </w:r>
    </w:p>
    <w:p>
      <w:pPr>
        <w:spacing w:after="0" w:line="37"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includes shares subject to acquisition within 60 days by Messrs. Engibous and Weber for 72,000 and 131,500 shares, respectively, and shares credited to profit sharing stock accounts for Messrs. Engibous and Weber in the amounts of 2,124 and 6,088, respectively. Excludes shares held by a family member or trust if a director has disclaimed beneficial ownership. Each nominee and director owns less than 1% of the Company's common stock.</w:t>
      </w: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and Committee Meetings</w:t>
      </w:r>
    </w:p>
    <w:p>
      <w:pPr>
        <w:spacing w:after="0" w:line="195" w:lineRule="exact"/>
        <w:rPr>
          <w:sz w:val="20"/>
          <w:szCs w:val="20"/>
          <w:color w:val="auto"/>
        </w:rPr>
      </w:pPr>
    </w:p>
    <w:p>
      <w:pPr>
        <w:ind w:right="2799"/>
        <w:spacing w:after="0" w:line="311" w:lineRule="auto"/>
        <w:rPr>
          <w:sz w:val="20"/>
          <w:szCs w:val="20"/>
          <w:color w:val="auto"/>
        </w:rPr>
      </w:pPr>
      <w:r>
        <w:rPr>
          <w:rFonts w:ascii="Courier New" w:cs="Courier New" w:eastAsia="Courier New" w:hAnsi="Courier New"/>
          <w:sz w:val="16"/>
          <w:szCs w:val="16"/>
          <w:color w:val="auto"/>
        </w:rPr>
        <w:t>During 1996, the board held thirteen meetings. In addition, the following committees of the board held the number of meetings indicated: Audit, six; Benefit Plans, three; Board Organization and Nominating, nine; Compensation,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4</w:t>
      </w:r>
    </w:p>
    <w:p>
      <w:pPr>
        <w:spacing w:after="0" w:line="195" w:lineRule="exact"/>
        <w:rPr>
          <w:sz w:val="20"/>
          <w:szCs w:val="20"/>
          <w:color w:val="auto"/>
        </w:rPr>
      </w:pPr>
    </w:p>
    <w:p>
      <w:pPr>
        <w:ind w:right="2599"/>
        <w:spacing w:after="0" w:line="311" w:lineRule="auto"/>
        <w:rPr>
          <w:sz w:val="20"/>
          <w:szCs w:val="20"/>
          <w:color w:val="auto"/>
        </w:rPr>
      </w:pPr>
      <w:r>
        <w:rPr>
          <w:rFonts w:ascii="Courier New" w:cs="Courier New" w:eastAsia="Courier New" w:hAnsi="Courier New"/>
          <w:sz w:val="16"/>
          <w:szCs w:val="16"/>
          <w:color w:val="auto"/>
        </w:rPr>
        <w:t>seven; Finance, five; Stockholder Relations and Public Policy, four; and Trust Review, three. Overall attendance at board and committee meetings was approximately 94%.</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Board</w:t>
      </w:r>
    </w:p>
    <w:p>
      <w:pPr>
        <w:spacing w:after="0" w:line="195" w:lineRule="exact"/>
        <w:rPr>
          <w:sz w:val="20"/>
          <w:szCs w:val="20"/>
          <w:color w:val="auto"/>
        </w:rPr>
      </w:pPr>
    </w:p>
    <w:p>
      <w:pPr>
        <w:ind w:right="2499"/>
        <w:spacing w:after="0" w:line="264" w:lineRule="auto"/>
        <w:rPr>
          <w:sz w:val="20"/>
          <w:szCs w:val="20"/>
          <w:color w:val="auto"/>
        </w:rPr>
      </w:pPr>
      <w:r>
        <w:rPr>
          <w:rFonts w:ascii="Courier New" w:cs="Courier New" w:eastAsia="Courier New" w:hAnsi="Courier New"/>
          <w:sz w:val="16"/>
          <w:szCs w:val="16"/>
          <w:color w:val="auto"/>
        </w:rPr>
        <w:t>The Audit Committee has the responsibility to make recommendations to the board with respect to the appointment of the independent public accountants and other matters. This committee also has the responsibility to approve certain non-audit services of the independent public accountants; to review the scope of the annual audit, proposed changes in major accounting policies, reports of compliance of management and operating personnel with the Company's code of ethics and other matters; and to report to the board concerning the adequacy of the Company's system of internal accounting controls, other factors affecting the integrity of published financial reports and other matters.</w:t>
      </w:r>
    </w:p>
    <w:p>
      <w:pPr>
        <w:spacing w:after="0" w:line="85" w:lineRule="exact"/>
        <w:rPr>
          <w:sz w:val="20"/>
          <w:szCs w:val="20"/>
          <w:color w:val="auto"/>
        </w:rPr>
      </w:pPr>
    </w:p>
    <w:p>
      <w:pPr>
        <w:ind w:right="2499"/>
        <w:spacing w:after="0" w:line="264" w:lineRule="auto"/>
        <w:rPr>
          <w:sz w:val="20"/>
          <w:szCs w:val="20"/>
          <w:color w:val="auto"/>
        </w:rPr>
      </w:pPr>
      <w:r>
        <w:rPr>
          <w:rFonts w:ascii="Courier New" w:cs="Courier New" w:eastAsia="Courier New" w:hAnsi="Courier New"/>
          <w:sz w:val="16"/>
          <w:szCs w:val="16"/>
          <w:color w:val="auto"/>
        </w:rPr>
        <w:t>The Benefit Plans Committee has the responsibility to institute, revise or terminate incentive plans of the Company other than plans approved by stockholders, and institute, revise or terminate pension, profit sharing and other benefit plans, other than any incentive or benefit plan or amendment thereto that would benefit only officers of the Company or disproportionately benefit officers more than other employees. This committee also has the responsibility to report to the board concerning general levels of increases in compensation for employees, compensation and benefits philosophies and programs of the Company and other matters.</w:t>
      </w:r>
    </w:p>
    <w:p>
      <w:pPr>
        <w:spacing w:after="0" w:line="85" w:lineRule="exact"/>
        <w:rPr>
          <w:sz w:val="20"/>
          <w:szCs w:val="20"/>
          <w:color w:val="auto"/>
        </w:rPr>
      </w:pPr>
    </w:p>
    <w:p>
      <w:pPr>
        <w:ind w:right="2599"/>
        <w:spacing w:after="0" w:line="372" w:lineRule="auto"/>
        <w:rPr>
          <w:sz w:val="20"/>
          <w:szCs w:val="20"/>
          <w:color w:val="auto"/>
        </w:rPr>
      </w:pPr>
      <w:r>
        <w:rPr>
          <w:rFonts w:ascii="Courier New" w:cs="Courier New" w:eastAsia="Courier New" w:hAnsi="Courier New"/>
          <w:sz w:val="16"/>
          <w:szCs w:val="16"/>
          <w:color w:val="auto"/>
        </w:rPr>
        <w:t>The Board Organization and Nominating Committee has the responsibility to make recommendations to the board with respect to nominees to be designated by the</w:t>
      </w:r>
    </w:p>
    <w:p>
      <w:pPr>
        <w:sectPr>
          <w:pgSz w:w="11900" w:h="17038" w:orient="portrait"/>
          <w:cols w:equalWidth="0" w:num="1">
            <w:col w:w="10219"/>
          </w:cols>
          <w:pgMar w:left="240" w:top="300" w:right="1440" w:bottom="0" w:gutter="0" w:footer="0" w:header="0"/>
        </w:sectPr>
      </w:pPr>
    </w:p>
    <w:bookmarkStart w:id="4" w:name="page5"/>
    <w:bookmarkEnd w:id="4"/>
    <w:p>
      <w:pPr>
        <w:spacing w:after="0" w:line="139" w:lineRule="exact"/>
        <w:rPr>
          <w:sz w:val="20"/>
          <w:szCs w:val="20"/>
          <w:color w:val="auto"/>
        </w:rPr>
      </w:pPr>
    </w:p>
    <w:p>
      <w:pPr>
        <w:ind w:right="2499"/>
        <w:spacing w:after="0" w:line="269" w:lineRule="auto"/>
        <w:rPr>
          <w:sz w:val="20"/>
          <w:szCs w:val="20"/>
          <w:color w:val="auto"/>
        </w:rPr>
      </w:pPr>
      <w:r>
        <w:rPr>
          <w:rFonts w:ascii="Courier New" w:cs="Courier New" w:eastAsia="Courier New" w:hAnsi="Courier New"/>
          <w:sz w:val="16"/>
          <w:szCs w:val="16"/>
          <w:color w:val="auto"/>
        </w:rPr>
        <w:t>board for election as directors, the structure, size and composition of the board, compensation of board members, the organization and responsibilities of board committees and other matters. This committee also has the responsibility to report to the board concerning the general responsibilities and functions of the board, a desirable balance of expertise among board members, overall Company organizational health, with particular reference to succession plans for top management positions within TI, and other matters.</w:t>
      </w:r>
    </w:p>
    <w:p>
      <w:pPr>
        <w:spacing w:after="0" w:line="82" w:lineRule="exact"/>
        <w:rPr>
          <w:sz w:val="20"/>
          <w:szCs w:val="20"/>
          <w:color w:val="auto"/>
        </w:rPr>
      </w:pPr>
    </w:p>
    <w:p>
      <w:pPr>
        <w:ind w:right="2599"/>
        <w:spacing w:after="0" w:line="290" w:lineRule="auto"/>
        <w:rPr>
          <w:sz w:val="20"/>
          <w:szCs w:val="20"/>
          <w:color w:val="auto"/>
        </w:rPr>
      </w:pPr>
      <w:r>
        <w:rPr>
          <w:rFonts w:ascii="Courier New" w:cs="Courier New" w:eastAsia="Courier New" w:hAnsi="Courier New"/>
          <w:sz w:val="16"/>
          <w:szCs w:val="16"/>
          <w:color w:val="auto"/>
        </w:rPr>
        <w:t>Any stockholder who wishes to recommend a prospective nominee for the board of directors for the committee's consideration may write Richard J. Agnich, Secretary, Board Organization and Nominating Committee, c/o Texas Instruments Incorporated, Post Office Box 655474, MS 407, Dallas, Texas 75265-5474.</w:t>
      </w:r>
    </w:p>
    <w:p>
      <w:pPr>
        <w:spacing w:after="0" w:line="64" w:lineRule="exact"/>
        <w:rPr>
          <w:sz w:val="20"/>
          <w:szCs w:val="20"/>
          <w:color w:val="auto"/>
        </w:rPr>
      </w:pPr>
    </w:p>
    <w:p>
      <w:pPr>
        <w:ind w:right="2499"/>
        <w:spacing w:after="0" w:line="262" w:lineRule="auto"/>
        <w:rPr>
          <w:sz w:val="20"/>
          <w:szCs w:val="20"/>
          <w:color w:val="auto"/>
        </w:rPr>
      </w:pPr>
      <w:r>
        <w:rPr>
          <w:rFonts w:ascii="Courier New" w:cs="Courier New" w:eastAsia="Courier New" w:hAnsi="Courier New"/>
          <w:sz w:val="16"/>
          <w:szCs w:val="16"/>
          <w:color w:val="auto"/>
        </w:rPr>
        <w:t>The Compensation Committee has the responsibility to make changes in officers' compensation and to take actions that are required to be taken by the committee under the Company's incentive plans, stock option plans, stock option purchase plans and other employee benefit plans. This committee also has the responsibility to make recommendations to the board with respect to revisions in and actions under such plans that are required to be approved by the board, the institution of plans that benefit only officers of the Company or disproportionately benefit officers of the Company more than other employees, the institution of plans permitting the issuance of stock of the Company and other matters.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ind w:right="2599"/>
        <w:spacing w:after="0" w:line="273" w:lineRule="auto"/>
        <w:rPr>
          <w:sz w:val="20"/>
          <w:szCs w:val="20"/>
          <w:color w:val="auto"/>
        </w:rPr>
      </w:pPr>
      <w:r>
        <w:rPr>
          <w:rFonts w:ascii="Courier New" w:cs="Courier New" w:eastAsia="Courier New" w:hAnsi="Courier New"/>
          <w:sz w:val="16"/>
          <w:szCs w:val="16"/>
          <w:color w:val="auto"/>
        </w:rPr>
        <w:t>The Finance Committee has the responsibility to make recommendations to the board with respect to the annual capital authorization funding level, issuance of equity and long-term debt and other matters. This committee also has the responsibility to approve the annual financing plan and other matters; and to report to the board concerning developments in financial markets and other matters.</w:t>
      </w:r>
    </w:p>
    <w:p>
      <w:pPr>
        <w:spacing w:after="0" w:line="79" w:lineRule="exact"/>
        <w:rPr>
          <w:sz w:val="20"/>
          <w:szCs w:val="20"/>
          <w:color w:val="auto"/>
        </w:rPr>
      </w:pPr>
    </w:p>
    <w:p>
      <w:pPr>
        <w:ind w:right="2499"/>
        <w:spacing w:after="0" w:line="273" w:lineRule="auto"/>
        <w:rPr>
          <w:sz w:val="20"/>
          <w:szCs w:val="20"/>
          <w:color w:val="auto"/>
        </w:rPr>
      </w:pPr>
      <w:r>
        <w:rPr>
          <w:rFonts w:ascii="Courier New" w:cs="Courier New" w:eastAsia="Courier New" w:hAnsi="Courier New"/>
          <w:sz w:val="16"/>
          <w:szCs w:val="16"/>
          <w:color w:val="auto"/>
        </w:rPr>
        <w:t>The Stockholder Relations and Public Policy Committee has the responsibility to make recommendations to the board with respect to matters bearing on the relationship between management and stockholders, public issues and other matters. This committee also has the responsibility to report to the board concerning the contribution policies of the Company and of the TI Foundation, revisions in TI's code of ethics and other matters.</w:t>
      </w:r>
    </w:p>
    <w:p>
      <w:pPr>
        <w:spacing w:after="0" w:line="79" w:lineRule="exact"/>
        <w:rPr>
          <w:sz w:val="20"/>
          <w:szCs w:val="20"/>
          <w:color w:val="auto"/>
        </w:rPr>
      </w:pPr>
    </w:p>
    <w:p>
      <w:pPr>
        <w:ind w:right="2599"/>
        <w:spacing w:after="0" w:line="264" w:lineRule="auto"/>
        <w:rPr>
          <w:sz w:val="20"/>
          <w:szCs w:val="20"/>
          <w:color w:val="auto"/>
        </w:rPr>
      </w:pPr>
      <w:r>
        <w:rPr>
          <w:rFonts w:ascii="Courier New" w:cs="Courier New" w:eastAsia="Courier New" w:hAnsi="Courier New"/>
          <w:sz w:val="16"/>
          <w:szCs w:val="16"/>
          <w:color w:val="auto"/>
        </w:rPr>
        <w:t>The Trust Review Committee has the responsibility to make recommendations to the board with respect to the selection of trustees of benefit plan trust funds, assignment of funds to trustees and establishment and amendment of funding policies and methods of benefit plans and other matters. This committee also has the responsibility to select investment managers and assign funds to investment managers of benefit plan trust funds; to approve compensation of trustees and investment managers and other matters; and to report to the board concerning the performance and adequacy of trustees and investment managers.</w:t>
      </w: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Compensation</w:t>
      </w:r>
    </w:p>
    <w:p>
      <w:pPr>
        <w:spacing w:after="0" w:line="195" w:lineRule="exact"/>
        <w:rPr>
          <w:sz w:val="20"/>
          <w:szCs w:val="20"/>
          <w:color w:val="auto"/>
        </w:rPr>
      </w:pPr>
    </w:p>
    <w:p>
      <w:pPr>
        <w:ind w:right="2499"/>
        <w:spacing w:after="0" w:line="257" w:lineRule="auto"/>
        <w:rPr>
          <w:sz w:val="20"/>
          <w:szCs w:val="20"/>
          <w:color w:val="auto"/>
        </w:rPr>
      </w:pPr>
      <w:r>
        <w:rPr>
          <w:rFonts w:ascii="Courier New" w:cs="Courier New" w:eastAsia="Courier New" w:hAnsi="Courier New"/>
          <w:sz w:val="16"/>
          <w:szCs w:val="16"/>
          <w:color w:val="auto"/>
        </w:rPr>
        <w:t>Directors who are not employees are annually paid a retainer of $40,000 (one-half in cash and one-half in restricted stock units described below), a fee of $7,500 for each committee on which they serve, except that a fee of $10,000 is paid for membership on the Trust Review Committee, $2,500 for service as a committee chair, $2,500 for attendance at the Company's strategic planning conference, and $2,500 for attendance at the Company's annual planning conference. Compensation for other designated activities, such as visits to TI facilities and attendance at certain Company events, is provided at the rate of $1,000 per day. In 1996, the Company made payments (an aggregate of $10,345) relating to premiums for life, medical, dental, travel and accident insurance policies covering directors. Subject to certain limitations, directors may elect that all or part of the cash payments of their fees be deferred until retirement from the board or other specified times. Deferred fees earn interest from the Company at a rate (currently based on published interest rates on certain corporate bonds) determined from time to time by the board.</w:t>
      </w:r>
    </w:p>
    <w:p>
      <w:pPr>
        <w:spacing w:after="0" w:line="96" w:lineRule="exact"/>
        <w:rPr>
          <w:sz w:val="20"/>
          <w:szCs w:val="20"/>
          <w:color w:val="auto"/>
        </w:rPr>
      </w:pPr>
    </w:p>
    <w:p>
      <w:pPr>
        <w:ind w:right="2599"/>
        <w:spacing w:after="0" w:line="262" w:lineRule="auto"/>
        <w:rPr>
          <w:sz w:val="20"/>
          <w:szCs w:val="20"/>
          <w:color w:val="auto"/>
        </w:rPr>
      </w:pPr>
      <w:r>
        <w:rPr>
          <w:rFonts w:ascii="Courier New" w:cs="Courier New" w:eastAsia="Courier New" w:hAnsi="Courier New"/>
          <w:sz w:val="16"/>
          <w:szCs w:val="16"/>
          <w:color w:val="auto"/>
        </w:rPr>
        <w:t>Under the Company's restricted stock unit plan for directors (the stock plan), new directors are awarded 1,000 restricted stock units (each for one share of Company common stock) providing for issuance of Company common stock at the time of retirement from the Board, or upon earlier termination of service from the Board after completing at least eight years of service or because of death or disability. However, the right to the shares will be forfeited if a director's service terminates within less than six months after the date of grant for reasons other than death or disability. Directors in office on the effective date were granted the same number of restricted stock units (subject to the same conditions) to replace their interests under the former retirement</w:t>
      </w:r>
    </w:p>
    <w:p>
      <w:pPr>
        <w:spacing w:after="0" w:line="200" w:lineRule="exact"/>
        <w:rPr>
          <w:sz w:val="20"/>
          <w:szCs w:val="20"/>
          <w:color w:val="auto"/>
        </w:rPr>
      </w:pPr>
    </w:p>
    <w:p>
      <w:pPr>
        <w:spacing w:after="0" w:line="26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6</w:t>
      </w:r>
    </w:p>
    <w:p>
      <w:pPr>
        <w:spacing w:after="0" w:line="37" w:lineRule="exact"/>
        <w:rPr>
          <w:sz w:val="20"/>
          <w:szCs w:val="20"/>
          <w:color w:val="auto"/>
        </w:rPr>
      </w:pPr>
    </w:p>
    <w:p>
      <w:pPr>
        <w:ind w:right="2499"/>
        <w:spacing w:after="0" w:line="291" w:lineRule="auto"/>
        <w:rPr>
          <w:sz w:val="20"/>
          <w:szCs w:val="20"/>
          <w:color w:val="auto"/>
        </w:rPr>
      </w:pPr>
      <w:r>
        <w:rPr>
          <w:rFonts w:ascii="Courier New" w:cs="Courier New" w:eastAsia="Courier New" w:hAnsi="Courier New"/>
          <w:sz w:val="16"/>
          <w:szCs w:val="16"/>
          <w:color w:val="auto"/>
        </w:rPr>
        <w:t>plan. The stock plan also provides for payment of fifty percent of the annual retainer for board service (not including retainers for committee membership or committee chair) to be made in the form of restricted stock units. The shares</w:t>
      </w:r>
    </w:p>
    <w:p>
      <w:pPr>
        <w:sectPr>
          <w:pgSz w:w="11900" w:h="16977" w:orient="portrait"/>
          <w:cols w:equalWidth="0" w:num="1">
            <w:col w:w="10219"/>
          </w:cols>
          <w:pgMar w:left="240" w:top="112" w:right="1440" w:bottom="0" w:gutter="0" w:footer="0" w:header="0"/>
        </w:sectPr>
      </w:pPr>
    </w:p>
    <w:bookmarkStart w:id="5" w:name="page6"/>
    <w:bookmarkEnd w:id="5"/>
    <w:p>
      <w:pPr>
        <w:ind w:right="4180"/>
        <w:spacing w:after="0" w:line="311" w:lineRule="auto"/>
        <w:rPr>
          <w:sz w:val="20"/>
          <w:szCs w:val="20"/>
          <w:color w:val="auto"/>
        </w:rPr>
      </w:pPr>
      <w:r>
        <w:rPr>
          <w:rFonts w:ascii="Courier New" w:cs="Courier New" w:eastAsia="Courier New" w:hAnsi="Courier New"/>
          <w:sz w:val="16"/>
          <w:szCs w:val="16"/>
          <w:color w:val="auto"/>
        </w:rPr>
        <w:t>under such annual retainer restricted stock units will be issued upon the termination of the director's service on the board. Any portion which is unearned because of termination of service during a year will be forfeited.</w:t>
      </w:r>
    </w:p>
    <w:p>
      <w:pPr>
        <w:spacing w:after="0" w:line="47" w:lineRule="exact"/>
        <w:rPr>
          <w:sz w:val="20"/>
          <w:szCs w:val="20"/>
          <w:color w:val="auto"/>
        </w:rPr>
      </w:pPr>
    </w:p>
    <w:p>
      <w:pPr>
        <w:ind w:right="3800"/>
        <w:spacing w:after="0" w:line="258" w:lineRule="auto"/>
        <w:rPr>
          <w:sz w:val="20"/>
          <w:szCs w:val="20"/>
          <w:color w:val="auto"/>
        </w:rPr>
      </w:pPr>
      <w:r>
        <w:rPr>
          <w:rFonts w:ascii="Courier New" w:cs="Courier New" w:eastAsia="Courier New" w:hAnsi="Courier New"/>
          <w:sz w:val="16"/>
          <w:szCs w:val="16"/>
          <w:color w:val="auto"/>
        </w:rPr>
        <w:t>Each director who has completed five years of service as a member of the board of directors, and whose board membership terminates as a result of ineligibility for reelection after the attainment of a specified age or, in the case of non-employee directors, as a result of death or disability, will be eligible to participate in a Director Award Program. The program was established to promote the Company's interest in supporting educational institutions. The Company may contribute a total of $500,000 with respect to each eligible director to up to three eligible educational institutions (or other charitable institutions approved by the Board Organization and Nominating Committee) recommended by the director and approved by the Company. The contributions will be made in five annual installments of $100,000 each, commencing as soon as practicable following the director's death. Directors derive no financial benefit from the program and all charitable deductions will accrue solely to the Company.</w:t>
      </w:r>
    </w:p>
    <w:p>
      <w:pPr>
        <w:spacing w:after="0" w:line="286"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EXECUTIVE COMPENSATION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Overview</w:t>
      </w:r>
    </w:p>
    <w:p>
      <w:pPr>
        <w:spacing w:after="0" w:line="195" w:lineRule="exact"/>
        <w:rPr>
          <w:sz w:val="20"/>
          <w:szCs w:val="20"/>
          <w:color w:val="auto"/>
        </w:rPr>
      </w:pPr>
    </w:p>
    <w:p>
      <w:pPr>
        <w:ind w:right="4100"/>
        <w:spacing w:after="0" w:line="290" w:lineRule="auto"/>
        <w:rPr>
          <w:sz w:val="20"/>
          <w:szCs w:val="20"/>
          <w:color w:val="auto"/>
        </w:rPr>
      </w:pPr>
      <w:r>
        <w:rPr>
          <w:rFonts w:ascii="Courier New" w:cs="Courier New" w:eastAsia="Courier New" w:hAnsi="Courier New"/>
          <w:sz w:val="16"/>
          <w:szCs w:val="16"/>
          <w:color w:val="auto"/>
        </w:rPr>
        <w:t>The Company is committed to building shareholder value through improved performance and growth. To achieve this objective, TI seeks to create an environment in which employees recognize that they are valued as individuals and treated with respect, dignity and fairness.</w:t>
      </w:r>
    </w:p>
    <w:p>
      <w:pPr>
        <w:spacing w:after="0" w:line="64" w:lineRule="exact"/>
        <w:rPr>
          <w:sz w:val="20"/>
          <w:szCs w:val="20"/>
          <w:color w:val="auto"/>
        </w:rPr>
      </w:pPr>
    </w:p>
    <w:p>
      <w:pPr>
        <w:ind w:right="4000"/>
        <w:spacing w:after="0" w:line="280" w:lineRule="auto"/>
        <w:rPr>
          <w:sz w:val="20"/>
          <w:szCs w:val="20"/>
          <w:color w:val="auto"/>
        </w:rPr>
      </w:pPr>
      <w:r>
        <w:rPr>
          <w:rFonts w:ascii="Courier New" w:cs="Courier New" w:eastAsia="Courier New" w:hAnsi="Courier New"/>
          <w:sz w:val="16"/>
          <w:szCs w:val="16"/>
          <w:color w:val="auto"/>
        </w:rPr>
        <w:t>The Company uses a merit-based system of compensation to encourage individual employees to achieve their productive and creative potential, and to link individual financial goals to Company performance. The Company regularly compares its compensation system with those of competitors and refines its system as necessary to encourage a motivated and productive work force.</w:t>
      </w:r>
    </w:p>
    <w:p>
      <w:pPr>
        <w:spacing w:after="0" w:line="70" w:lineRule="exact"/>
        <w:rPr>
          <w:sz w:val="20"/>
          <w:szCs w:val="20"/>
          <w:color w:val="auto"/>
        </w:rPr>
      </w:pPr>
    </w:p>
    <w:p>
      <w:pPr>
        <w:ind w:right="3800"/>
        <w:spacing w:after="0" w:line="311" w:lineRule="auto"/>
        <w:rPr>
          <w:sz w:val="20"/>
          <w:szCs w:val="20"/>
          <w:color w:val="auto"/>
        </w:rPr>
      </w:pPr>
      <w:r>
        <w:rPr>
          <w:rFonts w:ascii="Courier New" w:cs="Courier New" w:eastAsia="Courier New" w:hAnsi="Courier New"/>
          <w:sz w:val="16"/>
          <w:szCs w:val="16"/>
          <w:color w:val="auto"/>
        </w:rPr>
        <w:t>The following tables provide information regarding the compensation of those who served as the Company's chief executive officer during 1996 and each of the five other most highly compensated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Compensation Table</w:t>
      </w:r>
    </w:p>
    <w:p>
      <w:pPr>
        <w:spacing w:after="0" w:line="195" w:lineRule="exact"/>
        <w:rPr>
          <w:sz w:val="20"/>
          <w:szCs w:val="20"/>
          <w:color w:val="auto"/>
        </w:rPr>
      </w:pPr>
    </w:p>
    <w:p>
      <w:pPr>
        <w:ind w:right="3900"/>
        <w:spacing w:after="0" w:line="280" w:lineRule="auto"/>
        <w:rPr>
          <w:sz w:val="20"/>
          <w:szCs w:val="20"/>
          <w:color w:val="auto"/>
        </w:rPr>
      </w:pPr>
      <w:r>
        <w:rPr>
          <w:rFonts w:ascii="Courier New" w:cs="Courier New" w:eastAsia="Courier New" w:hAnsi="Courier New"/>
          <w:sz w:val="16"/>
          <w:szCs w:val="16"/>
          <w:color w:val="auto"/>
        </w:rPr>
        <w:t>The following table sets forth information with respect to the compensation of those who served as the Company's chief executive officer during 1996 and each of the five other most highly compensated executive officers for services in all capacities to the Company in 1994, 1995 and 1996, except as otherwise indicated.</w:t>
      </w:r>
    </w:p>
    <w:p>
      <w:pPr>
        <w:spacing w:after="0" w:line="258" w:lineRule="exact"/>
        <w:rPr>
          <w:sz w:val="20"/>
          <w:szCs w:val="20"/>
          <w:color w:val="auto"/>
        </w:rPr>
      </w:pPr>
    </w:p>
    <w:tbl>
      <w:tblPr>
        <w:tblLayout w:type="fixed"/>
        <w:tblInd w:w="480" w:type="dxa"/>
        <w:tblCellMar>
          <w:top w:w="0" w:type="dxa"/>
          <w:left w:w="0" w:type="dxa"/>
          <w:bottom w:w="0" w:type="dxa"/>
          <w:right w:w="0" w:type="dxa"/>
        </w:tblCellMar>
      </w:tblPr>
      <w:tr>
        <w:trPr>
          <w:trHeight w:val="188"/>
        </w:trPr>
        <w:tc>
          <w:tcPr>
            <w:tcW w:w="1280" w:type="dxa"/>
            <w:vAlign w:val="bottom"/>
          </w:tcPr>
          <w:p>
            <w:pPr>
              <w:spacing w:after="0"/>
              <w:rPr>
                <w:sz w:val="16"/>
                <w:szCs w:val="16"/>
                <w:color w:val="auto"/>
              </w:rPr>
            </w:pPr>
          </w:p>
        </w:tc>
        <w:tc>
          <w:tcPr>
            <w:tcW w:w="430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Annual Compensation</w:t>
            </w:r>
          </w:p>
        </w:tc>
        <w:tc>
          <w:tcPr>
            <w:tcW w:w="4000" w:type="dxa"/>
            <w:vAlign w:val="bottom"/>
            <w:gridSpan w:val="3"/>
          </w:tcPr>
          <w:p>
            <w:pPr>
              <w:jc w:val="right"/>
              <w:ind w:right="899"/>
              <w:spacing w:after="0"/>
              <w:rPr>
                <w:sz w:val="20"/>
                <w:szCs w:val="20"/>
                <w:color w:val="auto"/>
              </w:rPr>
            </w:pPr>
            <w:r>
              <w:rPr>
                <w:rFonts w:ascii="Courier New" w:cs="Courier New" w:eastAsia="Courier New" w:hAnsi="Courier New"/>
                <w:sz w:val="16"/>
                <w:szCs w:val="16"/>
                <w:color w:val="auto"/>
              </w:rPr>
              <w:t>Long-Term Compensation</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4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0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660" w:type="dxa"/>
            <w:vAlign w:val="bottom"/>
          </w:tcPr>
          <w:p>
            <w:pPr>
              <w:ind w:left="980"/>
              <w:spacing w:after="0"/>
              <w:rPr>
                <w:sz w:val="20"/>
                <w:szCs w:val="20"/>
                <w:color w:val="auto"/>
              </w:rPr>
            </w:pPr>
            <w:r>
              <w:rPr>
                <w:rFonts w:ascii="Courier New" w:cs="Courier New" w:eastAsia="Courier New" w:hAnsi="Courier New"/>
                <w:sz w:val="16"/>
                <w:szCs w:val="16"/>
                <w:color w:val="auto"/>
              </w:rPr>
              <w:t>Awards</w:t>
            </w:r>
          </w:p>
        </w:tc>
        <w:tc>
          <w:tcPr>
            <w:tcW w:w="880" w:type="dxa"/>
            <w:vAlign w:val="bottom"/>
          </w:tcPr>
          <w:p>
            <w:pPr>
              <w:spacing w:after="0"/>
              <w:rPr>
                <w:sz w:val="16"/>
                <w:szCs w:val="16"/>
                <w:color w:val="auto"/>
              </w:rPr>
            </w:pP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Payouts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80" w:type="dxa"/>
            <w:vAlign w:val="bottom"/>
            <w:vMerge w:val="restart"/>
          </w:tcPr>
          <w:p>
            <w:pPr>
              <w:spacing w:after="0"/>
              <w:rPr>
                <w:sz w:val="20"/>
                <w:szCs w:val="20"/>
                <w:color w:val="auto"/>
              </w:rPr>
            </w:pPr>
            <w:r>
              <w:rPr>
                <w:rFonts w:ascii="Courier New" w:cs="Courier New" w:eastAsia="Courier New" w:hAnsi="Courier New"/>
                <w:sz w:val="16"/>
                <w:szCs w:val="16"/>
                <w:color w:val="auto"/>
              </w:rPr>
              <w:t>Name and</w:t>
            </w:r>
          </w:p>
        </w:tc>
        <w:tc>
          <w:tcPr>
            <w:tcW w:w="43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Other Annual</w:t>
            </w:r>
          </w:p>
        </w:tc>
        <w:tc>
          <w:tcPr>
            <w:tcW w:w="16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73"/>
                <w:vertAlign w:val="subscript"/>
              </w:rPr>
              <w:t>Restricted</w:t>
            </w:r>
            <w:r>
              <w:rPr>
                <w:rFonts w:ascii="Courier New" w:cs="Courier New" w:eastAsia="Courier New" w:hAnsi="Courier New"/>
                <w:sz w:val="10"/>
                <w:szCs w:val="10"/>
                <w:color w:val="auto"/>
                <w:w w:val="73"/>
              </w:rPr>
              <w:t>-------------------------</w:t>
            </w:r>
          </w:p>
        </w:tc>
        <w:tc>
          <w:tcPr>
            <w:tcW w:w="880" w:type="dxa"/>
            <w:vAlign w:val="bottom"/>
            <w:vMerge w:val="restart"/>
          </w:tcPr>
          <w:p>
            <w:pPr>
              <w:jc w:val="center"/>
              <w:ind w:right="119"/>
              <w:spacing w:after="0"/>
              <w:rPr>
                <w:sz w:val="20"/>
                <w:szCs w:val="20"/>
                <w:color w:val="auto"/>
              </w:rPr>
            </w:pPr>
            <w:r>
              <w:rPr>
                <w:rFonts w:ascii="Courier New" w:cs="Courier New" w:eastAsia="Courier New" w:hAnsi="Courier New"/>
                <w:sz w:val="16"/>
                <w:szCs w:val="16"/>
                <w:color w:val="auto"/>
                <w:w w:val="99"/>
              </w:rPr>
              <w:t>Stock</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All Other</w:t>
            </w:r>
          </w:p>
        </w:tc>
        <w:tc>
          <w:tcPr>
            <w:tcW w:w="0" w:type="dxa"/>
            <w:vAlign w:val="bottom"/>
          </w:tcPr>
          <w:p>
            <w:pPr>
              <w:spacing w:after="0"/>
              <w:rPr>
                <w:sz w:val="1"/>
                <w:szCs w:val="1"/>
                <w:color w:val="auto"/>
              </w:rPr>
            </w:pPr>
          </w:p>
        </w:tc>
      </w:tr>
      <w:tr>
        <w:trPr>
          <w:trHeight w:val="188"/>
        </w:trPr>
        <w:tc>
          <w:tcPr>
            <w:tcW w:w="1280" w:type="dxa"/>
            <w:vAlign w:val="bottom"/>
            <w:vMerge w:val="continue"/>
          </w:tcPr>
          <w:p>
            <w:pPr>
              <w:spacing w:after="0"/>
              <w:rPr>
                <w:sz w:val="16"/>
                <w:szCs w:val="16"/>
                <w:color w:val="auto"/>
              </w:rPr>
            </w:pPr>
          </w:p>
        </w:tc>
        <w:tc>
          <w:tcPr>
            <w:tcW w:w="43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4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Long-Term</w:t>
            </w: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20"/>
                <w:szCs w:val="20"/>
                <w:color w:val="auto"/>
              </w:rPr>
            </w:pPr>
            <w:r>
              <w:rPr>
                <w:rFonts w:ascii="Courier New" w:cs="Courier New" w:eastAsia="Courier New" w:hAnsi="Courier New"/>
                <w:sz w:val="16"/>
                <w:szCs w:val="16"/>
                <w:color w:val="auto"/>
              </w:rPr>
              <w:t>Principal</w:t>
            </w:r>
          </w:p>
        </w:tc>
        <w:tc>
          <w:tcPr>
            <w:tcW w:w="4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Compensation</w:t>
            </w:r>
          </w:p>
        </w:tc>
        <w:tc>
          <w:tcPr>
            <w:tcW w:w="1660" w:type="dxa"/>
            <w:vAlign w:val="bottom"/>
          </w:tcPr>
          <w:p>
            <w:pPr>
              <w:ind w:left="100"/>
              <w:spacing w:after="0"/>
              <w:rPr>
                <w:sz w:val="20"/>
                <w:szCs w:val="20"/>
                <w:color w:val="auto"/>
              </w:rPr>
            </w:pPr>
            <w:r>
              <w:rPr>
                <w:rFonts w:ascii="Courier New" w:cs="Courier New" w:eastAsia="Courier New" w:hAnsi="Courier New"/>
                <w:sz w:val="16"/>
                <w:szCs w:val="16"/>
                <w:color w:val="auto"/>
              </w:rPr>
              <w:t>Stock Awards</w:t>
            </w:r>
          </w:p>
        </w:tc>
        <w:tc>
          <w:tcPr>
            <w:tcW w:w="88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Options</w:t>
            </w:r>
          </w:p>
        </w:tc>
        <w:tc>
          <w:tcPr>
            <w:tcW w:w="14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Incentive</w:t>
            </w: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Compensation</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60" w:type="dxa"/>
            <w:vAlign w:val="bottom"/>
          </w:tcPr>
          <w:p>
            <w:pPr>
              <w:ind w:left="480"/>
              <w:spacing w:after="0" w:line="158" w:lineRule="exact"/>
              <w:rPr>
                <w:sz w:val="20"/>
                <w:szCs w:val="20"/>
                <w:color w:val="auto"/>
              </w:rPr>
            </w:pPr>
            <w:r>
              <w:rPr>
                <w:rFonts w:ascii="Courier New" w:cs="Courier New" w:eastAsia="Courier New" w:hAnsi="Courier New"/>
                <w:sz w:val="16"/>
                <w:szCs w:val="16"/>
                <w:color w:val="auto"/>
              </w:rPr>
              <w:t>Position</w:t>
            </w:r>
          </w:p>
        </w:tc>
        <w:tc>
          <w:tcPr>
            <w:tcW w:w="400" w:type="dxa"/>
            <w:vAlign w:val="bottom"/>
          </w:tcPr>
          <w:p>
            <w:pPr>
              <w:spacing w:after="0"/>
              <w:rPr>
                <w:sz w:val="13"/>
                <w:szCs w:val="13"/>
                <w:color w:val="auto"/>
              </w:rPr>
            </w:pPr>
          </w:p>
        </w:tc>
        <w:tc>
          <w:tcPr>
            <w:tcW w:w="580" w:type="dxa"/>
            <w:vAlign w:val="bottom"/>
          </w:tcPr>
          <w:p>
            <w:pPr>
              <w:spacing w:after="0" w:line="158" w:lineRule="exact"/>
              <w:rPr>
                <w:sz w:val="20"/>
                <w:szCs w:val="20"/>
                <w:color w:val="auto"/>
              </w:rPr>
            </w:pPr>
            <w:r>
              <w:rPr>
                <w:rFonts w:ascii="Courier New" w:cs="Courier New" w:eastAsia="Courier New" w:hAnsi="Courier New"/>
                <w:sz w:val="16"/>
                <w:szCs w:val="16"/>
                <w:color w:val="auto"/>
              </w:rPr>
              <w:t>Year</w:t>
            </w:r>
          </w:p>
        </w:tc>
        <w:tc>
          <w:tcPr>
            <w:tcW w:w="980" w:type="dxa"/>
            <w:vAlign w:val="bottom"/>
            <w:gridSpan w:val="2"/>
          </w:tcPr>
          <w:p>
            <w:pPr>
              <w:jc w:val="center"/>
              <w:ind w:right="119"/>
              <w:spacing w:after="0" w:line="158" w:lineRule="exact"/>
              <w:rPr>
                <w:sz w:val="20"/>
                <w:szCs w:val="20"/>
                <w:color w:val="auto"/>
              </w:rPr>
            </w:pPr>
            <w:r>
              <w:rPr>
                <w:rFonts w:ascii="Courier New" w:cs="Courier New" w:eastAsia="Courier New" w:hAnsi="Courier New"/>
                <w:sz w:val="16"/>
                <w:szCs w:val="16"/>
                <w:color w:val="auto"/>
              </w:rPr>
              <w:t>Salary</w:t>
            </w:r>
          </w:p>
        </w:tc>
        <w:tc>
          <w:tcPr>
            <w:tcW w:w="100" w:type="dxa"/>
            <w:vAlign w:val="bottom"/>
          </w:tcPr>
          <w:p>
            <w:pPr>
              <w:spacing w:after="0"/>
              <w:rPr>
                <w:sz w:val="13"/>
                <w:szCs w:val="13"/>
                <w:color w:val="auto"/>
              </w:rPr>
            </w:pPr>
          </w:p>
        </w:tc>
        <w:tc>
          <w:tcPr>
            <w:tcW w:w="960" w:type="dxa"/>
            <w:vAlign w:val="bottom"/>
          </w:tcPr>
          <w:p>
            <w:pPr>
              <w:jc w:val="right"/>
              <w:ind w:right="299"/>
              <w:spacing w:after="0" w:line="158" w:lineRule="exact"/>
              <w:rPr>
                <w:sz w:val="20"/>
                <w:szCs w:val="20"/>
                <w:color w:val="auto"/>
              </w:rPr>
            </w:pPr>
            <w:r>
              <w:rPr>
                <w:rFonts w:ascii="Courier New" w:cs="Courier New" w:eastAsia="Courier New" w:hAnsi="Courier New"/>
                <w:sz w:val="16"/>
                <w:szCs w:val="16"/>
                <w:color w:val="auto"/>
              </w:rPr>
              <w:t>Bonus</w:t>
            </w:r>
          </w:p>
        </w:tc>
        <w:tc>
          <w:tcPr>
            <w:tcW w:w="880" w:type="dxa"/>
            <w:vAlign w:val="bottom"/>
          </w:tcPr>
          <w:p>
            <w:pPr>
              <w:jc w:val="right"/>
              <w:ind w:right="199"/>
              <w:spacing w:after="0" w:line="158" w:lineRule="exact"/>
              <w:rPr>
                <w:sz w:val="20"/>
                <w:szCs w:val="20"/>
                <w:color w:val="auto"/>
              </w:rPr>
            </w:pPr>
            <w:r>
              <w:rPr>
                <w:rFonts w:ascii="Courier New" w:cs="Courier New" w:eastAsia="Courier New" w:hAnsi="Courier New"/>
                <w:sz w:val="16"/>
                <w:szCs w:val="16"/>
                <w:color w:val="auto"/>
              </w:rPr>
              <w:t>(3)</w:t>
            </w:r>
          </w:p>
        </w:tc>
        <w:tc>
          <w:tcPr>
            <w:tcW w:w="600" w:type="dxa"/>
            <w:vAlign w:val="bottom"/>
          </w:tcPr>
          <w:p>
            <w:pPr>
              <w:jc w:val="right"/>
              <w:spacing w:after="0" w:line="158" w:lineRule="exact"/>
              <w:rPr>
                <w:sz w:val="20"/>
                <w:szCs w:val="20"/>
                <w:color w:val="auto"/>
              </w:rPr>
            </w:pPr>
            <w:r>
              <w:rPr>
                <w:rFonts w:ascii="Courier New" w:cs="Courier New" w:eastAsia="Courier New" w:hAnsi="Courier New"/>
                <w:sz w:val="16"/>
                <w:szCs w:val="16"/>
                <w:color w:val="auto"/>
              </w:rPr>
              <w:t>(4)</w:t>
            </w:r>
          </w:p>
        </w:tc>
        <w:tc>
          <w:tcPr>
            <w:tcW w:w="3320" w:type="dxa"/>
            <w:vAlign w:val="bottom"/>
            <w:gridSpan w:val="3"/>
          </w:tcPr>
          <w:p>
            <w:pPr>
              <w:ind w:left="480"/>
              <w:spacing w:after="0" w:line="158" w:lineRule="exact"/>
              <w:rPr>
                <w:sz w:val="20"/>
                <w:szCs w:val="20"/>
                <w:color w:val="auto"/>
              </w:rPr>
            </w:pPr>
            <w:r>
              <w:rPr>
                <w:rFonts w:ascii="Courier New" w:cs="Courier New" w:eastAsia="Courier New" w:hAnsi="Courier New"/>
                <w:sz w:val="16"/>
                <w:szCs w:val="16"/>
                <w:color w:val="auto"/>
              </w:rPr>
              <w:t>(in shares)  Plan Payouts</w:t>
            </w:r>
          </w:p>
        </w:tc>
        <w:tc>
          <w:tcPr>
            <w:tcW w:w="1940" w:type="dxa"/>
            <w:vAlign w:val="bottom"/>
          </w:tcPr>
          <w:p>
            <w:pPr>
              <w:jc w:val="right"/>
              <w:ind w:right="1459"/>
              <w:spacing w:after="0" w:line="158" w:lineRule="exact"/>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276"/>
        </w:trPr>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580" w:type="dxa"/>
            <w:vAlign w:val="bottom"/>
          </w:tcPr>
          <w:p>
            <w:pPr>
              <w:ind w:left="180"/>
              <w:spacing w:after="0"/>
              <w:rPr>
                <w:sz w:val="20"/>
                <w:szCs w:val="20"/>
                <w:color w:val="auto"/>
              </w:rPr>
            </w:pPr>
            <w:r>
              <w:rPr>
                <w:rFonts w:ascii="Courier New" w:cs="Courier New" w:eastAsia="Courier New" w:hAnsi="Courier New"/>
                <w:sz w:val="16"/>
                <w:szCs w:val="16"/>
                <w:color w:val="auto"/>
                <w:w w:val="98"/>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3"/>
                <w:szCs w:val="23"/>
                <w:color w:val="auto"/>
              </w:rPr>
            </w:pPr>
          </w:p>
        </w:tc>
        <w:tc>
          <w:tcPr>
            <w:tcW w:w="244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6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6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8"/>
        </w:trPr>
        <w:tc>
          <w:tcPr>
            <w:tcW w:w="1760" w:type="dxa"/>
            <w:vAlign w:val="bottom"/>
          </w:tcPr>
          <w:p>
            <w:pPr>
              <w:spacing w:after="0"/>
              <w:rPr>
                <w:sz w:val="20"/>
                <w:szCs w:val="20"/>
                <w:color w:val="auto"/>
              </w:rPr>
            </w:pPr>
            <w:r>
              <w:rPr>
                <w:rFonts w:ascii="Courier New" w:cs="Courier New" w:eastAsia="Courier New" w:hAnsi="Courier New"/>
                <w:sz w:val="16"/>
                <w:szCs w:val="16"/>
                <w:color w:val="auto"/>
              </w:rPr>
              <w:t>T.J. Engibous(1)</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1996</w:t>
            </w:r>
          </w:p>
        </w:tc>
        <w:tc>
          <w:tcPr>
            <w:tcW w:w="10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$509,640</w:t>
            </w:r>
          </w:p>
        </w:tc>
        <w:tc>
          <w:tcPr>
            <w:tcW w:w="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519"/>
              <w:spacing w:after="0"/>
              <w:rPr>
                <w:sz w:val="20"/>
                <w:szCs w:val="20"/>
                <w:color w:val="auto"/>
              </w:rPr>
            </w:pPr>
            <w:r>
              <w:rPr>
                <w:rFonts w:ascii="Courier New" w:cs="Courier New" w:eastAsia="Courier New" w:hAnsi="Courier New"/>
                <w:sz w:val="16"/>
                <w:szCs w:val="16"/>
                <w:color w:val="auto"/>
              </w:rPr>
              <w:t>$875,000</w:t>
            </w:r>
          </w:p>
        </w:tc>
        <w:tc>
          <w:tcPr>
            <w:tcW w:w="16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60,000</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$ 15,484</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20"/>
                <w:szCs w:val="20"/>
                <w:color w:val="auto"/>
              </w:rPr>
            </w:pPr>
            <w:r>
              <w:rPr>
                <w:rFonts w:ascii="Courier New" w:cs="Courier New" w:eastAsia="Courier New" w:hAnsi="Courier New"/>
                <w:sz w:val="16"/>
                <w:szCs w:val="16"/>
                <w:color w:val="auto"/>
              </w:rPr>
              <w:t>President &amp; CEO</w:t>
            </w:r>
          </w:p>
        </w:tc>
        <w:tc>
          <w:tcPr>
            <w:tcW w:w="40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98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$369,750</w:t>
            </w:r>
          </w:p>
        </w:tc>
        <w:tc>
          <w:tcPr>
            <w:tcW w:w="100" w:type="dxa"/>
            <w:vAlign w:val="bottom"/>
            <w:vMerge w:val="continue"/>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1,000,000</w:t>
            </w: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60,000</w:t>
            </w:r>
          </w:p>
        </w:tc>
        <w:tc>
          <w:tcPr>
            <w:tcW w:w="68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$145,887</w:t>
            </w:r>
          </w:p>
        </w:tc>
        <w:tc>
          <w:tcPr>
            <w:tcW w:w="0" w:type="dxa"/>
            <w:vAlign w:val="bottom"/>
          </w:tcPr>
          <w:p>
            <w:pPr>
              <w:spacing w:after="0"/>
              <w:rPr>
                <w:sz w:val="1"/>
                <w:szCs w:val="1"/>
                <w:color w:val="auto"/>
              </w:rPr>
            </w:pPr>
          </w:p>
        </w:tc>
      </w:tr>
      <w:tr>
        <w:trPr>
          <w:trHeight w:val="276"/>
        </w:trPr>
        <w:tc>
          <w:tcPr>
            <w:tcW w:w="1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98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$306,000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600,000</w:t>
            </w: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42,000</w:t>
            </w:r>
          </w:p>
        </w:tc>
        <w:tc>
          <w:tcPr>
            <w:tcW w:w="68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$ 59,565</w:t>
            </w:r>
          </w:p>
        </w:tc>
        <w:tc>
          <w:tcPr>
            <w:tcW w:w="0" w:type="dxa"/>
            <w:vAlign w:val="bottom"/>
          </w:tcPr>
          <w:p>
            <w:pPr>
              <w:spacing w:after="0"/>
              <w:rPr>
                <w:sz w:val="1"/>
                <w:szCs w:val="1"/>
                <w:color w:val="auto"/>
              </w:rPr>
            </w:pPr>
          </w:p>
        </w:tc>
      </w:tr>
      <w:tr>
        <w:trPr>
          <w:trHeight w:val="288"/>
        </w:trPr>
        <w:tc>
          <w:tcPr>
            <w:tcW w:w="1760" w:type="dxa"/>
            <w:vAlign w:val="bottom"/>
          </w:tcPr>
          <w:p>
            <w:pPr>
              <w:spacing w:after="0"/>
              <w:rPr>
                <w:sz w:val="20"/>
                <w:szCs w:val="20"/>
                <w:color w:val="auto"/>
              </w:rPr>
            </w:pPr>
            <w:r>
              <w:rPr>
                <w:rFonts w:ascii="Courier New" w:cs="Courier New" w:eastAsia="Courier New" w:hAnsi="Courier New"/>
                <w:sz w:val="16"/>
                <w:szCs w:val="16"/>
                <w:color w:val="auto"/>
              </w:rPr>
              <w:t>J.R. Junkins(1)</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1996</w:t>
            </w:r>
          </w:p>
        </w:tc>
        <w:tc>
          <w:tcPr>
            <w:tcW w:w="10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$327,964</w:t>
            </w:r>
          </w:p>
        </w:tc>
        <w:tc>
          <w:tcPr>
            <w:tcW w:w="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519"/>
              <w:spacing w:after="0"/>
              <w:rPr>
                <w:sz w:val="20"/>
                <w:szCs w:val="20"/>
                <w:color w:val="auto"/>
              </w:rPr>
            </w:pPr>
            <w:r>
              <w:rPr>
                <w:rFonts w:ascii="Courier New" w:cs="Courier New" w:eastAsia="Courier New" w:hAnsi="Courier New"/>
                <w:sz w:val="16"/>
                <w:szCs w:val="16"/>
                <w:color w:val="auto"/>
              </w:rPr>
              <w:t>$229,375</w:t>
            </w:r>
          </w:p>
        </w:tc>
        <w:tc>
          <w:tcPr>
            <w:tcW w:w="16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65,000</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  8,144</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20"/>
                <w:szCs w:val="20"/>
                <w:color w:val="auto"/>
              </w:rPr>
            </w:pPr>
            <w:r>
              <w:rPr>
                <w:rFonts w:ascii="Courier New" w:cs="Courier New" w:eastAsia="Courier New" w:hAnsi="Courier New"/>
                <w:sz w:val="16"/>
                <w:szCs w:val="16"/>
                <w:color w:val="auto"/>
              </w:rPr>
              <w:t>Chairman,</w:t>
            </w:r>
          </w:p>
        </w:tc>
        <w:tc>
          <w:tcPr>
            <w:tcW w:w="40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98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$792,050</w:t>
            </w:r>
          </w:p>
        </w:tc>
        <w:tc>
          <w:tcPr>
            <w:tcW w:w="100" w:type="dxa"/>
            <w:vAlign w:val="bottom"/>
            <w:vMerge w:val="continue"/>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1,750,000</w:t>
            </w: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130,000</w:t>
            </w:r>
          </w:p>
        </w:tc>
        <w:tc>
          <w:tcPr>
            <w:tcW w:w="68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$391,979</w:t>
            </w:r>
          </w:p>
        </w:tc>
        <w:tc>
          <w:tcPr>
            <w:tcW w:w="0" w:type="dxa"/>
            <w:vAlign w:val="bottom"/>
          </w:tcPr>
          <w:p>
            <w:pPr>
              <w:spacing w:after="0"/>
              <w:rPr>
                <w:sz w:val="1"/>
                <w:szCs w:val="1"/>
                <w:color w:val="auto"/>
              </w:rPr>
            </w:pPr>
          </w:p>
        </w:tc>
      </w:tr>
      <w:tr>
        <w:trPr>
          <w:trHeight w:val="276"/>
        </w:trPr>
        <w:tc>
          <w:tcPr>
            <w:tcW w:w="1760" w:type="dxa"/>
            <w:vAlign w:val="bottom"/>
          </w:tcPr>
          <w:p>
            <w:pPr>
              <w:spacing w:after="0"/>
              <w:rPr>
                <w:sz w:val="20"/>
                <w:szCs w:val="20"/>
                <w:color w:val="auto"/>
              </w:rPr>
            </w:pPr>
            <w:r>
              <w:rPr>
                <w:rFonts w:ascii="Courier New" w:cs="Courier New" w:eastAsia="Courier New" w:hAnsi="Courier New"/>
                <w:sz w:val="16"/>
                <w:szCs w:val="16"/>
                <w:color w:val="auto"/>
              </w:rPr>
              <w:t>President &amp; CEO</w:t>
            </w:r>
          </w:p>
        </w:tc>
        <w:tc>
          <w:tcPr>
            <w:tcW w:w="40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98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$700,200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1,227,600</w:t>
            </w: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$141,250</w:t>
            </w: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110,000</w:t>
            </w:r>
          </w:p>
        </w:tc>
        <w:tc>
          <w:tcPr>
            <w:tcW w:w="68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$276,714</w:t>
            </w:r>
          </w:p>
        </w:tc>
        <w:tc>
          <w:tcPr>
            <w:tcW w:w="0" w:type="dxa"/>
            <w:vAlign w:val="bottom"/>
          </w:tcPr>
          <w:p>
            <w:pPr>
              <w:spacing w:after="0"/>
              <w:rPr>
                <w:sz w:val="1"/>
                <w:szCs w:val="1"/>
                <w:color w:val="auto"/>
              </w:rPr>
            </w:pPr>
          </w:p>
        </w:tc>
      </w:tr>
      <w:tr>
        <w:trPr>
          <w:trHeight w:val="288"/>
        </w:trPr>
        <w:tc>
          <w:tcPr>
            <w:tcW w:w="1760" w:type="dxa"/>
            <w:vAlign w:val="bottom"/>
          </w:tcPr>
          <w:p>
            <w:pPr>
              <w:spacing w:after="0"/>
              <w:rPr>
                <w:sz w:val="20"/>
                <w:szCs w:val="20"/>
                <w:color w:val="auto"/>
              </w:rPr>
            </w:pPr>
            <w:r>
              <w:rPr>
                <w:rFonts w:ascii="Courier New" w:cs="Courier New" w:eastAsia="Courier New" w:hAnsi="Courier New"/>
                <w:sz w:val="16"/>
                <w:szCs w:val="16"/>
                <w:color w:val="auto"/>
              </w:rPr>
              <w:t>W.B. Mitchell(2)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1996</w:t>
            </w:r>
          </w:p>
        </w:tc>
        <w:tc>
          <w:tcPr>
            <w:tcW w:w="10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$389,900</w:t>
            </w:r>
          </w:p>
        </w:tc>
        <w:tc>
          <w:tcPr>
            <w:tcW w:w="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24"/>
                <w:szCs w:val="24"/>
                <w:color w:val="auto"/>
              </w:rPr>
            </w:pPr>
          </w:p>
        </w:tc>
        <w:tc>
          <w:tcPr>
            <w:tcW w:w="9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25,000</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$ 25,101</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20"/>
                <w:szCs w:val="20"/>
                <w:color w:val="auto"/>
              </w:rPr>
            </w:pPr>
            <w:r>
              <w:rPr>
                <w:rFonts w:ascii="Courier New" w:cs="Courier New" w:eastAsia="Courier New" w:hAnsi="Courier New"/>
                <w:sz w:val="16"/>
                <w:szCs w:val="16"/>
                <w:color w:val="auto"/>
              </w:rPr>
              <w:t>Vice Chairman</w:t>
            </w:r>
          </w:p>
        </w:tc>
        <w:tc>
          <w:tcPr>
            <w:tcW w:w="40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98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$373,750</w:t>
            </w:r>
          </w:p>
        </w:tc>
        <w:tc>
          <w:tcPr>
            <w:tcW w:w="100" w:type="dxa"/>
            <w:vAlign w:val="bottom"/>
            <w:vMerge w:val="continue"/>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650,000</w:t>
            </w: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50,000</w:t>
            </w:r>
          </w:p>
        </w:tc>
        <w:tc>
          <w:tcPr>
            <w:tcW w:w="68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$165,302</w:t>
            </w:r>
          </w:p>
        </w:tc>
        <w:tc>
          <w:tcPr>
            <w:tcW w:w="0" w:type="dxa"/>
            <w:vAlign w:val="bottom"/>
          </w:tcPr>
          <w:p>
            <w:pPr>
              <w:spacing w:after="0"/>
              <w:rPr>
                <w:sz w:val="1"/>
                <w:szCs w:val="1"/>
                <w:color w:val="auto"/>
              </w:rPr>
            </w:pPr>
          </w:p>
        </w:tc>
      </w:tr>
      <w:tr>
        <w:trPr>
          <w:trHeight w:val="276"/>
        </w:trPr>
        <w:tc>
          <w:tcPr>
            <w:tcW w:w="1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98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$359,100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50,000</w:t>
            </w:r>
          </w:p>
        </w:tc>
        <w:tc>
          <w:tcPr>
            <w:tcW w:w="68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$103,157</w:t>
            </w:r>
          </w:p>
        </w:tc>
        <w:tc>
          <w:tcPr>
            <w:tcW w:w="0" w:type="dxa"/>
            <w:vAlign w:val="bottom"/>
          </w:tcPr>
          <w:p>
            <w:pPr>
              <w:spacing w:after="0"/>
              <w:rPr>
                <w:sz w:val="1"/>
                <w:szCs w:val="1"/>
                <w:color w:val="auto"/>
              </w:rPr>
            </w:pPr>
          </w:p>
        </w:tc>
      </w:tr>
      <w:tr>
        <w:trPr>
          <w:trHeight w:val="288"/>
        </w:trPr>
        <w:tc>
          <w:tcPr>
            <w:tcW w:w="1760" w:type="dxa"/>
            <w:vAlign w:val="bottom"/>
          </w:tcPr>
          <w:p>
            <w:pPr>
              <w:spacing w:after="0"/>
              <w:rPr>
                <w:sz w:val="20"/>
                <w:szCs w:val="20"/>
                <w:color w:val="auto"/>
              </w:rPr>
            </w:pPr>
            <w:r>
              <w:rPr>
                <w:rFonts w:ascii="Courier New" w:cs="Courier New" w:eastAsia="Courier New" w:hAnsi="Courier New"/>
                <w:sz w:val="16"/>
                <w:szCs w:val="16"/>
                <w:color w:val="auto"/>
              </w:rPr>
              <w:t>W.P. Weber(1)</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1996</w:t>
            </w:r>
          </w:p>
        </w:tc>
        <w:tc>
          <w:tcPr>
            <w:tcW w:w="10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$424,300</w:t>
            </w:r>
          </w:p>
        </w:tc>
        <w:tc>
          <w:tcPr>
            <w:tcW w:w="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24"/>
                <w:szCs w:val="24"/>
                <w:color w:val="auto"/>
              </w:rPr>
            </w:pPr>
          </w:p>
        </w:tc>
        <w:tc>
          <w:tcPr>
            <w:tcW w:w="9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25,000</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$ 24,868</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20"/>
                <w:szCs w:val="20"/>
                <w:color w:val="auto"/>
              </w:rPr>
            </w:pPr>
            <w:r>
              <w:rPr>
                <w:rFonts w:ascii="Courier New" w:cs="Courier New" w:eastAsia="Courier New" w:hAnsi="Courier New"/>
                <w:sz w:val="16"/>
                <w:szCs w:val="16"/>
                <w:color w:val="auto"/>
              </w:rPr>
              <w:t>Vice Chairman</w:t>
            </w:r>
          </w:p>
        </w:tc>
        <w:tc>
          <w:tcPr>
            <w:tcW w:w="40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98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$404,250</w:t>
            </w:r>
          </w:p>
        </w:tc>
        <w:tc>
          <w:tcPr>
            <w:tcW w:w="100" w:type="dxa"/>
            <w:vAlign w:val="bottom"/>
            <w:vMerge w:val="continue"/>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750,000</w:t>
            </w: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50,000</w:t>
            </w:r>
          </w:p>
        </w:tc>
        <w:tc>
          <w:tcPr>
            <w:tcW w:w="68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$168,272</w:t>
            </w:r>
          </w:p>
        </w:tc>
        <w:tc>
          <w:tcPr>
            <w:tcW w:w="0" w:type="dxa"/>
            <w:vAlign w:val="bottom"/>
          </w:tcPr>
          <w:p>
            <w:pPr>
              <w:spacing w:after="0"/>
              <w:rPr>
                <w:sz w:val="1"/>
                <w:szCs w:val="1"/>
                <w:color w:val="auto"/>
              </w:rPr>
            </w:pPr>
          </w:p>
        </w:tc>
      </w:tr>
      <w:tr>
        <w:trPr>
          <w:trHeight w:val="276"/>
        </w:trPr>
        <w:tc>
          <w:tcPr>
            <w:tcW w:w="1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98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$395,000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600,000</w:t>
            </w: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50,000</w:t>
            </w:r>
          </w:p>
        </w:tc>
        <w:tc>
          <w:tcPr>
            <w:tcW w:w="68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$110,899</w:t>
            </w:r>
          </w:p>
        </w:tc>
        <w:tc>
          <w:tcPr>
            <w:tcW w:w="0" w:type="dxa"/>
            <w:vAlign w:val="bottom"/>
          </w:tcPr>
          <w:p>
            <w:pPr>
              <w:spacing w:after="0"/>
              <w:rPr>
                <w:sz w:val="1"/>
                <w:szCs w:val="1"/>
                <w:color w:val="auto"/>
              </w:rPr>
            </w:pPr>
          </w:p>
        </w:tc>
      </w:tr>
    </w:tbl>
    <w:p>
      <w:pPr>
        <w:sectPr>
          <w:pgSz w:w="11900" w:h="16838" w:orient="portrait"/>
          <w:cols w:equalWidth="0" w:num="1">
            <w:col w:w="11520"/>
          </w:cols>
          <w:pgMar w:left="240" w:top="112" w:right="1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G.D. Clubb</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$349,000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20,000</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17,555</w:t>
            </w:r>
          </w:p>
        </w:tc>
      </w:tr>
      <w:tr>
        <w:trPr>
          <w:trHeight w:val="1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Executive</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$316,700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650,000</w:t>
            </w:r>
          </w:p>
        </w:tc>
        <w:tc>
          <w:tcPr>
            <w:tcW w:w="1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40,000</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117,534</w:t>
            </w:r>
          </w:p>
        </w:tc>
      </w:tr>
      <w:tr>
        <w:trPr>
          <w:trHeight w:val="276"/>
        </w:trPr>
        <w:tc>
          <w:tcPr>
            <w:tcW w:w="1800" w:type="dxa"/>
            <w:vAlign w:val="bottom"/>
          </w:tcPr>
          <w:p>
            <w:pPr>
              <w:spacing w:after="0"/>
              <w:rPr>
                <w:sz w:val="20"/>
                <w:szCs w:val="20"/>
                <w:color w:val="auto"/>
              </w:rPr>
            </w:pPr>
            <w:r>
              <w:rPr>
                <w:rFonts w:ascii="Courier New" w:cs="Courier New" w:eastAsia="Courier New" w:hAnsi="Courier New"/>
                <w:sz w:val="16"/>
                <w:szCs w:val="16"/>
                <w:color w:val="auto"/>
              </w:rPr>
              <w:t>Vice President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$274,500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425,000</w:t>
            </w:r>
          </w:p>
        </w:tc>
        <w:tc>
          <w:tcPr>
            <w:tcW w:w="1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36,000</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60,200</w:t>
            </w:r>
          </w:p>
        </w:tc>
      </w:tr>
      <w:tr>
        <w:trPr>
          <w:trHeight w:val="2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D.D. Martin</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$349,000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20,000</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21,623</w:t>
            </w:r>
          </w:p>
        </w:tc>
      </w:tr>
      <w:tr>
        <w:trPr>
          <w:trHeight w:val="1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Executive</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$315,700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650,000</w:t>
            </w:r>
          </w:p>
        </w:tc>
        <w:tc>
          <w:tcPr>
            <w:tcW w:w="1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40,000</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121,471</w:t>
            </w:r>
          </w:p>
        </w:tc>
      </w:tr>
      <w:tr>
        <w:trPr>
          <w:trHeight w:val="276"/>
        </w:trPr>
        <w:tc>
          <w:tcPr>
            <w:tcW w:w="1800" w:type="dxa"/>
            <w:vAlign w:val="bottom"/>
          </w:tcPr>
          <w:p>
            <w:pPr>
              <w:spacing w:after="0"/>
              <w:rPr>
                <w:sz w:val="20"/>
                <w:szCs w:val="20"/>
                <w:color w:val="auto"/>
              </w:rPr>
            </w:pPr>
            <w:r>
              <w:rPr>
                <w:rFonts w:ascii="Courier New" w:cs="Courier New" w:eastAsia="Courier New" w:hAnsi="Courier New"/>
                <w:sz w:val="16"/>
                <w:szCs w:val="16"/>
                <w:color w:val="auto"/>
              </w:rPr>
              <w:t>Vice President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$263,500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400,000</w:t>
            </w:r>
          </w:p>
        </w:tc>
        <w:tc>
          <w:tcPr>
            <w:tcW w:w="1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36,000</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65,508</w:t>
            </w:r>
          </w:p>
        </w:tc>
      </w:tr>
      <w:tr>
        <w:trPr>
          <w:trHeight w:val="2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R.J. Agnich</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$346,500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20,000</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19,040</w:t>
            </w:r>
          </w:p>
        </w:tc>
      </w:tr>
      <w:tr>
        <w:trPr>
          <w:trHeight w:val="1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Senior Vice</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$328,250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550,000</w:t>
            </w:r>
          </w:p>
        </w:tc>
        <w:tc>
          <w:tcPr>
            <w:tcW w:w="1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37,000</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119,202</w:t>
            </w:r>
          </w:p>
        </w:tc>
      </w:tr>
      <w:tr>
        <w:trPr>
          <w:trHeight w:val="1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$308,250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350,000</w:t>
            </w:r>
          </w:p>
        </w:tc>
        <w:tc>
          <w:tcPr>
            <w:tcW w:w="1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37,000</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89,849</w:t>
            </w:r>
          </w:p>
        </w:tc>
      </w:tr>
      <w:tr>
        <w:trPr>
          <w:trHeight w:val="1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Secretary &amp;</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76"/>
        </w:trPr>
        <w:tc>
          <w:tcPr>
            <w:tcW w:w="1800" w:type="dxa"/>
            <w:vAlign w:val="bottom"/>
          </w:tcPr>
          <w:p>
            <w:pPr>
              <w:spacing w:after="0"/>
              <w:rPr>
                <w:sz w:val="20"/>
                <w:szCs w:val="20"/>
                <w:color w:val="auto"/>
              </w:rPr>
            </w:pPr>
            <w:r>
              <w:rPr>
                <w:rFonts w:ascii="Courier New" w:cs="Courier New" w:eastAsia="Courier New" w:hAnsi="Courier New"/>
                <w:sz w:val="16"/>
                <w:szCs w:val="16"/>
                <w:color w:val="auto"/>
              </w:rPr>
              <w:t>General Counsel</w:t>
            </w: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W.A. Aylesworth</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$346,500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20,000</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20,516</w:t>
            </w:r>
          </w:p>
        </w:tc>
      </w:tr>
      <w:tr>
        <w:trPr>
          <w:trHeight w:val="1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Senior Vice</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$328,250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550,000</w:t>
            </w:r>
          </w:p>
        </w:tc>
        <w:tc>
          <w:tcPr>
            <w:tcW w:w="1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37,000</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115,153</w:t>
            </w:r>
          </w:p>
        </w:tc>
      </w:tr>
      <w:tr>
        <w:trPr>
          <w:trHeight w:val="1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$308,250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350,000</w:t>
            </w:r>
          </w:p>
        </w:tc>
        <w:tc>
          <w:tcPr>
            <w:tcW w:w="1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37,000</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75,986</w:t>
            </w:r>
          </w:p>
        </w:tc>
      </w:tr>
      <w:tr>
        <w:trPr>
          <w:trHeight w:val="218"/>
        </w:trPr>
        <w:tc>
          <w:tcPr>
            <w:tcW w:w="1800" w:type="dxa"/>
            <w:vAlign w:val="bottom"/>
          </w:tcPr>
          <w:p>
            <w:pPr>
              <w:spacing w:after="0"/>
              <w:rPr>
                <w:sz w:val="20"/>
                <w:szCs w:val="20"/>
                <w:color w:val="auto"/>
              </w:rPr>
            </w:pPr>
            <w:r>
              <w:rPr>
                <w:rFonts w:ascii="Courier New" w:cs="Courier New" w:eastAsia="Courier New" w:hAnsi="Courier New"/>
                <w:sz w:val="16"/>
                <w:szCs w:val="16"/>
                <w:color w:val="auto"/>
              </w:rPr>
              <w:t>Treasurer &amp;</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rPr>
          <w:sz w:val="20"/>
          <w:szCs w:val="20"/>
          <w:color w:val="auto"/>
        </w:rPr>
      </w:pPr>
      <w:r>
        <w:rPr>
          <w:rFonts w:ascii="Courier New" w:cs="Courier New" w:eastAsia="Courier New" w:hAnsi="Courier New"/>
          <w:sz w:val="16"/>
          <w:szCs w:val="16"/>
          <w:color w:val="auto"/>
        </w:rPr>
        <w:t>Chief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pacing w:after="0" w:line="383" w:lineRule="exact"/>
        <w:rPr>
          <w:sz w:val="20"/>
          <w:szCs w:val="20"/>
          <w:color w:val="auto"/>
        </w:rPr>
      </w:pPr>
    </w:p>
    <w:p>
      <w:pPr>
        <w:jc w:val="both"/>
        <w:ind w:right="3800"/>
        <w:spacing w:after="0" w:line="268" w:lineRule="auto"/>
        <w:tabs>
          <w:tab w:leader="none" w:pos="39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Junkins died on May 29, 1996. Mr. Weber served as Vice Chairman, President and Chief Executive Officer from May 29, 1996 to June 20, 1996.</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Mr. Engibous was elected President and Chief Executive Officer on June 20, 1996.</w:t>
      </w:r>
    </w:p>
    <w:p>
      <w:pPr>
        <w:spacing w:after="0" w:line="164"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Mitchell retired from the Company on December 31, 1996.</w:t>
      </w:r>
    </w:p>
    <w:p>
      <w:pPr>
        <w:spacing w:after="0" w:line="194"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value of perquisites and other personal benefits for each</w:t>
      </w:r>
    </w:p>
    <w:p>
      <w:pPr>
        <w:spacing w:after="0" w:line="37" w:lineRule="exact"/>
        <w:rPr>
          <w:sz w:val="20"/>
          <w:szCs w:val="20"/>
          <w:color w:val="auto"/>
        </w:rPr>
      </w:pPr>
    </w:p>
    <w:p>
      <w:pPr>
        <w:ind w:right="4000"/>
        <w:spacing w:after="0" w:line="334" w:lineRule="auto"/>
        <w:rPr>
          <w:sz w:val="20"/>
          <w:szCs w:val="20"/>
          <w:color w:val="auto"/>
        </w:rPr>
      </w:pPr>
      <w:r>
        <w:rPr>
          <w:rFonts w:ascii="Courier New" w:cs="Courier New" w:eastAsia="Courier New" w:hAnsi="Courier New"/>
          <w:sz w:val="16"/>
          <w:szCs w:val="16"/>
          <w:color w:val="auto"/>
        </w:rPr>
        <w:t>of the named executive officers was less than the established reporting thresholds.</w:t>
      </w:r>
    </w:p>
    <w:p>
      <w:pPr>
        <w:spacing w:after="0" w:line="29" w:lineRule="exact"/>
        <w:rPr>
          <w:sz w:val="20"/>
          <w:szCs w:val="20"/>
          <w:color w:val="auto"/>
        </w:rPr>
      </w:pPr>
    </w:p>
    <w:p>
      <w:pPr>
        <w:ind w:right="3700"/>
        <w:spacing w:after="0" w:line="311" w:lineRule="auto"/>
        <w:tabs>
          <w:tab w:leader="none" w:pos="39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For purposes of the table, restricted stock units awarded under the Company's Long-Term Incentive Plan are valued at market on the date of award.</w:t>
      </w:r>
    </w:p>
    <w:p>
      <w:pPr>
        <w:spacing w:after="0" w:line="47" w:lineRule="exact"/>
        <w:rPr>
          <w:sz w:val="20"/>
          <w:szCs w:val="20"/>
          <w:color w:val="auto"/>
        </w:rPr>
      </w:pPr>
    </w:p>
    <w:p>
      <w:pPr>
        <w:ind w:left="880" w:hanging="489"/>
        <w:spacing w:after="0"/>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pursuant to the restricted stock units awarded to</w:t>
      </w:r>
    </w:p>
    <w:p>
      <w:pPr>
        <w:spacing w:after="0" w:line="37" w:lineRule="exact"/>
        <w:rPr>
          <w:sz w:val="20"/>
          <w:szCs w:val="20"/>
          <w:color w:val="auto"/>
        </w:rPr>
      </w:pPr>
    </w:p>
    <w:p>
      <w:pPr>
        <w:ind w:right="3320"/>
        <w:spacing w:after="0" w:line="270" w:lineRule="auto"/>
        <w:rPr>
          <w:sz w:val="20"/>
          <w:szCs w:val="20"/>
          <w:color w:val="auto"/>
        </w:rPr>
      </w:pPr>
      <w:r>
        <w:rPr>
          <w:rFonts w:ascii="Courier New" w:cs="Courier New" w:eastAsia="Courier New" w:hAnsi="Courier New"/>
          <w:sz w:val="16"/>
          <w:szCs w:val="16"/>
          <w:color w:val="auto"/>
        </w:rPr>
        <w:t>Mr. Engibous in 1996 are based primarily on whether the Company meets specific goals regarding return on net assets and revenue growth over a period of five years (as determined in accordance with the terms of the award) and generally are payable only if Mr. Engibous remains employed by the Company for a period of ten years.</w:t>
      </w:r>
    </w:p>
    <w:p>
      <w:pPr>
        <w:spacing w:after="0" w:line="78" w:lineRule="exact"/>
        <w:rPr>
          <w:sz w:val="20"/>
          <w:szCs w:val="20"/>
          <w:color w:val="auto"/>
        </w:rPr>
      </w:pPr>
    </w:p>
    <w:p>
      <w:pPr>
        <w:ind w:right="3600" w:firstLine="391"/>
        <w:spacing w:after="0" w:line="373" w:lineRule="auto"/>
        <w:tabs>
          <w:tab w:leader="none" w:pos="88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restricted stock units awarded to Mr. Junkins in both 1994 and 1996 were retained by his estate pursuant to the terms of the awards.</w:t>
      </w:r>
    </w:p>
    <w:p>
      <w:pPr>
        <w:ind w:right="3600" w:firstLine="391"/>
        <w:spacing w:after="0" w:line="373" w:lineRule="auto"/>
        <w:tabs>
          <w:tab w:leader="none" w:pos="88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equivalent payments are paid on restricted stock units at the same rate as dividends on the Company's common stock.</w:t>
      </w:r>
    </w:p>
    <w:p>
      <w:pPr>
        <w:ind w:right="3320"/>
        <w:spacing w:after="0" w:line="269" w:lineRule="auto"/>
        <w:tabs>
          <w:tab w:leader="none" w:pos="39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1996, the Company made payments relating to premiums with respect to split-dollar life insurance policies in the following amounts: Mr. Engibous, $12,284; Mr. Junkins, $5,944; Mr. Mitchell, $21,901; Mr. Weber, $21,668; Mr. Clubb, $14,355; Mr. Martin, $18,423; Mr. Agnich, $15,840; and Mr. Aylesworth, $17,316. Also, the Company made payments relating to premiums with respect to travel and accident insurance policies in the amount of $200 for each of the named executive officers.</w:t>
      </w:r>
    </w:p>
    <w:p>
      <w:pPr>
        <w:spacing w:after="0" w:line="82" w:lineRule="exact"/>
        <w:rPr>
          <w:sz w:val="20"/>
          <w:szCs w:val="20"/>
          <w:color w:val="auto"/>
        </w:rPr>
      </w:pPr>
    </w:p>
    <w:p>
      <w:pPr>
        <w:ind w:right="3520"/>
        <w:spacing w:after="0" w:line="290" w:lineRule="auto"/>
        <w:rPr>
          <w:sz w:val="20"/>
          <w:szCs w:val="20"/>
          <w:color w:val="auto"/>
        </w:rPr>
      </w:pPr>
      <w:r>
        <w:rPr>
          <w:rFonts w:ascii="Courier New" w:cs="Courier New" w:eastAsia="Courier New" w:hAnsi="Courier New"/>
          <w:sz w:val="16"/>
          <w:szCs w:val="16"/>
          <w:color w:val="auto"/>
        </w:rPr>
        <w:t>During 1996, the Company made matching contributions to the cash or deferred compensation account (401(k)) under the U.S. profit sharing plan in the following amounts: Mr. Junkins, $2,000; each of the other named executive officers, $3,000.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Table of Option Grants in 1996</w:t>
      </w:r>
    </w:p>
    <w:p>
      <w:pPr>
        <w:sectPr>
          <w:pgSz w:w="11900" w:h="16838" w:orient="portrait"/>
          <w:cols w:equalWidth="0" w:num="1">
            <w:col w:w="10940"/>
          </w:cols>
          <w:pgMar w:left="240" w:top="112" w:right="719" w:bottom="0" w:gutter="0" w:footer="0" w:header="0"/>
        </w:sectPr>
      </w:pPr>
    </w:p>
    <w:bookmarkStart w:id="7" w:name="page8"/>
    <w:bookmarkEnd w:id="7"/>
    <w:p>
      <w:pPr>
        <w:spacing w:after="0" w:line="101" w:lineRule="exact"/>
        <w:rPr>
          <w:sz w:val="20"/>
          <w:szCs w:val="20"/>
          <w:color w:val="auto"/>
        </w:rPr>
      </w:pPr>
    </w:p>
    <w:p>
      <w:pPr>
        <w:ind w:right="3820"/>
        <w:spacing w:after="0" w:line="273" w:lineRule="auto"/>
        <w:rPr>
          <w:sz w:val="20"/>
          <w:szCs w:val="20"/>
          <w:color w:val="auto"/>
        </w:rPr>
      </w:pPr>
      <w:r>
        <w:rPr>
          <w:rFonts w:ascii="Courier New" w:cs="Courier New" w:eastAsia="Courier New" w:hAnsi="Courier New"/>
          <w:sz w:val="16"/>
          <w:szCs w:val="16"/>
          <w:color w:val="auto"/>
        </w:rPr>
        <w:t>The following table sets forth details regarding stock options granted to the named executive officers in 1996. In addition, there are shown the hypothetical gains or "option spreads" that would exist for the respective options. These gains are based on assumed rates of annual compound stock appreciation of 5% and 10% from the date the options were granted over the full option term.</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5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Potential Realizable Value at</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60" w:type="dxa"/>
            <w:vAlign w:val="bottom"/>
          </w:tcPr>
          <w:p>
            <w:pPr>
              <w:spacing w:after="0"/>
              <w:rPr>
                <w:sz w:val="20"/>
                <w:szCs w:val="20"/>
                <w:color w:val="auto"/>
              </w:rPr>
            </w:pPr>
            <w:r>
              <w:rPr>
                <w:rFonts w:ascii="Courier New" w:cs="Courier New" w:eastAsia="Courier New" w:hAnsi="Courier New"/>
                <w:sz w:val="16"/>
                <w:szCs w:val="16"/>
                <w:color w:val="auto"/>
              </w:rPr>
              <w:t>Assumed Annual Rates</w:t>
            </w: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of Stock Price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Appreciation for Option</w:t>
            </w: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Term (10 Years)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20" w:type="dxa"/>
            <w:vAlign w:val="bottom"/>
            <w:gridSpan w:val="4"/>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6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1620" w:type="dxa"/>
            <w:vAlign w:val="bottom"/>
          </w:tcPr>
          <w:p>
            <w:pPr>
              <w:ind w:left="980"/>
              <w:spacing w:after="0"/>
              <w:rPr>
                <w:sz w:val="20"/>
                <w:szCs w:val="20"/>
                <w:color w:val="auto"/>
              </w:rPr>
            </w:pPr>
            <w:r>
              <w:rPr>
                <w:rFonts w:ascii="Courier New" w:cs="Courier New" w:eastAsia="Courier New" w:hAnsi="Courier New"/>
                <w:sz w:val="16"/>
                <w:szCs w:val="16"/>
                <w:color w:val="auto"/>
              </w:rPr>
              <w:t>10%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520" w:type="dxa"/>
            <w:vAlign w:val="bottom"/>
          </w:tcPr>
          <w:p>
            <w:pPr>
              <w:spacing w:after="0"/>
              <w:rPr>
                <w:sz w:val="23"/>
                <w:szCs w:val="23"/>
                <w:color w:val="auto"/>
              </w:rPr>
            </w:pPr>
          </w:p>
        </w:tc>
        <w:tc>
          <w:tcPr>
            <w:tcW w:w="9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Options</w:t>
            </w:r>
          </w:p>
        </w:tc>
        <w:tc>
          <w:tcPr>
            <w:tcW w:w="11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 of Total</w:t>
            </w: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0"/>
                <w:szCs w:val="10"/>
                <w:color w:val="auto"/>
                <w:w w:val="75"/>
              </w:rPr>
              <w:t>-------------------------</w:t>
            </w:r>
          </w:p>
        </w:tc>
        <w:tc>
          <w:tcPr>
            <w:tcW w:w="480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15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Stock</w:t>
            </w:r>
          </w:p>
        </w:tc>
        <w:tc>
          <w:tcPr>
            <w:tcW w:w="1960" w:type="dxa"/>
            <w:vAlign w:val="bottom"/>
          </w:tcPr>
          <w:p>
            <w:pPr>
              <w:spacing w:after="0"/>
              <w:rPr>
                <w:sz w:val="8"/>
                <w:szCs w:val="8"/>
                <w:color w:val="auto"/>
              </w:rPr>
            </w:pPr>
          </w:p>
        </w:tc>
        <w:tc>
          <w:tcPr>
            <w:tcW w:w="1620" w:type="dxa"/>
            <w:vAlign w:val="bottom"/>
            <w:vMerge w:val="restart"/>
          </w:tcPr>
          <w:p>
            <w:pPr>
              <w:spacing w:after="0"/>
              <w:rPr>
                <w:sz w:val="20"/>
                <w:szCs w:val="20"/>
                <w:color w:val="auto"/>
              </w:rPr>
            </w:pPr>
            <w:r>
              <w:rPr>
                <w:rFonts w:ascii="Courier New" w:cs="Courier New" w:eastAsia="Courier New" w:hAnsi="Courier New"/>
                <w:sz w:val="16"/>
                <w:szCs w:val="16"/>
                <w:color w:val="auto"/>
              </w:rPr>
              <w:t>Stock</w:t>
            </w: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Granted</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Options</w:t>
            </w:r>
          </w:p>
        </w:tc>
        <w:tc>
          <w:tcPr>
            <w:tcW w:w="300" w:type="dxa"/>
            <w:vAlign w:val="bottom"/>
          </w:tcPr>
          <w:p>
            <w:pPr>
              <w:spacing w:after="0"/>
              <w:rPr>
                <w:sz w:val="16"/>
                <w:szCs w:val="16"/>
                <w:color w:val="auto"/>
              </w:rPr>
            </w:pPr>
          </w:p>
        </w:tc>
        <w:tc>
          <w:tcPr>
            <w:tcW w:w="980" w:type="dxa"/>
            <w:vAlign w:val="bottom"/>
            <w:vMerge w:val="restart"/>
          </w:tcPr>
          <w:p>
            <w:pPr>
              <w:spacing w:after="0"/>
              <w:rPr>
                <w:sz w:val="20"/>
                <w:szCs w:val="20"/>
                <w:color w:val="auto"/>
              </w:rPr>
            </w:pPr>
            <w:r>
              <w:rPr>
                <w:rFonts w:ascii="Courier New" w:cs="Courier New" w:eastAsia="Courier New" w:hAnsi="Courier New"/>
                <w:sz w:val="16"/>
                <w:szCs w:val="16"/>
                <w:color w:val="auto"/>
              </w:rPr>
              <w:t>Exercise</w:t>
            </w: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7"/>
              </w:rPr>
              <w:t>Expir-</w:t>
            </w:r>
          </w:p>
        </w:tc>
        <w:tc>
          <w:tcPr>
            <w:tcW w:w="122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(in</w:t>
            </w:r>
          </w:p>
        </w:tc>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Granted to</w:t>
            </w:r>
          </w:p>
        </w:tc>
        <w:tc>
          <w:tcPr>
            <w:tcW w:w="9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Price (per</w:t>
            </w:r>
          </w:p>
        </w:tc>
        <w:tc>
          <w:tcPr>
            <w:tcW w:w="196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Courier New" w:cs="Courier New" w:eastAsia="Courier New" w:hAnsi="Courier New"/>
                <w:sz w:val="16"/>
                <w:szCs w:val="16"/>
                <w:color w:val="auto"/>
              </w:rPr>
              <w:t>Price (per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Name</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shares)</w:t>
            </w:r>
          </w:p>
        </w:tc>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Employees</w:t>
            </w:r>
          </w:p>
        </w:tc>
        <w:tc>
          <w:tcPr>
            <w:tcW w:w="30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Price(per</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5"/>
              </w:rPr>
              <w:t>ation</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share)</w:t>
            </w:r>
          </w:p>
        </w:tc>
        <w:tc>
          <w:tcPr>
            <w:tcW w:w="196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rPr>
              <w:t>(2)</w:t>
            </w:r>
          </w:p>
        </w:tc>
        <w:tc>
          <w:tcPr>
            <w:tcW w:w="162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1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   in 1996</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   Date</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Gain</w:t>
            </w:r>
          </w:p>
        </w:tc>
        <w:tc>
          <w:tcPr>
            <w:tcW w:w="1960" w:type="dxa"/>
            <w:vAlign w:val="bottom"/>
            <w:vMerge w:val="continue"/>
          </w:tcPr>
          <w:p>
            <w:pPr>
              <w:spacing w:after="0"/>
              <w:rPr>
                <w:sz w:val="16"/>
                <w:szCs w:val="16"/>
                <w:color w:val="auto"/>
              </w:rPr>
            </w:pP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Gain</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90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 ---------- --------------</w:t>
            </w:r>
          </w:p>
        </w:tc>
        <w:tc>
          <w:tcPr>
            <w:tcW w:w="28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T.J. Engibous</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30,000</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1.1%</w:t>
            </w:r>
          </w:p>
        </w:tc>
        <w:tc>
          <w:tcPr>
            <w:tcW w:w="3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$45.88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1/17/06</w:t>
            </w:r>
          </w:p>
        </w:tc>
        <w:tc>
          <w:tcPr>
            <w:tcW w:w="12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$74.73</w:t>
            </w: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$865,366</w:t>
            </w: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$118.99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$2,193,238</w:t>
            </w:r>
          </w:p>
        </w:tc>
        <w:tc>
          <w:tcPr>
            <w:tcW w:w="0" w:type="dxa"/>
            <w:vAlign w:val="bottom"/>
          </w:tcPr>
          <w:p>
            <w:pPr>
              <w:spacing w:after="0"/>
              <w:rPr>
                <w:sz w:val="1"/>
                <w:szCs w:val="1"/>
                <w:color w:val="auto"/>
              </w:rPr>
            </w:pPr>
          </w:p>
        </w:tc>
      </w:tr>
      <w:tr>
        <w:trPr>
          <w:trHeight w:val="276"/>
        </w:trPr>
        <w:tc>
          <w:tcPr>
            <w:tcW w:w="152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30,000</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1.1%</w:t>
            </w:r>
          </w:p>
        </w:tc>
        <w:tc>
          <w:tcPr>
            <w:tcW w:w="300" w:type="dxa"/>
            <w:vAlign w:val="bottom"/>
          </w:tcPr>
          <w:p>
            <w:pPr>
              <w:spacing w:after="0"/>
              <w:rPr>
                <w:sz w:val="23"/>
                <w:szCs w:val="23"/>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$43.75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7/18/06</w:t>
            </w:r>
          </w:p>
        </w:tc>
        <w:tc>
          <w:tcPr>
            <w:tcW w:w="12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$71.26</w:t>
            </w: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$825,424</w:t>
            </w: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$113.48</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$2,091,787</w:t>
            </w:r>
          </w:p>
        </w:tc>
        <w:tc>
          <w:tcPr>
            <w:tcW w:w="0" w:type="dxa"/>
            <w:vAlign w:val="bottom"/>
          </w:tcPr>
          <w:p>
            <w:pPr>
              <w:spacing w:after="0"/>
              <w:rPr>
                <w:sz w:val="1"/>
                <w:szCs w:val="1"/>
                <w:color w:val="auto"/>
              </w:rPr>
            </w:pP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J.R. Junkins</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65,000</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2.4%</w:t>
            </w:r>
          </w:p>
        </w:tc>
        <w:tc>
          <w:tcPr>
            <w:tcW w:w="3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$45.88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1/17/06</w:t>
            </w:r>
          </w:p>
        </w:tc>
        <w:tc>
          <w:tcPr>
            <w:tcW w:w="12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$74.73</w:t>
            </w: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$1,874,960</w:t>
            </w: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$118.99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$4,752,016</w:t>
            </w:r>
          </w:p>
        </w:tc>
        <w:tc>
          <w:tcPr>
            <w:tcW w:w="0" w:type="dxa"/>
            <w:vAlign w:val="bottom"/>
          </w:tcPr>
          <w:p>
            <w:pPr>
              <w:spacing w:after="0"/>
              <w:rPr>
                <w:sz w:val="1"/>
                <w:szCs w:val="1"/>
                <w:color w:val="auto"/>
              </w:rPr>
            </w:pP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W.B. Mitchell</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25,000</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.94%</w:t>
            </w:r>
          </w:p>
        </w:tc>
        <w:tc>
          <w:tcPr>
            <w:tcW w:w="3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$45.88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1/17/06</w:t>
            </w:r>
          </w:p>
        </w:tc>
        <w:tc>
          <w:tcPr>
            <w:tcW w:w="12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$74.73</w:t>
            </w: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$721,139</w:t>
            </w: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$118.99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$1,827,698</w:t>
            </w:r>
          </w:p>
        </w:tc>
        <w:tc>
          <w:tcPr>
            <w:tcW w:w="0" w:type="dxa"/>
            <w:vAlign w:val="bottom"/>
          </w:tcPr>
          <w:p>
            <w:pPr>
              <w:spacing w:after="0"/>
              <w:rPr>
                <w:sz w:val="1"/>
                <w:szCs w:val="1"/>
                <w:color w:val="auto"/>
              </w:rPr>
            </w:pP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W.P. Weber</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25,000</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.94%</w:t>
            </w:r>
          </w:p>
        </w:tc>
        <w:tc>
          <w:tcPr>
            <w:tcW w:w="3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$45.88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1/17/06</w:t>
            </w:r>
          </w:p>
        </w:tc>
        <w:tc>
          <w:tcPr>
            <w:tcW w:w="12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$74.73</w:t>
            </w: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$721,139</w:t>
            </w: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$118.99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$1,827,698</w:t>
            </w:r>
          </w:p>
        </w:tc>
        <w:tc>
          <w:tcPr>
            <w:tcW w:w="0" w:type="dxa"/>
            <w:vAlign w:val="bottom"/>
          </w:tcPr>
          <w:p>
            <w:pPr>
              <w:spacing w:after="0"/>
              <w:rPr>
                <w:sz w:val="1"/>
                <w:szCs w:val="1"/>
                <w:color w:val="auto"/>
              </w:rPr>
            </w:pP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G.D. Clubb</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20,000</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.75%</w:t>
            </w:r>
          </w:p>
        </w:tc>
        <w:tc>
          <w:tcPr>
            <w:tcW w:w="3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$45.88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1/17/06</w:t>
            </w:r>
          </w:p>
        </w:tc>
        <w:tc>
          <w:tcPr>
            <w:tcW w:w="12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$74.73</w:t>
            </w: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$576,911</w:t>
            </w: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$118.99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$1,462,159</w:t>
            </w:r>
          </w:p>
        </w:tc>
        <w:tc>
          <w:tcPr>
            <w:tcW w:w="0" w:type="dxa"/>
            <w:vAlign w:val="bottom"/>
          </w:tcPr>
          <w:p>
            <w:pPr>
              <w:spacing w:after="0"/>
              <w:rPr>
                <w:sz w:val="1"/>
                <w:szCs w:val="1"/>
                <w:color w:val="auto"/>
              </w:rPr>
            </w:pP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D.D. Martin</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20,000</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.75%</w:t>
            </w:r>
          </w:p>
        </w:tc>
        <w:tc>
          <w:tcPr>
            <w:tcW w:w="3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$45.88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1/17/06</w:t>
            </w:r>
          </w:p>
        </w:tc>
        <w:tc>
          <w:tcPr>
            <w:tcW w:w="12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$74.73</w:t>
            </w: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$576,911</w:t>
            </w: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$118.99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$1,462,159</w:t>
            </w:r>
          </w:p>
        </w:tc>
        <w:tc>
          <w:tcPr>
            <w:tcW w:w="0" w:type="dxa"/>
            <w:vAlign w:val="bottom"/>
          </w:tcPr>
          <w:p>
            <w:pPr>
              <w:spacing w:after="0"/>
              <w:rPr>
                <w:sz w:val="1"/>
                <w:szCs w:val="1"/>
                <w:color w:val="auto"/>
              </w:rPr>
            </w:pP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R.J. Agnich</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20,000</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.75%</w:t>
            </w:r>
          </w:p>
        </w:tc>
        <w:tc>
          <w:tcPr>
            <w:tcW w:w="3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$45.88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1/17/06</w:t>
            </w:r>
          </w:p>
        </w:tc>
        <w:tc>
          <w:tcPr>
            <w:tcW w:w="12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$74.73</w:t>
            </w: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$576,911</w:t>
            </w: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$118.99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$1,462,159</w:t>
            </w:r>
          </w:p>
        </w:tc>
        <w:tc>
          <w:tcPr>
            <w:tcW w:w="0" w:type="dxa"/>
            <w:vAlign w:val="bottom"/>
          </w:tcPr>
          <w:p>
            <w:pPr>
              <w:spacing w:after="0"/>
              <w:rPr>
                <w:sz w:val="1"/>
                <w:szCs w:val="1"/>
                <w:color w:val="auto"/>
              </w:rPr>
            </w:pP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W.A. Aylesworth</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20,000</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.75%</w:t>
            </w:r>
          </w:p>
        </w:tc>
        <w:tc>
          <w:tcPr>
            <w:tcW w:w="3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$45.88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1/17/06</w:t>
            </w:r>
          </w:p>
        </w:tc>
        <w:tc>
          <w:tcPr>
            <w:tcW w:w="12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$74.73</w:t>
            </w: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$576,911</w:t>
            </w: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$118.99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$1,462,159</w:t>
            </w:r>
          </w:p>
        </w:tc>
        <w:tc>
          <w:tcPr>
            <w:tcW w:w="0" w:type="dxa"/>
            <w:vAlign w:val="bottom"/>
          </w:tcPr>
          <w:p>
            <w:pPr>
              <w:spacing w:after="0"/>
              <w:rPr>
                <w:sz w:val="1"/>
                <w:szCs w:val="1"/>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60" w:type="dxa"/>
            <w:vAlign w:val="bottom"/>
          </w:tcPr>
          <w:p>
            <w:pPr>
              <w:spacing w:after="0"/>
              <w:rPr>
                <w:sz w:val="20"/>
                <w:szCs w:val="20"/>
                <w:color w:val="auto"/>
              </w:rPr>
            </w:pPr>
            <w:r>
              <w:rPr>
                <w:rFonts w:ascii="Courier New" w:cs="Courier New" w:eastAsia="Courier New" w:hAnsi="Courier New"/>
                <w:sz w:val="16"/>
                <w:szCs w:val="16"/>
                <w:color w:val="auto"/>
              </w:rPr>
              <w:t>All stockholders</w:t>
            </w:r>
          </w:p>
        </w:tc>
        <w:tc>
          <w:tcPr>
            <w:tcW w:w="20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$74.73</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$5,464,775,441(3)</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$118.99</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$13,848,814,761(3)</w:t>
            </w:r>
          </w:p>
        </w:tc>
      </w:tr>
      <w:tr>
        <w:trPr>
          <w:trHeight w:val="288"/>
        </w:trPr>
        <w:tc>
          <w:tcPr>
            <w:tcW w:w="4260" w:type="dxa"/>
            <w:vAlign w:val="bottom"/>
          </w:tcPr>
          <w:p>
            <w:pPr>
              <w:spacing w:after="0"/>
              <w:rPr>
                <w:sz w:val="20"/>
                <w:szCs w:val="20"/>
                <w:color w:val="auto"/>
              </w:rPr>
            </w:pPr>
            <w:r>
              <w:rPr>
                <w:rFonts w:ascii="Courier New" w:cs="Courier New" w:eastAsia="Courier New" w:hAnsi="Courier New"/>
                <w:sz w:val="16"/>
                <w:szCs w:val="16"/>
                <w:color w:val="auto"/>
              </w:rPr>
              <w:t>Employees</w:t>
            </w:r>
          </w:p>
        </w:tc>
        <w:tc>
          <w:tcPr>
            <w:tcW w:w="20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$74.73</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$501,177,577(4)</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$118.99</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$1,270,082,380(4)</w:t>
            </w:r>
          </w:p>
        </w:tc>
      </w:tr>
      <w:tr>
        <w:trPr>
          <w:trHeight w:val="188"/>
        </w:trPr>
        <w:tc>
          <w:tcPr>
            <w:tcW w:w="4260" w:type="dxa"/>
            <w:vAlign w:val="bottom"/>
          </w:tcPr>
          <w:p>
            <w:pPr>
              <w:spacing w:after="0"/>
              <w:rPr>
                <w:sz w:val="20"/>
                <w:szCs w:val="20"/>
                <w:color w:val="auto"/>
              </w:rPr>
            </w:pPr>
            <w:r>
              <w:rPr>
                <w:rFonts w:ascii="Courier New" w:cs="Courier New" w:eastAsia="Courier New" w:hAnsi="Courier New"/>
                <w:sz w:val="16"/>
                <w:szCs w:val="16"/>
                <w:color w:val="auto"/>
              </w:rPr>
              <w:t>through TI profit sharing plans</w:t>
            </w:r>
          </w:p>
        </w:tc>
        <w:tc>
          <w:tcPr>
            <w:tcW w:w="2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76"/>
        </w:trPr>
        <w:tc>
          <w:tcPr>
            <w:tcW w:w="42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940" w:type="dxa"/>
            <w:vAlign w:val="bottom"/>
          </w:tcPr>
          <w:p>
            <w:pPr>
              <w:spacing w:after="0"/>
              <w:rPr>
                <w:sz w:val="23"/>
                <w:szCs w:val="23"/>
                <w:color w:val="auto"/>
              </w:rPr>
            </w:pPr>
          </w:p>
        </w:tc>
      </w:tr>
    </w:tbl>
    <w:p>
      <w:pPr>
        <w:spacing w:after="0" w:line="100" w:lineRule="exact"/>
        <w:rPr>
          <w:sz w:val="20"/>
          <w:szCs w:val="20"/>
          <w:color w:val="auto"/>
        </w:rPr>
      </w:pPr>
    </w:p>
    <w:p>
      <w:pPr>
        <w:ind w:left="400" w:hanging="400"/>
        <w:spacing w:after="0"/>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non-qualified options may become exercisable on a graduated</w:t>
      </w:r>
    </w:p>
    <w:p>
      <w:pPr>
        <w:spacing w:after="0" w:line="36" w:lineRule="exact"/>
        <w:rPr>
          <w:rFonts w:ascii="Courier New" w:cs="Courier New" w:eastAsia="Courier New" w:hAnsi="Courier New"/>
          <w:sz w:val="16"/>
          <w:szCs w:val="16"/>
          <w:color w:val="auto"/>
        </w:rPr>
      </w:pPr>
    </w:p>
    <w:p>
      <w:pPr>
        <w:ind w:right="3820"/>
        <w:spacing w:after="0" w:line="2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basis beginning after one year if specified earnings per share levels are attained. These options are fully exercisable during the ninth and tenth year without regard to earnings per share and also may become fully exercisable in the event of a change in control (as defined in the options) of the Company.</w:t>
      </w:r>
    </w:p>
    <w:p>
      <w:pPr>
        <w:spacing w:after="0" w:line="73" w:lineRule="exact"/>
        <w:rPr>
          <w:sz w:val="20"/>
          <w:szCs w:val="20"/>
          <w:color w:val="auto"/>
        </w:rPr>
      </w:pPr>
    </w:p>
    <w:p>
      <w:pPr>
        <w:jc w:val="both"/>
        <w:ind w:right="3920"/>
        <w:spacing w:after="0" w:line="311" w:lineRule="auto"/>
        <w:rPr>
          <w:sz w:val="20"/>
          <w:szCs w:val="20"/>
          <w:color w:val="auto"/>
        </w:rPr>
      </w:pPr>
      <w:r>
        <w:rPr>
          <w:rFonts w:ascii="Courier New" w:cs="Courier New" w:eastAsia="Courier New" w:hAnsi="Courier New"/>
          <w:sz w:val="16"/>
          <w:szCs w:val="16"/>
          <w:color w:val="auto"/>
        </w:rPr>
        <w:t>Subject to certain conditions, the exercise price may be paid by delivery of already-owned shares and tax withholding obligations related to exercise may be paid in shares.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pacing w:after="0" w:line="37" w:lineRule="exact"/>
        <w:rPr>
          <w:sz w:val="20"/>
          <w:szCs w:val="20"/>
          <w:color w:val="auto"/>
        </w:rPr>
      </w:pPr>
    </w:p>
    <w:p>
      <w:pPr>
        <w:ind w:right="3820"/>
        <w:spacing w:after="0" w:line="277" w:lineRule="auto"/>
        <w:tabs>
          <w:tab w:leader="none" w:pos="39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of TI common stock at the end of the 10-year term of the stock options granted at a 5% annual appreciation would be $74.73, and at a 10% annual appreciation would be $118.99 for the options expiring January 17, 2006, and $71.26 and $113.48 for the option expiring July 18, 2006.</w:t>
      </w:r>
    </w:p>
    <w:p>
      <w:pPr>
        <w:spacing w:after="0" w:line="72"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gain is based on the fair market value ($45.88 per share) and</w:t>
      </w:r>
    </w:p>
    <w:p>
      <w:pPr>
        <w:spacing w:after="0" w:line="37" w:lineRule="exact"/>
        <w:rPr>
          <w:sz w:val="20"/>
          <w:szCs w:val="20"/>
          <w:color w:val="auto"/>
        </w:rPr>
      </w:pPr>
    </w:p>
    <w:p>
      <w:pPr>
        <w:ind w:right="4200"/>
        <w:spacing w:after="0" w:line="334" w:lineRule="auto"/>
        <w:rPr>
          <w:sz w:val="20"/>
          <w:szCs w:val="20"/>
          <w:color w:val="auto"/>
        </w:rPr>
      </w:pPr>
      <w:r>
        <w:rPr>
          <w:rFonts w:ascii="Courier New" w:cs="Courier New" w:eastAsia="Courier New" w:hAnsi="Courier New"/>
          <w:sz w:val="16"/>
          <w:szCs w:val="16"/>
          <w:color w:val="auto"/>
        </w:rPr>
        <w:t>number of all the outstanding shares of common stock on the grant date of January 17, 1996.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The data presented for all employees represents the gain employees</w:t>
      </w:r>
    </w:p>
    <w:p>
      <w:pPr>
        <w:spacing w:after="0" w:line="37" w:lineRule="exact"/>
        <w:rPr>
          <w:sz w:val="20"/>
          <w:szCs w:val="20"/>
          <w:color w:val="auto"/>
        </w:rPr>
      </w:pPr>
    </w:p>
    <w:p>
      <w:pPr>
        <w:jc w:val="both"/>
        <w:ind w:right="3820"/>
        <w:spacing w:after="0" w:line="291" w:lineRule="auto"/>
        <w:rPr>
          <w:sz w:val="20"/>
          <w:szCs w:val="20"/>
          <w:color w:val="auto"/>
        </w:rPr>
      </w:pPr>
      <w:r>
        <w:rPr>
          <w:rFonts w:ascii="Courier New" w:cs="Courier New" w:eastAsia="Courier New" w:hAnsi="Courier New"/>
          <w:sz w:val="16"/>
          <w:szCs w:val="16"/>
          <w:color w:val="auto"/>
        </w:rPr>
        <w:t>would realize through the appreciation of the stock price of TI stock held in TI profit sharing plans from the date of grant, January 17, 1996, assuming 5% and 10% annual appreciation over the 10-year option term.</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Table of Option Exercises in 1996 and Year-End Option Values</w:t>
      </w:r>
    </w:p>
    <w:p>
      <w:pPr>
        <w:spacing w:after="0" w:line="195" w:lineRule="exact"/>
        <w:rPr>
          <w:sz w:val="20"/>
          <w:szCs w:val="20"/>
          <w:color w:val="auto"/>
        </w:rPr>
      </w:pPr>
    </w:p>
    <w:p>
      <w:pPr>
        <w:ind w:right="3720"/>
        <w:spacing w:after="0" w:line="311" w:lineRule="auto"/>
        <w:rPr>
          <w:sz w:val="20"/>
          <w:szCs w:val="20"/>
          <w:color w:val="auto"/>
        </w:rPr>
      </w:pPr>
      <w:r>
        <w:rPr>
          <w:rFonts w:ascii="Courier New" w:cs="Courier New" w:eastAsia="Courier New" w:hAnsi="Courier New"/>
          <w:sz w:val="16"/>
          <w:szCs w:val="16"/>
          <w:color w:val="auto"/>
        </w:rPr>
        <w:t>The following table sets forth information with respect to the named executive officers concerning the exercise of options during 1996, and unexercised options held as of December 31, 1996.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760" w:type="dxa"/>
            <w:vAlign w:val="bottom"/>
            <w:vMerge w:val="restart"/>
          </w:tcPr>
          <w:p>
            <w:pPr>
              <w:jc w:val="right"/>
              <w:ind w:right="849"/>
              <w:spacing w:after="0"/>
              <w:rPr>
                <w:sz w:val="20"/>
                <w:szCs w:val="20"/>
                <w:color w:val="auto"/>
              </w:rPr>
            </w:pPr>
            <w:r>
              <w:rPr>
                <w:rFonts w:ascii="Courier New" w:cs="Courier New" w:eastAsia="Courier New" w:hAnsi="Courier New"/>
                <w:sz w:val="16"/>
                <w:szCs w:val="16"/>
                <w:color w:val="auto"/>
              </w:rPr>
              <w:t>Number of</w:t>
            </w:r>
          </w:p>
        </w:tc>
        <w:tc>
          <w:tcPr>
            <w:tcW w:w="2800" w:type="dxa"/>
            <w:vAlign w:val="bottom"/>
          </w:tcPr>
          <w:p>
            <w:pPr>
              <w:jc w:val="center"/>
              <w:spacing w:after="0"/>
              <w:rPr>
                <w:sz w:val="20"/>
                <w:szCs w:val="20"/>
                <w:color w:val="auto"/>
              </w:rPr>
            </w:pPr>
            <w:r>
              <w:rPr>
                <w:rFonts w:ascii="Courier New" w:cs="Courier New" w:eastAsia="Courier New" w:hAnsi="Courier New"/>
                <w:sz w:val="16"/>
                <w:szCs w:val="16"/>
                <w:color w:val="auto"/>
              </w:rPr>
              <w:t>Value of</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2800" w:type="dxa"/>
            <w:vAlign w:val="bottom"/>
          </w:tcPr>
          <w:p>
            <w:pPr>
              <w:jc w:val="center"/>
              <w:ind w:left="79"/>
              <w:spacing w:after="0"/>
              <w:rPr>
                <w:sz w:val="20"/>
                <w:szCs w:val="20"/>
                <w:color w:val="auto"/>
              </w:rPr>
            </w:pPr>
            <w:r>
              <w:rPr>
                <w:rFonts w:ascii="Courier New" w:cs="Courier New" w:eastAsia="Courier New" w:hAnsi="Courier New"/>
                <w:sz w:val="16"/>
                <w:szCs w:val="16"/>
                <w:color w:val="auto"/>
              </w:rPr>
              <w:t>Unexercised</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760" w:type="dxa"/>
            <w:vAlign w:val="bottom"/>
          </w:tcPr>
          <w:p>
            <w:pPr>
              <w:jc w:val="right"/>
              <w:ind w:right="749"/>
              <w:spacing w:after="0"/>
              <w:rPr>
                <w:sz w:val="20"/>
                <w:szCs w:val="20"/>
                <w:color w:val="auto"/>
              </w:rPr>
            </w:pPr>
            <w:r>
              <w:rPr>
                <w:rFonts w:ascii="Courier New" w:cs="Courier New" w:eastAsia="Courier New" w:hAnsi="Courier New"/>
                <w:sz w:val="16"/>
                <w:szCs w:val="16"/>
                <w:color w:val="auto"/>
              </w:rPr>
              <w:t>Unexercised</w:t>
            </w:r>
          </w:p>
        </w:tc>
        <w:tc>
          <w:tcPr>
            <w:tcW w:w="2800" w:type="dxa"/>
            <w:vAlign w:val="bottom"/>
          </w:tcPr>
          <w:p>
            <w:pPr>
              <w:jc w:val="center"/>
              <w:spacing w:after="0"/>
              <w:rPr>
                <w:sz w:val="20"/>
                <w:szCs w:val="20"/>
                <w:color w:val="auto"/>
              </w:rPr>
            </w:pPr>
            <w:r>
              <w:rPr>
                <w:rFonts w:ascii="Courier New" w:cs="Courier New" w:eastAsia="Courier New" w:hAnsi="Courier New"/>
                <w:sz w:val="16"/>
                <w:szCs w:val="16"/>
                <w:color w:val="auto"/>
              </w:rPr>
              <w:t>In-the-Money</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2000" w:type="dxa"/>
            <w:vAlign w:val="bottom"/>
            <w:vMerge w:val="restart"/>
          </w:tcPr>
          <w:p>
            <w:pPr>
              <w:jc w:val="center"/>
              <w:ind w:left="759"/>
              <w:spacing w:after="0"/>
              <w:rPr>
                <w:sz w:val="20"/>
                <w:szCs w:val="20"/>
                <w:color w:val="auto"/>
              </w:rPr>
            </w:pPr>
            <w:r>
              <w:rPr>
                <w:rFonts w:ascii="Courier New" w:cs="Courier New" w:eastAsia="Courier New" w:hAnsi="Courier New"/>
                <w:sz w:val="16"/>
                <w:szCs w:val="16"/>
                <w:color w:val="auto"/>
              </w:rPr>
              <w:t>Shares</w:t>
            </w:r>
          </w:p>
        </w:tc>
        <w:tc>
          <w:tcPr>
            <w:tcW w:w="3760" w:type="dxa"/>
            <w:vAlign w:val="bottom"/>
          </w:tcPr>
          <w:p>
            <w:pPr>
              <w:jc w:val="right"/>
              <w:ind w:right="749"/>
              <w:spacing w:after="0"/>
              <w:rPr>
                <w:sz w:val="20"/>
                <w:szCs w:val="20"/>
                <w:color w:val="auto"/>
              </w:rPr>
            </w:pPr>
            <w:r>
              <w:rPr>
                <w:rFonts w:ascii="Courier New" w:cs="Courier New" w:eastAsia="Courier New" w:hAnsi="Courier New"/>
                <w:sz w:val="16"/>
                <w:szCs w:val="16"/>
                <w:color w:val="auto"/>
              </w:rPr>
              <w:t>Options at</w:t>
            </w:r>
          </w:p>
        </w:tc>
        <w:tc>
          <w:tcPr>
            <w:tcW w:w="2800" w:type="dxa"/>
            <w:vAlign w:val="bottom"/>
          </w:tcPr>
          <w:p>
            <w:pPr>
              <w:jc w:val="center"/>
              <w:spacing w:after="0"/>
              <w:rPr>
                <w:sz w:val="20"/>
                <w:szCs w:val="20"/>
                <w:color w:val="auto"/>
              </w:rPr>
            </w:pPr>
            <w:r>
              <w:rPr>
                <w:rFonts w:ascii="Courier New" w:cs="Courier New" w:eastAsia="Courier New" w:hAnsi="Courier New"/>
                <w:sz w:val="16"/>
                <w:szCs w:val="16"/>
                <w:color w:val="auto"/>
              </w:rPr>
              <w:t>Options at</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3760" w:type="dxa"/>
            <w:vAlign w:val="bottom"/>
          </w:tcPr>
          <w:p>
            <w:pPr>
              <w:jc w:val="right"/>
              <w:ind w:right="369"/>
              <w:spacing w:after="0"/>
              <w:rPr>
                <w:sz w:val="20"/>
                <w:szCs w:val="20"/>
                <w:color w:val="auto"/>
              </w:rPr>
            </w:pPr>
            <w:r>
              <w:rPr>
                <w:rFonts w:ascii="Courier New" w:cs="Courier New" w:eastAsia="Courier New" w:hAnsi="Courier New"/>
                <w:sz w:val="16"/>
                <w:szCs w:val="16"/>
                <w:color w:val="auto"/>
              </w:rPr>
              <w:t>December 31, 1996(2)</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December 31, 1996(2)(3)</w:t>
            </w:r>
          </w:p>
        </w:tc>
        <w:tc>
          <w:tcPr>
            <w:tcW w:w="0" w:type="dxa"/>
            <w:vAlign w:val="bottom"/>
          </w:tcPr>
          <w:p>
            <w:pPr>
              <w:spacing w:after="0"/>
              <w:rPr>
                <w:sz w:val="1"/>
                <w:szCs w:val="1"/>
                <w:color w:val="auto"/>
              </w:rPr>
            </w:pPr>
          </w:p>
        </w:tc>
      </w:tr>
      <w:tr>
        <w:trPr>
          <w:trHeight w:val="188"/>
        </w:trPr>
        <w:tc>
          <w:tcPr>
            <w:tcW w:w="122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2000" w:type="dxa"/>
            <w:vAlign w:val="bottom"/>
          </w:tcPr>
          <w:p>
            <w:pPr>
              <w:ind w:left="840"/>
              <w:spacing w:after="0"/>
              <w:rPr>
                <w:sz w:val="20"/>
                <w:szCs w:val="20"/>
                <w:color w:val="auto"/>
              </w:rPr>
            </w:pPr>
            <w:r>
              <w:rPr>
                <w:rFonts w:ascii="Courier New" w:cs="Courier New" w:eastAsia="Courier New" w:hAnsi="Courier New"/>
                <w:sz w:val="16"/>
                <w:szCs w:val="16"/>
                <w:color w:val="auto"/>
              </w:rPr>
              <w:t>Acquired on</w:t>
            </w:r>
          </w:p>
        </w:tc>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Value--------------------------</w:t>
            </w:r>
          </w:p>
        </w:tc>
        <w:tc>
          <w:tcPr>
            <w:tcW w:w="2800" w:type="dxa"/>
            <w:vAlign w:val="bottom"/>
          </w:tcPr>
          <w:p>
            <w:pPr>
              <w:jc w:val="center"/>
              <w:ind w:left="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1220" w:type="dxa"/>
            <w:vAlign w:val="bottom"/>
            <w:vMerge w:val="continue"/>
          </w:tcPr>
          <w:p>
            <w:pPr>
              <w:spacing w:after="0"/>
              <w:rPr>
                <w:sz w:val="23"/>
                <w:szCs w:val="23"/>
                <w:color w:val="auto"/>
              </w:rPr>
            </w:pPr>
          </w:p>
        </w:tc>
        <w:tc>
          <w:tcPr>
            <w:tcW w:w="2000" w:type="dxa"/>
            <w:vAlign w:val="bottom"/>
          </w:tcPr>
          <w:p>
            <w:pPr>
              <w:jc w:val="center"/>
              <w:ind w:left="759"/>
              <w:spacing w:after="0"/>
              <w:rPr>
                <w:sz w:val="20"/>
                <w:szCs w:val="20"/>
                <w:color w:val="auto"/>
              </w:rPr>
            </w:pPr>
            <w:r>
              <w:rPr>
                <w:rFonts w:ascii="Courier New" w:cs="Courier New" w:eastAsia="Courier New" w:hAnsi="Courier New"/>
                <w:sz w:val="16"/>
                <w:szCs w:val="16"/>
                <w:color w:val="auto"/>
              </w:rPr>
              <w:t>Exercise</w:t>
            </w:r>
          </w:p>
        </w:tc>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Realized   Exercisable  Unexercisable</w:t>
            </w:r>
          </w:p>
        </w:tc>
        <w:tc>
          <w:tcPr>
            <w:tcW w:w="2800" w:type="dxa"/>
            <w:vAlign w:val="bottom"/>
          </w:tcPr>
          <w:p>
            <w:pPr>
              <w:jc w:val="center"/>
              <w:ind w:left="79"/>
              <w:spacing w:after="0"/>
              <w:rPr>
                <w:sz w:val="20"/>
                <w:szCs w:val="20"/>
                <w:color w:val="auto"/>
              </w:rPr>
            </w:pPr>
            <w:r>
              <w:rPr>
                <w:rFonts w:ascii="Courier New" w:cs="Courier New" w:eastAsia="Courier New" w:hAnsi="Courier New"/>
                <w:sz w:val="16"/>
                <w:szCs w:val="16"/>
                <w:color w:val="auto"/>
              </w:rPr>
              <w:t>Exercisable   Unexercisable</w:t>
            </w:r>
          </w:p>
        </w:tc>
        <w:tc>
          <w:tcPr>
            <w:tcW w:w="0" w:type="dxa"/>
            <w:vAlign w:val="bottom"/>
          </w:tcPr>
          <w:p>
            <w:pPr>
              <w:spacing w:after="0"/>
              <w:rPr>
                <w:sz w:val="1"/>
                <w:szCs w:val="1"/>
                <w:color w:val="auto"/>
              </w:rPr>
            </w:pPr>
          </w:p>
        </w:tc>
      </w:tr>
    </w:tbl>
    <w:p>
      <w:pPr>
        <w:sectPr>
          <w:pgSz w:w="11900" w:h="16940" w:orient="portrait"/>
          <w:cols w:equalWidth="0" w:num="1">
            <w:col w:w="11340"/>
          </w:cols>
          <w:pgMar w:left="240" w:top="112" w:right="319" w:bottom="0" w:gutter="0" w:footer="0" w:header="0"/>
        </w:sectPr>
      </w:pPr>
    </w:p>
    <w:bookmarkStart w:id="8" w:name="page9"/>
    <w:bookmarkEnd w:id="8"/>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376"/>
        </w:trPr>
        <w:tc>
          <w:tcPr>
            <w:tcW w:w="2100" w:type="dxa"/>
            <w:vAlign w:val="bottom"/>
          </w:tcPr>
          <w:p>
            <w:pPr>
              <w:spacing w:after="0"/>
              <w:rPr>
                <w:sz w:val="20"/>
                <w:szCs w:val="20"/>
                <w:color w:val="auto"/>
              </w:rPr>
            </w:pPr>
            <w:r>
              <w:rPr>
                <w:rFonts w:ascii="Courier New" w:cs="Courier New" w:eastAsia="Courier New" w:hAnsi="Courier New"/>
                <w:sz w:val="16"/>
                <w:szCs w:val="16"/>
                <w:color w:val="auto"/>
              </w:rPr>
              <w:t>T.J. Engibous</w:t>
            </w:r>
          </w:p>
        </w:tc>
        <w:tc>
          <w:tcPr>
            <w:tcW w:w="12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46,500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100,500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$ 1,360,335</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$2,278,215</w:t>
            </w:r>
          </w:p>
        </w:tc>
      </w:tr>
      <w:tr>
        <w:trPr>
          <w:trHeight w:val="376"/>
        </w:trPr>
        <w:tc>
          <w:tcPr>
            <w:tcW w:w="2100" w:type="dxa"/>
            <w:vAlign w:val="bottom"/>
          </w:tcPr>
          <w:p>
            <w:pPr>
              <w:spacing w:after="0"/>
              <w:rPr>
                <w:sz w:val="20"/>
                <w:szCs w:val="20"/>
                <w:color w:val="auto"/>
              </w:rPr>
            </w:pPr>
            <w:r>
              <w:rPr>
                <w:rFonts w:ascii="Courier New" w:cs="Courier New" w:eastAsia="Courier New" w:hAnsi="Courier New"/>
                <w:sz w:val="16"/>
                <w:szCs w:val="16"/>
                <w:color w:val="auto"/>
              </w:rPr>
              <w:t>J.R. Junkins(1)</w:t>
            </w:r>
          </w:p>
        </w:tc>
        <w:tc>
          <w:tcPr>
            <w:tcW w:w="122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82"/>
              </w:rPr>
              <w:t>-</w:t>
            </w:r>
          </w:p>
        </w:tc>
        <w:tc>
          <w:tcPr>
            <w:tcW w:w="13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707,500</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157,500</w:t>
            </w:r>
          </w:p>
        </w:tc>
        <w:tc>
          <w:tcPr>
            <w:tcW w:w="15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$28,519,475</w:t>
            </w:r>
          </w:p>
        </w:tc>
        <w:tc>
          <w:tcPr>
            <w:tcW w:w="174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7"/>
              </w:rPr>
              <w:t>$3,771,175</w:t>
            </w:r>
          </w:p>
        </w:tc>
      </w:tr>
      <w:tr>
        <w:trPr>
          <w:trHeight w:val="376"/>
        </w:trPr>
        <w:tc>
          <w:tcPr>
            <w:tcW w:w="2100" w:type="dxa"/>
            <w:vAlign w:val="bottom"/>
          </w:tcPr>
          <w:p>
            <w:pPr>
              <w:spacing w:after="0"/>
              <w:rPr>
                <w:sz w:val="20"/>
                <w:szCs w:val="20"/>
                <w:color w:val="auto"/>
              </w:rPr>
            </w:pPr>
            <w:r>
              <w:rPr>
                <w:rFonts w:ascii="Courier New" w:cs="Courier New" w:eastAsia="Courier New" w:hAnsi="Courier New"/>
                <w:sz w:val="16"/>
                <w:szCs w:val="16"/>
                <w:color w:val="auto"/>
              </w:rPr>
              <w:t>W.B. Mitchell</w:t>
            </w:r>
          </w:p>
        </w:tc>
        <w:tc>
          <w:tcPr>
            <w:tcW w:w="12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48,500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62,500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$ 1,458,445</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$1,505,125</w:t>
            </w:r>
          </w:p>
        </w:tc>
      </w:tr>
      <w:tr>
        <w:trPr>
          <w:trHeight w:val="376"/>
        </w:trPr>
        <w:tc>
          <w:tcPr>
            <w:tcW w:w="2100" w:type="dxa"/>
            <w:vAlign w:val="bottom"/>
          </w:tcPr>
          <w:p>
            <w:pPr>
              <w:spacing w:after="0"/>
              <w:rPr>
                <w:sz w:val="20"/>
                <w:szCs w:val="20"/>
                <w:color w:val="auto"/>
              </w:rPr>
            </w:pPr>
            <w:r>
              <w:rPr>
                <w:rFonts w:ascii="Courier New" w:cs="Courier New" w:eastAsia="Courier New" w:hAnsi="Courier New"/>
                <w:sz w:val="16"/>
                <w:szCs w:val="16"/>
                <w:color w:val="auto"/>
              </w:rPr>
              <w:t>W.P. Weber</w:t>
            </w:r>
          </w:p>
        </w:tc>
        <w:tc>
          <w:tcPr>
            <w:tcW w:w="12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106,500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62,500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$ 3,369,405</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$1,505,125</w:t>
            </w:r>
          </w:p>
        </w:tc>
      </w:tr>
      <w:tr>
        <w:trPr>
          <w:trHeight w:val="376"/>
        </w:trPr>
        <w:tc>
          <w:tcPr>
            <w:tcW w:w="2100" w:type="dxa"/>
            <w:vAlign w:val="bottom"/>
          </w:tcPr>
          <w:p>
            <w:pPr>
              <w:spacing w:after="0"/>
              <w:rPr>
                <w:sz w:val="20"/>
                <w:szCs w:val="20"/>
                <w:color w:val="auto"/>
              </w:rPr>
            </w:pPr>
            <w:r>
              <w:rPr>
                <w:rFonts w:ascii="Courier New" w:cs="Courier New" w:eastAsia="Courier New" w:hAnsi="Courier New"/>
                <w:sz w:val="16"/>
                <w:szCs w:val="16"/>
                <w:color w:val="auto"/>
              </w:rPr>
              <w:t>G.D. Clubb</w:t>
            </w:r>
          </w:p>
        </w:tc>
        <w:tc>
          <w:tcPr>
            <w:tcW w:w="12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77,500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49,000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$ 2,609,905</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$1,175,670</w:t>
            </w:r>
          </w:p>
        </w:tc>
      </w:tr>
      <w:tr>
        <w:trPr>
          <w:trHeight w:val="376"/>
        </w:trPr>
        <w:tc>
          <w:tcPr>
            <w:tcW w:w="2100" w:type="dxa"/>
            <w:vAlign w:val="bottom"/>
          </w:tcPr>
          <w:p>
            <w:pPr>
              <w:spacing w:after="0"/>
              <w:rPr>
                <w:sz w:val="20"/>
                <w:szCs w:val="20"/>
                <w:color w:val="auto"/>
              </w:rPr>
            </w:pPr>
            <w:r>
              <w:rPr>
                <w:rFonts w:ascii="Courier New" w:cs="Courier New" w:eastAsia="Courier New" w:hAnsi="Courier New"/>
                <w:sz w:val="16"/>
                <w:szCs w:val="16"/>
                <w:color w:val="auto"/>
              </w:rPr>
              <w:t>D.D. Martin</w:t>
            </w:r>
          </w:p>
        </w:tc>
        <w:tc>
          <w:tcPr>
            <w:tcW w:w="12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73,000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49,000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$ 2,275,630</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$1,175,670</w:t>
            </w:r>
          </w:p>
        </w:tc>
      </w:tr>
      <w:tr>
        <w:trPr>
          <w:trHeight w:val="376"/>
        </w:trPr>
        <w:tc>
          <w:tcPr>
            <w:tcW w:w="2100" w:type="dxa"/>
            <w:vAlign w:val="bottom"/>
          </w:tcPr>
          <w:p>
            <w:pPr>
              <w:spacing w:after="0"/>
              <w:rPr>
                <w:sz w:val="20"/>
                <w:szCs w:val="20"/>
                <w:color w:val="auto"/>
              </w:rPr>
            </w:pPr>
            <w:r>
              <w:rPr>
                <w:rFonts w:ascii="Courier New" w:cs="Courier New" w:eastAsia="Courier New" w:hAnsi="Courier New"/>
                <w:sz w:val="16"/>
                <w:szCs w:val="16"/>
                <w:color w:val="auto"/>
              </w:rPr>
              <w:t>R.J. Agnich</w:t>
            </w:r>
          </w:p>
        </w:tc>
        <w:tc>
          <w:tcPr>
            <w:tcW w:w="12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55,250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47,750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$ 1,636,483</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$1,140,598</w:t>
            </w:r>
          </w:p>
        </w:tc>
      </w:tr>
      <w:tr>
        <w:trPr>
          <w:trHeight w:val="376"/>
        </w:trPr>
        <w:tc>
          <w:tcPr>
            <w:tcW w:w="2100" w:type="dxa"/>
            <w:vAlign w:val="bottom"/>
          </w:tcPr>
          <w:p>
            <w:pPr>
              <w:spacing w:after="0"/>
              <w:rPr>
                <w:sz w:val="20"/>
                <w:szCs w:val="20"/>
                <w:color w:val="auto"/>
              </w:rPr>
            </w:pPr>
            <w:r>
              <w:rPr>
                <w:rFonts w:ascii="Courier New" w:cs="Courier New" w:eastAsia="Courier New" w:hAnsi="Courier New"/>
                <w:sz w:val="16"/>
                <w:szCs w:val="16"/>
                <w:color w:val="auto"/>
              </w:rPr>
              <w:t>W.A. Aylesworth</w:t>
            </w:r>
          </w:p>
        </w:tc>
        <w:tc>
          <w:tcPr>
            <w:tcW w:w="12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50,250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47,750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$ 1,486,393</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$1,140,598</w:t>
            </w:r>
          </w:p>
        </w:tc>
      </w:tr>
      <w:tr>
        <w:trPr>
          <w:trHeight w:val="376"/>
        </w:trPr>
        <w:tc>
          <w:tcPr>
            <w:tcW w:w="2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00" w:lineRule="exact"/>
        <w:rPr>
          <w:sz w:val="20"/>
          <w:szCs w:val="20"/>
          <w:color w:val="auto"/>
        </w:rPr>
      </w:pPr>
    </w:p>
    <w:p>
      <w:pPr>
        <w:ind w:left="400" w:hanging="400"/>
        <w:spacing w:after="0"/>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reported for Jerry R. Junkins were owned by his estate at year-</w:t>
      </w:r>
    </w:p>
    <w:p>
      <w:pPr>
        <w:spacing w:after="0" w:line="3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end.</w:t>
      </w:r>
    </w:p>
    <w:p>
      <w:pPr>
        <w:spacing w:after="0" w:line="164"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Exercisable options or portions thereof relate to options granted</w:t>
      </w:r>
    </w:p>
    <w:p>
      <w:pPr>
        <w:spacing w:after="0" w:line="37" w:lineRule="exact"/>
        <w:rPr>
          <w:sz w:val="20"/>
          <w:szCs w:val="20"/>
          <w:color w:val="auto"/>
        </w:rPr>
      </w:pPr>
    </w:p>
    <w:p>
      <w:pPr>
        <w:ind w:right="2699"/>
        <w:spacing w:after="0" w:line="334" w:lineRule="auto"/>
        <w:rPr>
          <w:sz w:val="20"/>
          <w:szCs w:val="20"/>
          <w:color w:val="auto"/>
        </w:rPr>
      </w:pPr>
      <w:r>
        <w:rPr>
          <w:rFonts w:ascii="Courier New" w:cs="Courier New" w:eastAsia="Courier New" w:hAnsi="Courier New"/>
          <w:sz w:val="16"/>
          <w:szCs w:val="16"/>
          <w:color w:val="auto"/>
        </w:rPr>
        <w:t>during 1987-1995; unexercisable options or portions thereof relate to options granted during 1994-1996.</w:t>
      </w:r>
    </w:p>
    <w:p>
      <w:pPr>
        <w:spacing w:after="0" w:line="200" w:lineRule="exact"/>
        <w:rPr>
          <w:sz w:val="20"/>
          <w:szCs w:val="20"/>
          <w:color w:val="auto"/>
        </w:rPr>
      </w:pPr>
    </w:p>
    <w:p>
      <w:pPr>
        <w:spacing w:after="0" w:line="20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pacing w:after="0" w:line="195" w:lineRule="exact"/>
        <w:rPr>
          <w:sz w:val="20"/>
          <w:szCs w:val="20"/>
          <w:color w:val="auto"/>
        </w:rPr>
      </w:pPr>
    </w:p>
    <w:p>
      <w:pPr>
        <w:ind w:right="3079"/>
        <w:spacing w:after="0" w:line="373" w:lineRule="auto"/>
        <w:tabs>
          <w:tab w:leader="none" w:pos="39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value of underlying securities at year-end, minus the exercise price.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Pension Plan Table</w:t>
      </w:r>
    </w:p>
    <w:p>
      <w:pPr>
        <w:spacing w:after="0" w:line="195" w:lineRule="exact"/>
        <w:rPr>
          <w:sz w:val="20"/>
          <w:szCs w:val="20"/>
          <w:color w:val="auto"/>
        </w:rPr>
      </w:pPr>
    </w:p>
    <w:p>
      <w:pPr>
        <w:ind w:right="2499"/>
        <w:spacing w:after="0" w:line="262" w:lineRule="auto"/>
        <w:rPr>
          <w:sz w:val="20"/>
          <w:szCs w:val="20"/>
          <w:color w:val="auto"/>
        </w:rPr>
      </w:pPr>
      <w:r>
        <w:rPr>
          <w:rFonts w:ascii="Courier New" w:cs="Courier New" w:eastAsia="Courier New" w:hAnsi="Courier New"/>
          <w:sz w:val="16"/>
          <w:szCs w:val="16"/>
          <w:color w:val="auto"/>
        </w:rPr>
        <w:t>The following table sets forth the approximate annual benefits relating to the U.S. pension plan that would be payable as of December 31, 1996 under various assumptions as to average credited earnings (as defined in the plan) and years of credited service (as defined in the plan) to employees in higher salary classifications who are 65 years of age as of such date. Benefits are based on eligible earnings. Eligible earnings include (a) salary as shown in the summary compensation table and (b) bonus as shown in the summary compensation table. Other elements of compensation shown in the summary compensation table or referred to in the footnotes to that table are not included in eligible earnings.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520" w:type="dxa"/>
            <w:vAlign w:val="bottom"/>
            <w:gridSpan w:val="9"/>
          </w:tcPr>
          <w:p>
            <w:pPr>
              <w:jc w:val="right"/>
              <w:ind w:right="19"/>
              <w:spacing w:after="0"/>
              <w:rPr>
                <w:sz w:val="20"/>
                <w:szCs w:val="20"/>
                <w:color w:val="auto"/>
              </w:rPr>
            </w:pPr>
            <w:r>
              <w:rPr>
                <w:rFonts w:ascii="Courier New" w:cs="Courier New" w:eastAsia="Courier New" w:hAnsi="Courier New"/>
                <w:sz w:val="16"/>
                <w:szCs w:val="16"/>
                <w:color w:val="auto"/>
              </w:rPr>
              <w:t>Estimated Annual Benefits Under Pension Plan for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Specified Years of Credited</w:t>
            </w:r>
          </w:p>
        </w:tc>
        <w:tc>
          <w:tcPr>
            <w:tcW w:w="19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Service(2)(3)</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500" w:type="dxa"/>
            <w:vAlign w:val="bottom"/>
            <w:gridSpan w:val="13"/>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Average</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Credited</w:t>
            </w: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Earnings</w:t>
            </w:r>
          </w:p>
        </w:tc>
        <w:tc>
          <w:tcPr>
            <w:tcW w:w="11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w w:val="98"/>
              </w:rPr>
              <w:t>15 Years</w:t>
            </w:r>
          </w:p>
        </w:tc>
        <w:tc>
          <w:tcPr>
            <w:tcW w:w="1180" w:type="dxa"/>
            <w:vAlign w:val="bottom"/>
            <w:gridSpan w:val="2"/>
            <w:vMerge w:val="restart"/>
          </w:tcPr>
          <w:p>
            <w:pPr>
              <w:jc w:val="right"/>
              <w:ind w:right="299"/>
              <w:spacing w:after="0"/>
              <w:rPr>
                <w:sz w:val="20"/>
                <w:szCs w:val="20"/>
                <w:color w:val="auto"/>
              </w:rPr>
            </w:pPr>
            <w:r>
              <w:rPr>
                <w:rFonts w:ascii="Courier New" w:cs="Courier New" w:eastAsia="Courier New" w:hAnsi="Courier New"/>
                <w:sz w:val="16"/>
                <w:szCs w:val="16"/>
                <w:color w:val="auto"/>
              </w:rPr>
              <w:t>20 Years</w:t>
            </w:r>
          </w:p>
        </w:tc>
        <w:tc>
          <w:tcPr>
            <w:tcW w:w="1180" w:type="dxa"/>
            <w:vAlign w:val="bottom"/>
            <w:gridSpan w:val="2"/>
            <w:vMerge w:val="restart"/>
          </w:tcPr>
          <w:p>
            <w:pPr>
              <w:jc w:val="right"/>
              <w:ind w:right="319"/>
              <w:spacing w:after="0"/>
              <w:rPr>
                <w:sz w:val="20"/>
                <w:szCs w:val="20"/>
                <w:color w:val="auto"/>
              </w:rPr>
            </w:pPr>
            <w:r>
              <w:rPr>
                <w:rFonts w:ascii="Courier New" w:cs="Courier New" w:eastAsia="Courier New" w:hAnsi="Courier New"/>
                <w:sz w:val="16"/>
                <w:szCs w:val="16"/>
                <w:color w:val="auto"/>
                <w:w w:val="98"/>
              </w:rPr>
              <w:t>25 Years</w:t>
            </w:r>
          </w:p>
        </w:tc>
        <w:tc>
          <w:tcPr>
            <w:tcW w:w="1160" w:type="dxa"/>
            <w:vAlign w:val="bottom"/>
            <w:gridSpan w:val="2"/>
            <w:vMerge w:val="restart"/>
          </w:tcPr>
          <w:p>
            <w:pPr>
              <w:jc w:val="right"/>
              <w:ind w:right="299"/>
              <w:spacing w:after="0"/>
              <w:rPr>
                <w:sz w:val="20"/>
                <w:szCs w:val="20"/>
                <w:color w:val="auto"/>
              </w:rPr>
            </w:pPr>
            <w:r>
              <w:rPr>
                <w:rFonts w:ascii="Courier New" w:cs="Courier New" w:eastAsia="Courier New" w:hAnsi="Courier New"/>
                <w:sz w:val="16"/>
                <w:szCs w:val="16"/>
                <w:color w:val="auto"/>
                <w:w w:val="98"/>
              </w:rPr>
              <w:t>30 Years</w:t>
            </w:r>
          </w:p>
        </w:tc>
        <w:tc>
          <w:tcPr>
            <w:tcW w:w="11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35 Years</w:t>
            </w:r>
          </w:p>
        </w:tc>
        <w:tc>
          <w:tcPr>
            <w:tcW w:w="1180" w:type="dxa"/>
            <w:vAlign w:val="bottom"/>
            <w:gridSpan w:val="2"/>
            <w:vMerge w:val="restart"/>
          </w:tcPr>
          <w:p>
            <w:pPr>
              <w:jc w:val="right"/>
              <w:ind w:right="319"/>
              <w:spacing w:after="0"/>
              <w:rPr>
                <w:sz w:val="20"/>
                <w:szCs w:val="20"/>
                <w:color w:val="auto"/>
              </w:rPr>
            </w:pPr>
            <w:r>
              <w:rPr>
                <w:rFonts w:ascii="Courier New" w:cs="Courier New" w:eastAsia="Courier New" w:hAnsi="Courier New"/>
                <w:sz w:val="16"/>
                <w:szCs w:val="16"/>
                <w:color w:val="auto"/>
                <w:w w:val="98"/>
              </w:rPr>
              <w:t>40 Years</w:t>
            </w:r>
          </w:p>
        </w:tc>
        <w:tc>
          <w:tcPr>
            <w:tcW w:w="1460" w:type="dxa"/>
            <w:vAlign w:val="bottom"/>
            <w:gridSpan w:val="2"/>
            <w:vMerge w:val="restart"/>
          </w:tcPr>
          <w:p>
            <w:pPr>
              <w:jc w:val="right"/>
              <w:ind w:right="599"/>
              <w:spacing w:after="0"/>
              <w:rPr>
                <w:sz w:val="20"/>
                <w:szCs w:val="20"/>
                <w:color w:val="auto"/>
              </w:rPr>
            </w:pPr>
            <w:r>
              <w:rPr>
                <w:rFonts w:ascii="Courier New" w:cs="Courier New" w:eastAsia="Courier New" w:hAnsi="Courier New"/>
                <w:sz w:val="16"/>
                <w:szCs w:val="16"/>
                <w:color w:val="auto"/>
                <w:w w:val="98"/>
              </w:rPr>
              <w:t>45 Years</w:t>
            </w:r>
          </w:p>
        </w:tc>
        <w:tc>
          <w:tcPr>
            <w:tcW w:w="0" w:type="dxa"/>
            <w:vAlign w:val="bottom"/>
          </w:tcPr>
          <w:p>
            <w:pPr>
              <w:spacing w:after="0"/>
              <w:rPr>
                <w:sz w:val="1"/>
                <w:szCs w:val="1"/>
                <w:color w:val="auto"/>
              </w:rPr>
            </w:pPr>
          </w:p>
        </w:tc>
      </w:tr>
      <w:tr>
        <w:trPr>
          <w:trHeight w:val="188"/>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(1)</w:t>
            </w:r>
          </w:p>
        </w:tc>
        <w:tc>
          <w:tcPr>
            <w:tcW w:w="11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5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131,898</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175,864</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219,830</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263,795</w:t>
            </w:r>
          </w:p>
        </w:tc>
        <w:tc>
          <w:tcPr>
            <w:tcW w:w="4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307,761</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352,761</w:t>
            </w:r>
          </w:p>
        </w:tc>
        <w:tc>
          <w:tcPr>
            <w:tcW w:w="34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397,761</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154,398</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205,864</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257,330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308,795</w:t>
            </w:r>
          </w:p>
        </w:tc>
        <w:tc>
          <w:tcPr>
            <w:tcW w:w="44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360,261</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412,761</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465,261</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176,898</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235,864</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294,830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353,795</w:t>
            </w:r>
          </w:p>
        </w:tc>
        <w:tc>
          <w:tcPr>
            <w:tcW w:w="44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412,761</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472,761</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532,761</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199,398</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265,864</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332,330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398,795</w:t>
            </w:r>
          </w:p>
        </w:tc>
        <w:tc>
          <w:tcPr>
            <w:tcW w:w="44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465,261</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532,761</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600,261</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1,000,000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221,898</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295,864</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369,830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443,795</w:t>
            </w:r>
          </w:p>
        </w:tc>
        <w:tc>
          <w:tcPr>
            <w:tcW w:w="44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517,761</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592,761</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667,761</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1,100,000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244,398</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325,864</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407,330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488,795</w:t>
            </w:r>
          </w:p>
        </w:tc>
        <w:tc>
          <w:tcPr>
            <w:tcW w:w="44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570,261</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652,761</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735,261</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1,200,000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266,898</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355,864</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444,830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533,795</w:t>
            </w:r>
          </w:p>
        </w:tc>
        <w:tc>
          <w:tcPr>
            <w:tcW w:w="44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622,761</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712,761</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802,761</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1,300,000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289,398</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385,864</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482,330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578,795</w:t>
            </w:r>
          </w:p>
        </w:tc>
        <w:tc>
          <w:tcPr>
            <w:tcW w:w="44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675,261</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772,761</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870,261</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1,400,000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311,898</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415,864</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519,830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623,795</w:t>
            </w:r>
          </w:p>
        </w:tc>
        <w:tc>
          <w:tcPr>
            <w:tcW w:w="44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727,761</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832,761</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937,761</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1,500,000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334,398</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445,864</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557,330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668,795</w:t>
            </w:r>
          </w:p>
        </w:tc>
        <w:tc>
          <w:tcPr>
            <w:tcW w:w="44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780,261</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892,761</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1,005,261</w:t>
            </w: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1,600,000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356,898</w:t>
            </w: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475,864</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594,830</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713,795</w:t>
            </w:r>
          </w:p>
        </w:tc>
        <w:tc>
          <w:tcPr>
            <w:tcW w:w="440" w:type="dxa"/>
            <w:vAlign w:val="bottom"/>
          </w:tcPr>
          <w:p>
            <w:pPr>
              <w:spacing w:after="0"/>
              <w:rPr>
                <w:sz w:val="23"/>
                <w:szCs w:val="23"/>
                <w:color w:val="auto"/>
              </w:rPr>
            </w:pP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832,761</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952,761</w:t>
            </w:r>
          </w:p>
        </w:tc>
        <w:tc>
          <w:tcPr>
            <w:tcW w:w="340" w:type="dxa"/>
            <w:vAlign w:val="bottom"/>
          </w:tcPr>
          <w:p>
            <w:pPr>
              <w:spacing w:after="0"/>
              <w:rPr>
                <w:sz w:val="23"/>
                <w:szCs w:val="23"/>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1,072,761</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right="3179"/>
        <w:spacing w:after="0" w:line="373" w:lineRule="auto"/>
        <w:tabs>
          <w:tab w:leader="none" w:pos="39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credited earnings is the average of the five consecutive years of highest earnings.</w:t>
      </w:r>
    </w:p>
    <w:p>
      <w:pPr>
        <w:ind w:right="2699"/>
        <w:spacing w:after="0" w:line="256" w:lineRule="auto"/>
        <w:rPr>
          <w:sz w:val="20"/>
          <w:szCs w:val="20"/>
          <w:color w:val="auto"/>
        </w:rPr>
      </w:pPr>
      <w:r>
        <w:rPr>
          <w:rFonts w:ascii="Courier New" w:cs="Courier New" w:eastAsia="Courier New" w:hAnsi="Courier New"/>
          <w:sz w:val="16"/>
          <w:szCs w:val="16"/>
          <w:color w:val="auto"/>
        </w:rPr>
        <w:t>At December 31, 1996, the named executive officers were credited with the following years of credited service and had the following average credited earnings, respectively, under the U.S. pension plan: Mr. Engibous, 19 years, $739,661; Mr. Mitchell, 35 years, $762,889; Mr. Weber, 35 years, $860,854; Mr. Clubb, 29 years, $619,034; Mr. Martin, 37 years, $594,724; Mr. Agnich,</w:t>
      </w:r>
    </w:p>
    <w:p>
      <w:pPr>
        <w:spacing w:after="0" w:line="3" w:lineRule="exact"/>
        <w:rPr>
          <w:sz w:val="20"/>
          <w:szCs w:val="20"/>
          <w:color w:val="auto"/>
        </w:rPr>
      </w:pPr>
    </w:p>
    <w:p>
      <w:pPr>
        <w:ind w:right="2499"/>
        <w:spacing w:after="0" w:line="291" w:lineRule="auto"/>
        <w:rPr>
          <w:sz w:val="20"/>
          <w:szCs w:val="20"/>
          <w:color w:val="auto"/>
        </w:rPr>
      </w:pPr>
      <w:r>
        <w:rPr>
          <w:rFonts w:ascii="Courier New" w:cs="Courier New" w:eastAsia="Courier New" w:hAnsi="Courier New"/>
          <w:sz w:val="16"/>
          <w:szCs w:val="16"/>
          <w:color w:val="auto"/>
        </w:rPr>
        <w:t>24 years, $673,075; and Mr. Aylesworth, 30 years, $604,456. Mr. Junkins' death benefits under the U.S. pension plan were computed using 37 years of credited service and $1,360,146 of average credited earnings.</w:t>
      </w:r>
    </w:p>
    <w:p>
      <w:pPr>
        <w:spacing w:after="0" w:line="63" w:lineRule="exact"/>
        <w:rPr>
          <w:sz w:val="20"/>
          <w:szCs w:val="20"/>
          <w:color w:val="auto"/>
        </w:rPr>
      </w:pPr>
    </w:p>
    <w:p>
      <w:pPr>
        <w:ind w:right="3079"/>
        <w:spacing w:after="0" w:line="311" w:lineRule="auto"/>
        <w:tabs>
          <w:tab w:leader="none" w:pos="39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otherwise payable under the pension plan should be restricted by the applicable provisions of ERISA, the amount in excess of ERISA's restrictions will be paid by the Company.</w:t>
      </w:r>
    </w:p>
    <w:p>
      <w:pPr>
        <w:sectPr>
          <w:pgSz w:w="11900" w:h="16993" w:orient="portrait"/>
          <w:cols w:equalWidth="0" w:num="1">
            <w:col w:w="10219"/>
          </w:cols>
          <w:pgMar w:left="240" w:top="112" w:right="1440" w:bottom="0" w:gutter="0" w:footer="0" w:header="0"/>
        </w:sectPr>
      </w:pPr>
    </w:p>
    <w:bookmarkStart w:id="9" w:name="page10"/>
    <w:bookmarkEnd w:id="9"/>
    <w:p>
      <w:pPr>
        <w:spacing w:after="0" w:line="11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The benefits under the plan are computed as single life annuity at age</w:t>
      </w:r>
    </w:p>
    <w:p>
      <w:pPr>
        <w:spacing w:after="0" w:line="7" w:lineRule="exact"/>
        <w:rPr>
          <w:sz w:val="20"/>
          <w:szCs w:val="20"/>
          <w:color w:val="auto"/>
        </w:rPr>
      </w:pPr>
    </w:p>
    <w:p>
      <w:pPr>
        <w:ind w:right="2599"/>
        <w:spacing w:after="0" w:line="248" w:lineRule="auto"/>
        <w:tabs>
          <w:tab w:leader="none" w:pos="48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the table reflect the offset provided in the pension plan under the pension formula adopted July 1, 1989 to comply with the social security integration requirements. The integration offset is $3,102 for</w:t>
      </w:r>
    </w:p>
    <w:p>
      <w:pPr>
        <w:spacing w:after="0" w:line="1" w:lineRule="exact"/>
        <w:rPr>
          <w:rFonts w:ascii="Courier New" w:cs="Courier New" w:eastAsia="Courier New" w:hAnsi="Courier New"/>
          <w:sz w:val="16"/>
          <w:szCs w:val="16"/>
          <w:color w:val="auto"/>
        </w:rPr>
      </w:pPr>
    </w:p>
    <w:p>
      <w:pPr>
        <w:ind w:right="2699"/>
        <w:spacing w:after="0" w:line="277" w:lineRule="auto"/>
        <w:tabs>
          <w:tab w:leader="none" w:pos="29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of credited service, $4,136 for 20 years of credited service, $5,171 for 25 years of credited service, $6,205 for 30 years of credited service, $7,239 for 35 years of credited service, $7,239 for 40 years of credited service and $7,239 for 45 years of credited service.</w:t>
      </w: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Early Retirement Agreements</w:t>
      </w:r>
    </w:p>
    <w:p>
      <w:pPr>
        <w:spacing w:after="0" w:line="195" w:lineRule="exact"/>
        <w:rPr>
          <w:sz w:val="20"/>
          <w:szCs w:val="20"/>
          <w:color w:val="auto"/>
        </w:rPr>
      </w:pPr>
    </w:p>
    <w:p>
      <w:pPr>
        <w:ind w:right="2499"/>
        <w:spacing w:after="0" w:line="256" w:lineRule="auto"/>
        <w:rPr>
          <w:sz w:val="20"/>
          <w:szCs w:val="20"/>
          <w:color w:val="auto"/>
        </w:rPr>
      </w:pPr>
      <w:r>
        <w:rPr>
          <w:rFonts w:ascii="Courier New" w:cs="Courier New" w:eastAsia="Courier New" w:hAnsi="Courier New"/>
          <w:sz w:val="16"/>
          <w:szCs w:val="16"/>
          <w:color w:val="auto"/>
        </w:rPr>
        <w:t>The Company has a policy providing for optional early retirement agreements for the chairman of the board, the president, vice chairmen and such other personnel as the board of directors may designate, upon attainment of age 58 and such minimum lengths of service as the board may specify. Participants enter into early retirement agreements with the Company which among other things prohibit competition with the Company until the attainment of age 69. Payments under the agreements are based on the difference between the retirement benefits the individual is to receive from the Company's U.S. pension plan and the retirement benefits the individual would have received from the pension plan had the individual remained in employment with the Company until the attainment of age 65 at a rate of compensation equal to the average annual eligible earnings (as defined in the pension plan) received during the three years immediately preceding early retirement. The individual may elect payment under the early retirement agreement in the form of monthly payments for life, monthly payments to the individual or the individual's estate or survivors until the date of the individual's 69th birthday, or a 50% joint and survivor's payment. Prior to his retirement, Mr. Mitchell entered into an early retirement agreement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13</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95" w:lineRule="exact"/>
        <w:rPr>
          <w:sz w:val="20"/>
          <w:szCs w:val="20"/>
          <w:color w:val="auto"/>
        </w:rPr>
      </w:pPr>
    </w:p>
    <w:p>
      <w:pPr>
        <w:jc w:val="both"/>
        <w:ind w:right="3279"/>
        <w:spacing w:after="0" w:line="311" w:lineRule="auto"/>
        <w:rPr>
          <w:sz w:val="20"/>
          <w:szCs w:val="20"/>
          <w:color w:val="auto"/>
        </w:rPr>
      </w:pPr>
      <w:r>
        <w:rPr>
          <w:rFonts w:ascii="Courier New" w:cs="Courier New" w:eastAsia="Courier New" w:hAnsi="Courier New"/>
          <w:sz w:val="16"/>
          <w:szCs w:val="16"/>
          <w:color w:val="auto"/>
        </w:rPr>
        <w:t>The Compensation Committee of the board of directors has furnished the following report on executive compensation paid or awarded to executive officers for 1996:</w:t>
      </w:r>
    </w:p>
    <w:p>
      <w:pPr>
        <w:spacing w:after="0" w:line="47" w:lineRule="exact"/>
        <w:rPr>
          <w:sz w:val="20"/>
          <w:szCs w:val="20"/>
          <w:color w:val="auto"/>
        </w:rPr>
      </w:pPr>
    </w:p>
    <w:p>
      <w:pPr>
        <w:ind w:right="2499"/>
        <w:spacing w:after="0" w:line="269" w:lineRule="auto"/>
        <w:rPr>
          <w:sz w:val="20"/>
          <w:szCs w:val="20"/>
          <w:color w:val="auto"/>
        </w:rPr>
      </w:pPr>
      <w:r>
        <w:rPr>
          <w:rFonts w:ascii="Courier New" w:cs="Courier New" w:eastAsia="Courier New" w:hAnsi="Courier New"/>
          <w:sz w:val="16"/>
          <w:szCs w:val="16"/>
          <w:color w:val="auto"/>
        </w:rPr>
        <w:t>The Company's executive compensation program is administered by the Compensation Committee of the board of directors (the Committee), which is composed of the individuals listed below, all of whom are independent directors of the Company. The program consists of base salaries, annual incentive awards and long-term compensation. At higher management levels, the mix of compensation is weighted more to the performance-based components-annual incentive and long-term compensation.</w:t>
      </w:r>
    </w:p>
    <w:p>
      <w:pPr>
        <w:spacing w:after="0" w:line="82" w:lineRule="exact"/>
        <w:rPr>
          <w:sz w:val="20"/>
          <w:szCs w:val="20"/>
          <w:color w:val="auto"/>
        </w:rPr>
      </w:pPr>
    </w:p>
    <w:p>
      <w:pPr>
        <w:ind w:right="2499"/>
        <w:spacing w:after="0" w:line="257" w:lineRule="auto"/>
        <w:rPr>
          <w:sz w:val="20"/>
          <w:szCs w:val="20"/>
          <w:color w:val="auto"/>
        </w:rPr>
      </w:pPr>
      <w:r>
        <w:rPr>
          <w:rFonts w:ascii="Courier New" w:cs="Courier New" w:eastAsia="Courier New" w:hAnsi="Courier New"/>
          <w:sz w:val="16"/>
          <w:szCs w:val="16"/>
          <w:color w:val="auto"/>
        </w:rPr>
        <w:t>In determining the compensation of the executive officers, the Committee considered guidelines developed for each component of compensation. As indicated below, the guidelines took account of compensation practices of competitor companies (as reported in various surveys administered by national compensation consulting firms) and the relative performance of TI and competitor companies. The competitor companies are primarily major high-technology competitors in one or more of the markets-semiconductor, defense and information technology-in which the Company operates. While many of these companies are included in the S&amp;P Technology Sector Index appearing in the graph regarding total shareholder return on page 17, these companies are not the same as the companies comprising that index. Each guideline was set based on the best available data from as many competitor companies as practicable. The Committee also considered the contribution of each executive officer toward achieving the Company's prior year and long-term strategic objectives; in this connection, the CEO made recommendations regarding the components of each executive officer's compensation package except the chairman's and his own.</w:t>
      </w:r>
    </w:p>
    <w:p>
      <w:pPr>
        <w:sectPr>
          <w:pgSz w:w="11900" w:h="16950" w:orient="portrait"/>
          <w:cols w:equalWidth="0" w:num="1">
            <w:col w:w="10219"/>
          </w:cols>
          <w:pgMar w:left="240" w:top="300" w:right="1440" w:bottom="0" w:gutter="0" w:footer="0" w:header="0"/>
        </w:sectPr>
      </w:pPr>
    </w:p>
    <w:bookmarkStart w:id="10" w:name="page11"/>
    <w:bookmarkEnd w:id="10"/>
    <w:p>
      <w:pPr>
        <w:spacing w:after="0" w:line="117" w:lineRule="exact"/>
        <w:rPr>
          <w:sz w:val="20"/>
          <w:szCs w:val="20"/>
          <w:color w:val="auto"/>
        </w:rPr>
      </w:pPr>
    </w:p>
    <w:p>
      <w:pPr>
        <w:ind w:right="2499"/>
        <w:spacing w:after="0" w:line="264" w:lineRule="auto"/>
        <w:rPr>
          <w:sz w:val="20"/>
          <w:szCs w:val="20"/>
          <w:color w:val="auto"/>
        </w:rPr>
      </w:pPr>
      <w:r>
        <w:rPr>
          <w:rFonts w:ascii="Courier New" w:cs="Courier New" w:eastAsia="Courier New" w:hAnsi="Courier New"/>
          <w:sz w:val="16"/>
          <w:szCs w:val="16"/>
          <w:color w:val="auto"/>
        </w:rPr>
        <w:t>In its considerations, the Committee did not assign quantitative relative weights to different factors or follow mathematical formulae. Rather, the Committee exercised its discretion and made a judgment after considering the factors it deemed relevant. The Committee's decisions regarding 1996 executive compensation were designed to: (1) align the interests of executive officers with the interests of the stockholders by providing performance-based awards; and (2) allow the Company to compete for and retain executive officers critical to the Company's success by providing an opportunity for compensation that is comparable to the levels offered by other companies in our markets.</w:t>
      </w:r>
    </w:p>
    <w:p>
      <w:pPr>
        <w:spacing w:after="0" w:line="85" w:lineRule="exact"/>
        <w:rPr>
          <w:sz w:val="20"/>
          <w:szCs w:val="20"/>
          <w:color w:val="auto"/>
        </w:rPr>
      </w:pPr>
    </w:p>
    <w:p>
      <w:pPr>
        <w:ind w:right="2499"/>
        <w:spacing w:after="0" w:line="262" w:lineRule="auto"/>
        <w:rPr>
          <w:sz w:val="20"/>
          <w:szCs w:val="20"/>
          <w:color w:val="auto"/>
        </w:rPr>
      </w:pPr>
      <w:r>
        <w:rPr>
          <w:rFonts w:ascii="Courier New" w:cs="Courier New" w:eastAsia="Courier New" w:hAnsi="Courier New"/>
          <w:sz w:val="16"/>
          <w:szCs w:val="16"/>
          <w:color w:val="auto"/>
        </w:rPr>
        <w:t>Section 162(m) of the Internal Revenue Code generally denies a deduction to any publicly held corporation for compensation paid to a "covered employee" in a taxable year to the extent that the employee's compensation (other than qualified performance-based compensation) exceeds $1 million. In December 1995, the Internal Revenue Service published regulations governing the $1 million deductibility cap. Pursuant to those regulations, the Company's "covered employees" will be those who, at the end of the year, are the chief executive officer and the four other highest compensated officers of the Company as determined under the rules of the Securities and Exchange Commission governing executive compensation disclosure.</w:t>
      </w:r>
    </w:p>
    <w:p>
      <w:pPr>
        <w:spacing w:after="0" w:line="89" w:lineRule="exact"/>
        <w:rPr>
          <w:sz w:val="20"/>
          <w:szCs w:val="20"/>
          <w:color w:val="auto"/>
        </w:rPr>
      </w:pPr>
    </w:p>
    <w:p>
      <w:pPr>
        <w:ind w:right="2499"/>
        <w:spacing w:after="0" w:line="273" w:lineRule="auto"/>
        <w:rPr>
          <w:sz w:val="20"/>
          <w:szCs w:val="20"/>
          <w:color w:val="auto"/>
        </w:rPr>
      </w:pPr>
      <w:r>
        <w:rPr>
          <w:rFonts w:ascii="Courier New" w:cs="Courier New" w:eastAsia="Courier New" w:hAnsi="Courier New"/>
          <w:sz w:val="16"/>
          <w:szCs w:val="16"/>
          <w:color w:val="auto"/>
        </w:rPr>
        <w:t>It is the Committee's policy to consider deductibility under Section 162(m) in determining compensation arrangements for the Company's "covered employees," and the Committee intends to optimize the deductibility of compensation to the extent deductibility is consistent with the objectives of the executive compensation program. The Committee, however, intends to weigh the benefits of full deductibility with the objectives of the executive compensation program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14</w:t>
      </w:r>
    </w:p>
    <w:p>
      <w:pPr>
        <w:spacing w:after="0" w:line="37" w:lineRule="exact"/>
        <w:rPr>
          <w:sz w:val="20"/>
          <w:szCs w:val="20"/>
          <w:color w:val="auto"/>
        </w:rPr>
      </w:pPr>
    </w:p>
    <w:p>
      <w:pPr>
        <w:ind w:right="2499"/>
        <w:spacing w:after="0" w:line="291" w:lineRule="auto"/>
        <w:rPr>
          <w:sz w:val="20"/>
          <w:szCs w:val="20"/>
          <w:color w:val="auto"/>
        </w:rPr>
      </w:pPr>
      <w:r>
        <w:rPr>
          <w:rFonts w:ascii="Courier New" w:cs="Courier New" w:eastAsia="Courier New" w:hAnsi="Courier New"/>
          <w:sz w:val="16"/>
          <w:szCs w:val="16"/>
          <w:color w:val="auto"/>
        </w:rPr>
        <w:t>and, if the Committee believes to do so is in the best interests of the Company and its stockholders, will make compensation arrangements which may not be fully deductible under Section 162(m).</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Compensation</w:t>
      </w:r>
    </w:p>
    <w:p>
      <w:pPr>
        <w:spacing w:after="0" w:line="195" w:lineRule="exact"/>
        <w:rPr>
          <w:sz w:val="20"/>
          <w:szCs w:val="20"/>
          <w:color w:val="auto"/>
        </w:rPr>
      </w:pPr>
    </w:p>
    <w:p>
      <w:pPr>
        <w:ind w:right="2699"/>
        <w:spacing w:after="0" w:line="273" w:lineRule="auto"/>
        <w:rPr>
          <w:sz w:val="20"/>
          <w:szCs w:val="20"/>
          <w:color w:val="auto"/>
        </w:rPr>
      </w:pPr>
      <w:r>
        <w:rPr>
          <w:rFonts w:ascii="Courier New" w:cs="Courier New" w:eastAsia="Courier New" w:hAnsi="Courier New"/>
          <w:sz w:val="16"/>
          <w:szCs w:val="16"/>
          <w:color w:val="auto"/>
        </w:rPr>
        <w:t>Annual compensation (base salary and annual incentive) guidelines were established such that TI executive officers will receive a level of annual compensation at, above or below the median annual compensation paid by competitor companies depending primarily on whether TI's actual return on net assets (RONA) and growth in net revenues from 1995 to 1996 are at, above or below its internally established performance thresholds.</w:t>
      </w:r>
    </w:p>
    <w:p>
      <w:pPr>
        <w:spacing w:after="0" w:line="79" w:lineRule="exact"/>
        <w:rPr>
          <w:sz w:val="20"/>
          <w:szCs w:val="20"/>
          <w:color w:val="auto"/>
        </w:rPr>
      </w:pPr>
    </w:p>
    <w:p>
      <w:pPr>
        <w:ind w:right="2599"/>
        <w:spacing w:after="0" w:line="269" w:lineRule="auto"/>
        <w:rPr>
          <w:sz w:val="20"/>
          <w:szCs w:val="20"/>
          <w:color w:val="auto"/>
        </w:rPr>
      </w:pPr>
      <w:r>
        <w:rPr>
          <w:rFonts w:ascii="Courier New" w:cs="Courier New" w:eastAsia="Courier New" w:hAnsi="Courier New"/>
          <w:sz w:val="16"/>
          <w:szCs w:val="16"/>
          <w:color w:val="auto"/>
        </w:rPr>
        <w:t>Base Salary. Base salary guidelines were established at the median level of salaries for similarly situated executive officers of competitor companies, or of organizations within competitor companies, of similar size (in terms of total revenues). The Committee, in its discretion, set base salaries somewhat lower than competitive levels in order to weight more of total compensation to performance-based components. The Committee determined not to adjust the base salary for 1996 of its then CEO, Jerry R. Junkins.</w:t>
      </w:r>
    </w:p>
    <w:p>
      <w:pPr>
        <w:spacing w:after="0" w:line="82" w:lineRule="exact"/>
        <w:rPr>
          <w:sz w:val="20"/>
          <w:szCs w:val="20"/>
          <w:color w:val="auto"/>
        </w:rPr>
      </w:pPr>
    </w:p>
    <w:p>
      <w:pPr>
        <w:ind w:right="2499"/>
        <w:spacing w:after="0" w:line="266" w:lineRule="auto"/>
        <w:rPr>
          <w:sz w:val="20"/>
          <w:szCs w:val="20"/>
          <w:color w:val="auto"/>
        </w:rPr>
      </w:pPr>
      <w:r>
        <w:rPr>
          <w:rFonts w:ascii="Courier New" w:cs="Courier New" w:eastAsia="Courier New" w:hAnsi="Courier New"/>
          <w:sz w:val="16"/>
          <w:szCs w:val="16"/>
          <w:color w:val="auto"/>
        </w:rPr>
        <w:t>The Committee made additional salary determinations in July 1996 following the death of Mr. Junkins and the election or promotion of several new executive officers, including the promotion of Thomas J. Engibous to President and Chief Executive Officer. In making these determinations the Committee considered the need to increase base salary commensurate with the new positions and responsibilities. Accordingly, Mr. Engibous' base salary was adjusted to an annual rate of $600,000. Mr. Engibous' annual salary during 1996 was below the median annual salary of CEOs of competitor companies.</w:t>
      </w:r>
    </w:p>
    <w:p>
      <w:pPr>
        <w:spacing w:after="0" w:line="84" w:lineRule="exact"/>
        <w:rPr>
          <w:sz w:val="20"/>
          <w:szCs w:val="20"/>
          <w:color w:val="auto"/>
        </w:rPr>
      </w:pPr>
    </w:p>
    <w:p>
      <w:pPr>
        <w:ind w:right="2499"/>
        <w:spacing w:after="0" w:line="273" w:lineRule="auto"/>
        <w:rPr>
          <w:sz w:val="20"/>
          <w:szCs w:val="20"/>
          <w:color w:val="auto"/>
        </w:rPr>
      </w:pPr>
      <w:r>
        <w:rPr>
          <w:rFonts w:ascii="Courier New" w:cs="Courier New" w:eastAsia="Courier New" w:hAnsi="Courier New"/>
          <w:sz w:val="16"/>
          <w:szCs w:val="16"/>
          <w:color w:val="auto"/>
        </w:rPr>
        <w:t>Annual Incentive. As the performance component of annual compensation, the annual incentive award varies significantly based on the Company's profitability and revenue growth and the individual's contribution toward the Company's performance. Two primary performance thresholds were established for purposes of determining annual incentive awards for 1996. These thresholds were stated in terms of 1996 RONA and growth in net revenues from 1995 to 1996.</w:t>
      </w:r>
    </w:p>
    <w:p>
      <w:pPr>
        <w:spacing w:after="0" w:line="79" w:lineRule="exact"/>
        <w:rPr>
          <w:sz w:val="20"/>
          <w:szCs w:val="20"/>
          <w:color w:val="auto"/>
        </w:rPr>
      </w:pPr>
    </w:p>
    <w:p>
      <w:pPr>
        <w:ind w:right="2599"/>
        <w:spacing w:after="0" w:line="270" w:lineRule="auto"/>
        <w:rPr>
          <w:sz w:val="20"/>
          <w:szCs w:val="20"/>
          <w:color w:val="auto"/>
        </w:rPr>
      </w:pPr>
      <w:r>
        <w:rPr>
          <w:rFonts w:ascii="Courier New" w:cs="Courier New" w:eastAsia="Courier New" w:hAnsi="Courier New"/>
          <w:sz w:val="16"/>
          <w:szCs w:val="16"/>
          <w:color w:val="auto"/>
        </w:rPr>
        <w:t>The Company's 1996 performance failed to meet the performance thresholds. The Committee, therefore, granted no annual incentive awards to executive officers, other than an award granted to Mr. Junkins in March 1996 that terminated without becoming payable. Accordingly, the level of annual compensation for 1996 (base salary plus incentive award) of the executive officers, including Mr. Engibous, was below the median of competitors' annual compensation.</w:t>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Compensation</w:t>
      </w:r>
    </w:p>
    <w:p>
      <w:pPr>
        <w:spacing w:after="0" w:line="195" w:lineRule="exact"/>
        <w:rPr>
          <w:sz w:val="20"/>
          <w:szCs w:val="20"/>
          <w:color w:val="auto"/>
        </w:rPr>
      </w:pPr>
    </w:p>
    <w:p>
      <w:pPr>
        <w:ind w:right="2499"/>
        <w:spacing w:after="0" w:line="266" w:lineRule="auto"/>
        <w:rPr>
          <w:sz w:val="20"/>
          <w:szCs w:val="20"/>
          <w:color w:val="auto"/>
        </w:rPr>
      </w:pPr>
      <w:r>
        <w:rPr>
          <w:rFonts w:ascii="Courier New" w:cs="Courier New" w:eastAsia="Courier New" w:hAnsi="Courier New"/>
          <w:sz w:val="16"/>
          <w:szCs w:val="16"/>
          <w:color w:val="auto"/>
        </w:rPr>
        <w:t>The Committee made long-term compensation determinations in January 1996 and, following Mr. Junkins' death, for newly elected or promoted executive officers, in July 1996. Stock options constitute TI's primary long-term incentive vehicle. Stock options granted in 1996 were granted at 100% of fair market value on the date of grant, have a 10-year term and do not become exercisable until after eight years, although exercisability may be accelerated to the extent that earnings per share goals are achieved (or in the event of a change in control of the Company). Any value actually realized by an executive</w:t>
      </w:r>
    </w:p>
    <w:p>
      <w:pPr>
        <w:sectPr>
          <w:pgSz w:w="11900" w:h="16955" w:orient="portrait"/>
          <w:cols w:equalWidth="0" w:num="1">
            <w:col w:w="10219"/>
          </w:cols>
          <w:pgMar w:left="240" w:top="300" w:right="1440" w:bottom="0" w:gutter="0" w:footer="0" w:header="0"/>
        </w:sectPr>
      </w:pPr>
    </w:p>
    <w:bookmarkStart w:id="11" w:name="page12"/>
    <w:bookmarkEnd w:id="11"/>
    <w:p>
      <w:pPr>
        <w:spacing w:after="0" w:line="7" w:lineRule="exact"/>
        <w:rPr>
          <w:sz w:val="20"/>
          <w:szCs w:val="20"/>
          <w:color w:val="auto"/>
        </w:rPr>
      </w:pPr>
    </w:p>
    <w:p>
      <w:pPr>
        <w:ind w:right="2599"/>
        <w:spacing w:after="0" w:line="373" w:lineRule="auto"/>
        <w:rPr>
          <w:sz w:val="20"/>
          <w:szCs w:val="20"/>
          <w:color w:val="auto"/>
        </w:rPr>
      </w:pPr>
      <w:r>
        <w:rPr>
          <w:rFonts w:ascii="Courier New" w:cs="Courier New" w:eastAsia="Courier New" w:hAnsi="Courier New"/>
          <w:sz w:val="16"/>
          <w:szCs w:val="16"/>
          <w:color w:val="auto"/>
        </w:rPr>
        <w:t>officer from an option grant depends completely upon increases in the price of TI common stock.</w:t>
      </w:r>
    </w:p>
    <w:p>
      <w:pPr>
        <w:spacing w:after="0" w:line="200" w:lineRule="exact"/>
        <w:rPr>
          <w:sz w:val="20"/>
          <w:szCs w:val="20"/>
          <w:color w:val="auto"/>
        </w:rPr>
      </w:pPr>
    </w:p>
    <w:p>
      <w:pPr>
        <w:spacing w:after="0" w:line="364"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15</w:t>
      </w:r>
    </w:p>
    <w:p>
      <w:pPr>
        <w:spacing w:after="0" w:line="195" w:lineRule="exact"/>
        <w:rPr>
          <w:sz w:val="20"/>
          <w:szCs w:val="20"/>
          <w:color w:val="auto"/>
        </w:rPr>
      </w:pPr>
    </w:p>
    <w:p>
      <w:pPr>
        <w:ind w:right="2499"/>
        <w:spacing w:after="0" w:line="266" w:lineRule="auto"/>
        <w:rPr>
          <w:sz w:val="20"/>
          <w:szCs w:val="20"/>
          <w:color w:val="auto"/>
        </w:rPr>
      </w:pPr>
      <w:r>
        <w:rPr>
          <w:rFonts w:ascii="Courier New" w:cs="Courier New" w:eastAsia="Courier New" w:hAnsi="Courier New"/>
          <w:sz w:val="16"/>
          <w:szCs w:val="16"/>
          <w:color w:val="auto"/>
        </w:rPr>
        <w:t>Guidelines for awards granted under TI's long-term incentive program were set with the intention of providing TI executive officers an opportunity for financial gain equivalent to the median opportunity provided by competitor companies through all their long-term compensation programs. For this purpose, the future rate of appreciation of the shares underlying stock-based awards is assumed to be the same for all companies. Although not considered in establishing guidelines for stock option grants, the size of prior grants was considered in administering the guidelines.</w:t>
      </w:r>
    </w:p>
    <w:p>
      <w:pPr>
        <w:spacing w:after="0" w:line="84" w:lineRule="exact"/>
        <w:rPr>
          <w:sz w:val="20"/>
          <w:szCs w:val="20"/>
          <w:color w:val="auto"/>
        </w:rPr>
      </w:pPr>
    </w:p>
    <w:p>
      <w:pPr>
        <w:ind w:right="2499"/>
        <w:spacing w:after="0" w:line="262" w:lineRule="auto"/>
        <w:rPr>
          <w:sz w:val="20"/>
          <w:szCs w:val="20"/>
          <w:color w:val="auto"/>
        </w:rPr>
      </w:pPr>
      <w:r>
        <w:rPr>
          <w:rFonts w:ascii="Courier New" w:cs="Courier New" w:eastAsia="Courier New" w:hAnsi="Courier New"/>
          <w:sz w:val="16"/>
          <w:szCs w:val="16"/>
          <w:color w:val="auto"/>
        </w:rPr>
        <w:t>In January, the Committee reviewed the guidelines and granted stock options meeting the guidelines to each executive officer at a price of $45.88 per share (the market value of TI's common stock on the date of grant). The Committee considered the significant contributions of each executive officer to the development and implementation of a strategic plan for the Company. The Committee intends for these grants to recognize progress toward accomplishment of the strategic plan and, since these stock options will result in increased compensation to an executive officer only if TI's stock price increases, focus the executive officers on executing the plan and building value for stockholders.</w:t>
      </w:r>
    </w:p>
    <w:p>
      <w:pPr>
        <w:spacing w:after="0" w:line="89" w:lineRule="exact"/>
        <w:rPr>
          <w:sz w:val="20"/>
          <w:szCs w:val="20"/>
          <w:color w:val="auto"/>
        </w:rPr>
      </w:pPr>
    </w:p>
    <w:p>
      <w:pPr>
        <w:ind w:right="2599"/>
        <w:spacing w:after="0" w:line="290" w:lineRule="auto"/>
        <w:rPr>
          <w:sz w:val="20"/>
          <w:szCs w:val="20"/>
          <w:color w:val="auto"/>
        </w:rPr>
      </w:pPr>
      <w:r>
        <w:rPr>
          <w:rFonts w:ascii="Courier New" w:cs="Courier New" w:eastAsia="Courier New" w:hAnsi="Courier New"/>
          <w:sz w:val="16"/>
          <w:szCs w:val="16"/>
          <w:color w:val="auto"/>
        </w:rPr>
        <w:t>Mr. Junkins received an option to purchase 65,000 shares and was granted 5,000 restricted stock units in January 1996. Following his death, pursuant to the terms of the awards, the stock options and the restricted stock units were retained by Mr. Junkins' estate.</w:t>
      </w:r>
    </w:p>
    <w:p>
      <w:pPr>
        <w:spacing w:after="0" w:line="64"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Mr. Engibous received an option to purchase 30,000 shares in the January 1996 round of awards. After his election to the position of CEO, the Committee considered the need to increase Mr. Engibous' total long-term compensation commensurate with the position of CEO and to align Mr. Engibous' long-term financial opportunities more closely with the future performance of the Company. With this goal in mind, the Committee granted Mr. Engibous an additional option to purchase 30,000 shares of TI common stock at a price of $43.75 (the fair market value of the Company's common stock on the date of the grant) and a performance-based grant of 20,000 restricted stock units. Payments pursuant to the restricted stock unit award are based primarily on whether the Company meets specific RONA and revenue growth goals over a period of five years (as determined in accordance with the terms of the award) and generally are payable only if Mr. Engibous remains employed by the Company for a period of ten years. The grants of stock options and restricted stock units to Mr. Engibous in 1996 resulted in a total long-term compensation opportunity comparable to those of CEOs of competitor companies. However, total compensation (annual plus long-term) for Mr. Engibous was below the median total compensation of CEOs of competitor companies.</w:t>
      </w:r>
    </w:p>
    <w:p>
      <w:pPr>
        <w:spacing w:after="0" w:line="200" w:lineRule="exact"/>
        <w:rPr>
          <w:sz w:val="20"/>
          <w:szCs w:val="20"/>
          <w:color w:val="auto"/>
        </w:rPr>
      </w:pPr>
    </w:p>
    <w:p>
      <w:pPr>
        <w:spacing w:after="0" w:line="26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Gerald W. Fronterhouse, Chair</w:t>
      </w:r>
    </w:p>
    <w:p>
      <w:pPr>
        <w:spacing w:after="0" w:line="3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David L. Boren</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David R. Goode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16</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COMPARISON OF TOTAL SHAREHOLDER RETURN</w:t>
      </w:r>
    </w:p>
    <w:p>
      <w:pPr>
        <w:spacing w:after="0" w:line="195" w:lineRule="exact"/>
        <w:rPr>
          <w:sz w:val="20"/>
          <w:szCs w:val="20"/>
          <w:color w:val="auto"/>
        </w:rPr>
      </w:pPr>
    </w:p>
    <w:p>
      <w:pPr>
        <w:ind w:right="2499"/>
        <w:spacing w:after="0" w:line="273" w:lineRule="auto"/>
        <w:rPr>
          <w:sz w:val="20"/>
          <w:szCs w:val="20"/>
          <w:color w:val="auto"/>
        </w:rPr>
      </w:pPr>
      <w:r>
        <w:rPr>
          <w:rFonts w:ascii="Courier New" w:cs="Courier New" w:eastAsia="Courier New" w:hAnsi="Courier New"/>
          <w:sz w:val="16"/>
          <w:szCs w:val="16"/>
          <w:color w:val="auto"/>
        </w:rPr>
        <w:t>The following graph sets forth TI's total shareholder return as compared to the S&amp;P 500 Index and the S&amp;P Technology Sector Index over a five-year period, beginning December 31, 1991, and ending December 31, 1996. The total shareholder return assumes $100 invested at the beginning of the period in TI common stock, the S&amp;P 500 and the S&amp;P Technology Sector Index. It also assumes reinvestment of all dividends.</w:t>
      </w:r>
    </w:p>
    <w:p>
      <w:pPr>
        <w:sectPr>
          <w:pgSz w:w="11900" w:h="16845" w:orient="portrait"/>
          <w:cols w:equalWidth="0" w:num="1">
            <w:col w:w="10219"/>
          </w:cols>
          <w:pgMar w:left="24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 performance graph showing five year cumulative</w:t>
      </w:r>
    </w:p>
    <w:p>
      <w:pPr>
        <w:sectPr>
          <w:pgSz w:w="11900" w:h="16845" w:orient="portrait"/>
          <w:cols w:equalWidth="0" w:num="1">
            <w:col w:w="10219"/>
          </w:cols>
          <w:pgMar w:left="240" w:top="112" w:right="1440" w:bottom="0" w:gutter="0" w:footer="0" w:header="0"/>
          <w:type w:val="continuous"/>
        </w:sectPr>
      </w:pPr>
    </w:p>
    <w:bookmarkStart w:id="12" w:name="page13"/>
    <w:bookmarkEnd w:id="12"/>
    <w:p>
      <w:pPr>
        <w:spacing w:after="0" w:line="200"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total return among the Company, the S&amp;P 500 Index</w:t>
      </w:r>
    </w:p>
    <w:p>
      <w:pPr>
        <w:spacing w:after="0" w:line="3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and the S&amp;P Technology Sector Index appears here.</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The coordinates used in the graph appear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80" w:type="dxa"/>
            <w:vAlign w:val="bottom"/>
          </w:tcPr>
          <w:p>
            <w:pPr>
              <w:jc w:val="center"/>
              <w:ind w:left="199"/>
              <w:spacing w:after="0"/>
              <w:rPr>
                <w:sz w:val="20"/>
                <w:szCs w:val="20"/>
                <w:color w:val="auto"/>
              </w:rPr>
            </w:pPr>
            <w:r>
              <w:rPr>
                <w:rFonts w:ascii="Courier New" w:cs="Courier New" w:eastAsia="Courier New" w:hAnsi="Courier New"/>
                <w:sz w:val="16"/>
                <w:szCs w:val="16"/>
                <w:color w:val="auto"/>
              </w:rPr>
              <w:t>Dec-91</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rPr>
              <w:t>Dec-92</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rPr>
              <w:t>Dec-93</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rPr>
              <w:t>Dec-94</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rPr>
              <w:t>Dec-95</w:t>
            </w:r>
          </w:p>
        </w:tc>
        <w:tc>
          <w:tcPr>
            <w:tcW w:w="7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Dec-96</w:t>
            </w:r>
          </w:p>
        </w:tc>
      </w:tr>
      <w:tr>
        <w:trPr>
          <w:trHeight w:val="376"/>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Texas Instruments</w:t>
            </w:r>
          </w:p>
        </w:tc>
        <w:tc>
          <w:tcPr>
            <w:tcW w:w="1180" w:type="dxa"/>
            <w:vAlign w:val="bottom"/>
          </w:tcPr>
          <w:p>
            <w:pPr>
              <w:jc w:val="center"/>
              <w:ind w:left="219"/>
              <w:spacing w:after="0"/>
              <w:rPr>
                <w:sz w:val="20"/>
                <w:szCs w:val="20"/>
                <w:color w:val="auto"/>
              </w:rPr>
            </w:pPr>
            <w:r>
              <w:rPr>
                <w:rFonts w:ascii="Courier New" w:cs="Courier New" w:eastAsia="Courier New" w:hAnsi="Courier New"/>
                <w:sz w:val="16"/>
                <w:szCs w:val="16"/>
                <w:color w:val="auto"/>
              </w:rPr>
              <w:t>$100</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$154</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$213</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$254</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$353</w:t>
            </w:r>
          </w:p>
        </w:tc>
        <w:tc>
          <w:tcPr>
            <w:tcW w:w="720" w:type="dxa"/>
            <w:vAlign w:val="bottom"/>
          </w:tcPr>
          <w:p>
            <w:pPr>
              <w:jc w:val="center"/>
              <w:ind w:left="59"/>
              <w:spacing w:after="0"/>
              <w:rPr>
                <w:sz w:val="20"/>
                <w:szCs w:val="20"/>
                <w:color w:val="auto"/>
              </w:rPr>
            </w:pPr>
            <w:r>
              <w:rPr>
                <w:rFonts w:ascii="Courier New" w:cs="Courier New" w:eastAsia="Courier New" w:hAnsi="Courier New"/>
                <w:sz w:val="16"/>
                <w:szCs w:val="16"/>
                <w:color w:val="auto"/>
                <w:w w:val="98"/>
              </w:rPr>
              <w:t>$443</w:t>
            </w:r>
          </w:p>
        </w:tc>
      </w:tr>
      <w:tr>
        <w:trPr>
          <w:trHeight w:val="376"/>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S&amp;P 500(R)</w:t>
            </w:r>
          </w:p>
        </w:tc>
        <w:tc>
          <w:tcPr>
            <w:tcW w:w="1180" w:type="dxa"/>
            <w:vAlign w:val="bottom"/>
          </w:tcPr>
          <w:p>
            <w:pPr>
              <w:jc w:val="center"/>
              <w:ind w:left="219"/>
              <w:spacing w:after="0"/>
              <w:rPr>
                <w:sz w:val="20"/>
                <w:szCs w:val="20"/>
                <w:color w:val="auto"/>
              </w:rPr>
            </w:pPr>
            <w:r>
              <w:rPr>
                <w:rFonts w:ascii="Courier New" w:cs="Courier New" w:eastAsia="Courier New" w:hAnsi="Courier New"/>
                <w:sz w:val="16"/>
                <w:szCs w:val="16"/>
                <w:color w:val="auto"/>
              </w:rPr>
              <w:t>$100</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$108</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$118</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$120</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$165</w:t>
            </w:r>
          </w:p>
        </w:tc>
        <w:tc>
          <w:tcPr>
            <w:tcW w:w="720" w:type="dxa"/>
            <w:vAlign w:val="bottom"/>
          </w:tcPr>
          <w:p>
            <w:pPr>
              <w:jc w:val="center"/>
              <w:ind w:left="59"/>
              <w:spacing w:after="0"/>
              <w:rPr>
                <w:sz w:val="20"/>
                <w:szCs w:val="20"/>
                <w:color w:val="auto"/>
              </w:rPr>
            </w:pPr>
            <w:r>
              <w:rPr>
                <w:rFonts w:ascii="Courier New" w:cs="Courier New" w:eastAsia="Courier New" w:hAnsi="Courier New"/>
                <w:sz w:val="16"/>
                <w:szCs w:val="16"/>
                <w:color w:val="auto"/>
                <w:w w:val="98"/>
              </w:rPr>
              <w:t>$203</w:t>
            </w:r>
          </w:p>
        </w:tc>
      </w:tr>
      <w:tr>
        <w:trPr>
          <w:trHeight w:val="288"/>
        </w:trPr>
        <w:tc>
          <w:tcPr>
            <w:tcW w:w="640" w:type="dxa"/>
            <w:vAlign w:val="bottom"/>
          </w:tcPr>
          <w:p>
            <w:pPr>
              <w:spacing w:after="0"/>
              <w:rPr>
                <w:sz w:val="20"/>
                <w:szCs w:val="20"/>
                <w:color w:val="auto"/>
              </w:rPr>
            </w:pPr>
            <w:r>
              <w:rPr>
                <w:rFonts w:ascii="Courier New" w:cs="Courier New" w:eastAsia="Courier New" w:hAnsi="Courier New"/>
                <w:sz w:val="16"/>
                <w:szCs w:val="16"/>
                <w:color w:val="auto"/>
              </w:rPr>
              <w:t>S&amp;P(R)</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Technology</w:t>
            </w:r>
          </w:p>
        </w:tc>
        <w:tc>
          <w:tcPr>
            <w:tcW w:w="1180" w:type="dxa"/>
            <w:vAlign w:val="bottom"/>
          </w:tcPr>
          <w:p>
            <w:pPr>
              <w:jc w:val="center"/>
              <w:ind w:left="219"/>
              <w:spacing w:after="0"/>
              <w:rPr>
                <w:sz w:val="20"/>
                <w:szCs w:val="20"/>
                <w:color w:val="auto"/>
              </w:rPr>
            </w:pPr>
            <w:r>
              <w:rPr>
                <w:rFonts w:ascii="Courier New" w:cs="Courier New" w:eastAsia="Courier New" w:hAnsi="Courier New"/>
                <w:sz w:val="16"/>
                <w:szCs w:val="16"/>
                <w:color w:val="auto"/>
              </w:rPr>
              <w:t>$100</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$104</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$128</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$149</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$215</w:t>
            </w:r>
          </w:p>
        </w:tc>
        <w:tc>
          <w:tcPr>
            <w:tcW w:w="720" w:type="dxa"/>
            <w:vAlign w:val="bottom"/>
          </w:tcPr>
          <w:p>
            <w:pPr>
              <w:jc w:val="center"/>
              <w:ind w:left="59"/>
              <w:spacing w:after="0"/>
              <w:rPr>
                <w:sz w:val="20"/>
                <w:szCs w:val="20"/>
                <w:color w:val="auto"/>
              </w:rPr>
            </w:pPr>
            <w:r>
              <w:rPr>
                <w:rFonts w:ascii="Courier New" w:cs="Courier New" w:eastAsia="Courier New" w:hAnsi="Courier New"/>
                <w:sz w:val="16"/>
                <w:szCs w:val="16"/>
                <w:color w:val="auto"/>
                <w:w w:val="98"/>
              </w:rPr>
              <w:t>$302</w:t>
            </w:r>
          </w:p>
        </w:tc>
      </w:tr>
      <w:tr>
        <w:trPr>
          <w:trHeight w:val="276"/>
        </w:trPr>
        <w:tc>
          <w:tcPr>
            <w:tcW w:w="640" w:type="dxa"/>
            <w:vAlign w:val="bottom"/>
          </w:tcPr>
          <w:p>
            <w:pPr>
              <w:spacing w:after="0"/>
              <w:rPr>
                <w:sz w:val="20"/>
                <w:szCs w:val="20"/>
                <w:color w:val="auto"/>
              </w:rPr>
            </w:pPr>
            <w:r>
              <w:rPr>
                <w:rFonts w:ascii="Courier New" w:cs="Courier New" w:eastAsia="Courier New" w:hAnsi="Courier New"/>
                <w:sz w:val="16"/>
                <w:szCs w:val="16"/>
                <w:color w:val="auto"/>
              </w:rPr>
              <w:t>Sector</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Index</w:t>
            </w: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r>
    </w:tbl>
    <w:p>
      <w:pPr>
        <w:spacing w:after="0" w:line="288"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6"/>
          <w:szCs w:val="16"/>
          <w:color w:val="auto"/>
        </w:rPr>
        <w:t>*Assumes that the value of the investment in TI common stock and each index was $100 on December 31, 1991, and that all dividends were reinvested.</w:t>
      </w:r>
    </w:p>
    <w:p>
      <w:pPr>
        <w:ind w:right="2979"/>
        <w:spacing w:after="0" w:line="373" w:lineRule="auto"/>
        <w:rPr>
          <w:sz w:val="20"/>
          <w:szCs w:val="20"/>
          <w:color w:val="auto"/>
        </w:rPr>
      </w:pPr>
      <w:r>
        <w:rPr>
          <w:rFonts w:ascii="Courier New" w:cs="Courier New" w:eastAsia="Courier New" w:hAnsi="Courier New"/>
          <w:sz w:val="16"/>
          <w:szCs w:val="16"/>
          <w:color w:val="auto"/>
        </w:rPr>
        <w:t>**Year ending December 31. The S&amp;P Technology Sector Index was previously called the S&amp;P High Tech Composite Index.</w:t>
      </w:r>
    </w:p>
    <w:p>
      <w:pPr>
        <w:spacing w:after="0" w:line="200" w:lineRule="exact"/>
        <w:rPr>
          <w:sz w:val="20"/>
          <w:szCs w:val="20"/>
          <w:color w:val="auto"/>
        </w:rPr>
      </w:pPr>
    </w:p>
    <w:p>
      <w:pPr>
        <w:spacing w:after="0" w:line="364"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17</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PROPOSAL TO APPROVE THE TEXAS INSTRUMENTS</w:t>
      </w:r>
    </w:p>
    <w:p>
      <w:pPr>
        <w:spacing w:after="0" w:line="3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EXECUTIVE OFFICER PERFORMANCE PLAN</w:t>
      </w:r>
    </w:p>
    <w:p>
      <w:pPr>
        <w:spacing w:after="0" w:line="353"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6"/>
          <w:szCs w:val="16"/>
          <w:color w:val="auto"/>
        </w:rPr>
        <w:t>Section 162(m) of the Internal Revenue Code places a limit of $1,000,000 on the amount of compensation that may be deducted by the Company in any tax year with respect to the Company's five most highly paid executives. However, certain performance-based compensation that has been approved by stockholders is not subject to the deduction limit. In order to maximize the Company's deduction for compensation paid to its executive officers, the Board of Directors has adopted, subject to stockholder approval, the Texas Instruments Executive Officer Performance Plan. If the proposed Plan is approved by stockholders, the annual performance-based compensation paid to the Company's executive officers would be awarded under this plan rather than under the Company's Annual Incentive Plan.</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Executive Officer Performance Plan</w:t>
      </w:r>
    </w:p>
    <w:p>
      <w:pPr>
        <w:spacing w:after="0" w:line="195" w:lineRule="exact"/>
        <w:rPr>
          <w:sz w:val="20"/>
          <w:szCs w:val="20"/>
          <w:color w:val="auto"/>
        </w:rPr>
      </w:pPr>
    </w:p>
    <w:p>
      <w:pPr>
        <w:ind w:right="2599"/>
        <w:spacing w:after="0" w:line="311" w:lineRule="auto"/>
        <w:rPr>
          <w:sz w:val="20"/>
          <w:szCs w:val="20"/>
          <w:color w:val="auto"/>
        </w:rPr>
      </w:pPr>
      <w:r>
        <w:rPr>
          <w:rFonts w:ascii="Courier New" w:cs="Courier New" w:eastAsia="Courier New" w:hAnsi="Courier New"/>
          <w:sz w:val="16"/>
          <w:szCs w:val="16"/>
          <w:color w:val="auto"/>
        </w:rPr>
        <w:t>The full text of the proposed Texas Instruments Executive Officer Performance Plan is shown on Exhibit A to this proxy statement. The principal features of the Plan are summarized below.</w:t>
      </w:r>
    </w:p>
    <w:p>
      <w:pPr>
        <w:spacing w:after="0" w:line="47" w:lineRule="exact"/>
        <w:rPr>
          <w:sz w:val="20"/>
          <w:szCs w:val="20"/>
          <w:color w:val="auto"/>
        </w:rPr>
      </w:pPr>
    </w:p>
    <w:p>
      <w:pPr>
        <w:ind w:right="2699"/>
        <w:spacing w:after="0" w:line="290" w:lineRule="auto"/>
        <w:rPr>
          <w:sz w:val="20"/>
          <w:szCs w:val="20"/>
          <w:color w:val="auto"/>
        </w:rPr>
      </w:pPr>
      <w:r>
        <w:rPr>
          <w:rFonts w:ascii="Courier New" w:cs="Courier New" w:eastAsia="Courier New" w:hAnsi="Courier New"/>
          <w:sz w:val="16"/>
          <w:szCs w:val="16"/>
          <w:color w:val="auto"/>
        </w:rPr>
        <w:t>The purpose of the Texas Instruments Executive Officer Performance Plan is to provide performance-based compensation for the Company's executive officers, and the Plan is intended to provide such compensation in accordance with Section 162(m) of the Internal Revenue Code.</w:t>
      </w:r>
    </w:p>
    <w:p>
      <w:pPr>
        <w:spacing w:after="0" w:line="64" w:lineRule="exact"/>
        <w:rPr>
          <w:sz w:val="20"/>
          <w:szCs w:val="20"/>
          <w:color w:val="auto"/>
        </w:rPr>
      </w:pPr>
    </w:p>
    <w:p>
      <w:pPr>
        <w:ind w:right="2599"/>
        <w:spacing w:after="0" w:line="255" w:lineRule="auto"/>
        <w:rPr>
          <w:sz w:val="20"/>
          <w:szCs w:val="20"/>
          <w:color w:val="auto"/>
        </w:rPr>
      </w:pPr>
      <w:r>
        <w:rPr>
          <w:rFonts w:ascii="Courier New" w:cs="Courier New" w:eastAsia="Courier New" w:hAnsi="Courier New"/>
          <w:sz w:val="16"/>
          <w:szCs w:val="16"/>
          <w:color w:val="auto"/>
        </w:rPr>
        <w:t>Employees covered under the Plan are the executive officers of the Company, as defined in Section 3b-7 of the Securities Exchange Act of 1934. The Plan will be administered by the Compensation Committee, and, subject to the Committee's discretion to reduce the awards, each executive officer of the Company will be entitled to an annual award for each performance year under the Plan equal to 0.5% of the Company's consolidated income from continuing operations before</w:t>
      </w:r>
    </w:p>
    <w:p>
      <w:pPr>
        <w:spacing w:after="0" w:line="2" w:lineRule="exact"/>
        <w:rPr>
          <w:sz w:val="20"/>
          <w:szCs w:val="20"/>
          <w:color w:val="auto"/>
        </w:rPr>
      </w:pPr>
    </w:p>
    <w:p>
      <w:pPr>
        <w:ind w:right="2799"/>
        <w:spacing w:after="0" w:line="277" w:lineRule="auto"/>
        <w:tabs>
          <w:tab w:leader="none" w:pos="39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 for income taxes, (ii) awards under the Plan, (iii) any pretax gain or loss exceeding $25 million recognized for the year related to divestiture of a business, and (iv) any write-off of in-process research and development expenses exceeding $25 million associated with an acquisition.</w:t>
      </w:r>
    </w:p>
    <w:p>
      <w:pPr>
        <w:spacing w:after="0" w:line="73" w:lineRule="exact"/>
        <w:rPr>
          <w:sz w:val="20"/>
          <w:szCs w:val="20"/>
          <w:color w:val="auto"/>
        </w:rPr>
      </w:pPr>
    </w:p>
    <w:p>
      <w:pPr>
        <w:ind w:right="2599"/>
        <w:spacing w:after="0" w:line="273" w:lineRule="auto"/>
        <w:rPr>
          <w:sz w:val="20"/>
          <w:szCs w:val="20"/>
          <w:color w:val="auto"/>
        </w:rPr>
      </w:pPr>
      <w:r>
        <w:rPr>
          <w:rFonts w:ascii="Courier New" w:cs="Courier New" w:eastAsia="Courier New" w:hAnsi="Courier New"/>
          <w:sz w:val="16"/>
          <w:szCs w:val="16"/>
          <w:color w:val="auto"/>
        </w:rPr>
        <w:t>After the end of each performance year, the Company's independent auditors will determine and report to the Compensation Committee, and the Compensation Committee will certify, the amount of each award for that year under the Plan. The Compensation Committee, based on such factors as it deems appropriate, may reduce (including a reduction to zero), but may not increase, the amount of any award under the Plan for that year.</w:t>
      </w:r>
    </w:p>
    <w:p>
      <w:pPr>
        <w:spacing w:after="0" w:line="79" w:lineRule="exact"/>
        <w:rPr>
          <w:sz w:val="20"/>
          <w:szCs w:val="20"/>
          <w:color w:val="auto"/>
        </w:rPr>
      </w:pPr>
    </w:p>
    <w:p>
      <w:pPr>
        <w:ind w:right="2879"/>
        <w:spacing w:after="0" w:line="372" w:lineRule="auto"/>
        <w:rPr>
          <w:sz w:val="20"/>
          <w:szCs w:val="20"/>
          <w:color w:val="auto"/>
        </w:rPr>
      </w:pPr>
      <w:r>
        <w:rPr>
          <w:rFonts w:ascii="Courier New" w:cs="Courier New" w:eastAsia="Courier New" w:hAnsi="Courier New"/>
          <w:sz w:val="16"/>
          <w:szCs w:val="16"/>
          <w:color w:val="auto"/>
        </w:rPr>
        <w:t>All awards under the Plan will be paid in cash. The Compensation Committee may, however, direct that any such award be paid in equal or varying</w:t>
      </w:r>
    </w:p>
    <w:p>
      <w:pPr>
        <w:sectPr>
          <w:pgSz w:w="11900" w:h="17038" w:orient="portrait"/>
          <w:cols w:equalWidth="0" w:num="1">
            <w:col w:w="10219"/>
          </w:cols>
          <w:pgMar w:left="240" w:top="112" w:right="1440" w:bottom="0" w:gutter="0" w:footer="0" w:header="0"/>
        </w:sectPr>
      </w:pPr>
    </w:p>
    <w:bookmarkStart w:id="13" w:name="page14"/>
    <w:bookmarkEnd w:id="13"/>
    <w:p>
      <w:pPr>
        <w:spacing w:after="0" w:line="138" w:lineRule="exact"/>
        <w:rPr>
          <w:sz w:val="20"/>
          <w:szCs w:val="20"/>
          <w:color w:val="auto"/>
        </w:rPr>
      </w:pPr>
    </w:p>
    <w:p>
      <w:pPr>
        <w:jc w:val="both"/>
        <w:ind w:right="2599"/>
        <w:spacing w:after="0" w:line="311" w:lineRule="auto"/>
        <w:rPr>
          <w:sz w:val="20"/>
          <w:szCs w:val="20"/>
          <w:color w:val="auto"/>
        </w:rPr>
      </w:pPr>
      <w:r>
        <w:rPr>
          <w:rFonts w:ascii="Courier New" w:cs="Courier New" w:eastAsia="Courier New" w:hAnsi="Courier New"/>
          <w:sz w:val="16"/>
          <w:szCs w:val="16"/>
          <w:color w:val="auto"/>
        </w:rPr>
        <w:t>installments and may prescribe any other terms and conditions of payment as it deems appropriate, including completion of specific periods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18</w:t>
      </w:r>
    </w:p>
    <w:p>
      <w:pPr>
        <w:spacing w:after="0" w:line="195" w:lineRule="exact"/>
        <w:rPr>
          <w:sz w:val="20"/>
          <w:szCs w:val="20"/>
          <w:color w:val="auto"/>
        </w:rPr>
      </w:pPr>
    </w:p>
    <w:p>
      <w:pPr>
        <w:ind w:right="2599"/>
        <w:spacing w:after="0" w:line="267" w:lineRule="auto"/>
        <w:rPr>
          <w:sz w:val="20"/>
          <w:szCs w:val="20"/>
          <w:color w:val="auto"/>
        </w:rPr>
      </w:pPr>
      <w:r>
        <w:rPr>
          <w:rFonts w:ascii="Courier New" w:cs="Courier New" w:eastAsia="Courier New" w:hAnsi="Courier New"/>
          <w:sz w:val="16"/>
          <w:szCs w:val="16"/>
          <w:color w:val="auto"/>
        </w:rPr>
        <w:t>The awards that would be received by the executive officers or the group named in the table below under the proposed Plan are not determinable at this time, and no awards were received for 1996 by executive officers under the Annual Incentive Plan. However, the following table shows the amounts awarded to such executive officers and group in January 1996 for the year 1995 under the Annual Incentive Plan and which would have been awarded under the proposed Plan after the exercise of the Compensation Committee's discretion to reduce awards.</w:t>
      </w:r>
    </w:p>
    <w:p>
      <w:pPr>
        <w:spacing w:after="0" w:line="200" w:lineRule="exact"/>
        <w:rPr>
          <w:sz w:val="20"/>
          <w:szCs w:val="20"/>
          <w:color w:val="auto"/>
        </w:rPr>
      </w:pPr>
    </w:p>
    <w:p>
      <w:pPr>
        <w:spacing w:after="0" w:line="268" w:lineRule="exact"/>
        <w:rPr>
          <w:sz w:val="20"/>
          <w:szCs w:val="20"/>
          <w:color w:val="auto"/>
        </w:rPr>
      </w:pPr>
    </w:p>
    <w:tbl>
      <w:tblPr>
        <w:tblLayout w:type="fixed"/>
        <w:tblInd w:w="1180" w:type="dxa"/>
        <w:tblCellMar>
          <w:top w:w="0" w:type="dxa"/>
          <w:left w:w="0" w:type="dxa"/>
          <w:bottom w:w="0" w:type="dxa"/>
          <w:right w:w="0" w:type="dxa"/>
        </w:tblCellMar>
      </w:tblPr>
      <w:tr>
        <w:trPr>
          <w:trHeight w:val="276"/>
        </w:trPr>
        <w:tc>
          <w:tcPr>
            <w:tcW w:w="3220" w:type="dxa"/>
            <w:vAlign w:val="bottom"/>
          </w:tcPr>
          <w:p>
            <w:pPr>
              <w:ind w:left="580"/>
              <w:spacing w:after="0"/>
              <w:rPr>
                <w:sz w:val="20"/>
                <w:szCs w:val="20"/>
                <w:color w:val="auto"/>
              </w:rPr>
            </w:pPr>
            <w:r>
              <w:rPr>
                <w:rFonts w:ascii="Courier New" w:cs="Courier New" w:eastAsia="Courier New" w:hAnsi="Courier New"/>
                <w:sz w:val="16"/>
                <w:szCs w:val="16"/>
                <w:color w:val="auto"/>
              </w:rPr>
              <w:t>Name and Position</w:t>
            </w:r>
          </w:p>
        </w:tc>
        <w:tc>
          <w:tcPr>
            <w:tcW w:w="1860" w:type="dxa"/>
            <w:vAlign w:val="bottom"/>
          </w:tcPr>
          <w:p>
            <w:pPr>
              <w:ind w:left="300"/>
              <w:spacing w:after="0"/>
              <w:rPr>
                <w:sz w:val="20"/>
                <w:szCs w:val="20"/>
                <w:color w:val="auto"/>
              </w:rPr>
            </w:pPr>
            <w:r>
              <w:rPr>
                <w:rFonts w:ascii="Courier New" w:cs="Courier New" w:eastAsia="Courier New" w:hAnsi="Courier New"/>
                <w:sz w:val="16"/>
                <w:szCs w:val="16"/>
                <w:color w:val="auto"/>
              </w:rPr>
              <w:t>Dollar Value ($)</w:t>
            </w:r>
          </w:p>
        </w:tc>
      </w:tr>
      <w:tr>
        <w:trPr>
          <w:trHeight w:val="2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Thomas J. Engibous (1)</w:t>
            </w:r>
          </w:p>
        </w:tc>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$1,000,000</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President and Chief Executive</w:t>
            </w:r>
          </w:p>
        </w:tc>
        <w:tc>
          <w:tcPr>
            <w:tcW w:w="1860" w:type="dxa"/>
            <w:vAlign w:val="bottom"/>
          </w:tcPr>
          <w:p>
            <w:pPr>
              <w:spacing w:after="0"/>
              <w:rPr>
                <w:sz w:val="16"/>
                <w:szCs w:val="16"/>
                <w:color w:val="auto"/>
              </w:rPr>
            </w:pPr>
          </w:p>
        </w:tc>
      </w:tr>
      <w:tr>
        <w:trPr>
          <w:trHeight w:val="276"/>
        </w:trPr>
        <w:tc>
          <w:tcPr>
            <w:tcW w:w="3220" w:type="dxa"/>
            <w:vAlign w:val="bottom"/>
          </w:tcPr>
          <w:p>
            <w:pPr>
              <w:spacing w:after="0"/>
              <w:rPr>
                <w:sz w:val="20"/>
                <w:szCs w:val="20"/>
                <w:color w:val="auto"/>
              </w:rPr>
            </w:pPr>
            <w:r>
              <w:rPr>
                <w:rFonts w:ascii="Courier New" w:cs="Courier New" w:eastAsia="Courier New" w:hAnsi="Courier New"/>
                <w:sz w:val="16"/>
                <w:szCs w:val="16"/>
                <w:color w:val="auto"/>
              </w:rPr>
              <w:t>Officer</w:t>
            </w:r>
          </w:p>
        </w:tc>
        <w:tc>
          <w:tcPr>
            <w:tcW w:w="1860" w:type="dxa"/>
            <w:vAlign w:val="bottom"/>
          </w:tcPr>
          <w:p>
            <w:pPr>
              <w:spacing w:after="0"/>
              <w:rPr>
                <w:sz w:val="23"/>
                <w:szCs w:val="23"/>
                <w:color w:val="auto"/>
              </w:rPr>
            </w:pPr>
          </w:p>
        </w:tc>
      </w:tr>
      <w:tr>
        <w:trPr>
          <w:trHeight w:val="2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Jerry R. Junkins(1)</w:t>
            </w:r>
          </w:p>
        </w:tc>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$1,750,000</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Chairman, President and</w:t>
            </w:r>
          </w:p>
        </w:tc>
        <w:tc>
          <w:tcPr>
            <w:tcW w:w="1860" w:type="dxa"/>
            <w:vAlign w:val="bottom"/>
          </w:tcPr>
          <w:p>
            <w:pPr>
              <w:spacing w:after="0"/>
              <w:rPr>
                <w:sz w:val="16"/>
                <w:szCs w:val="16"/>
                <w:color w:val="auto"/>
              </w:rPr>
            </w:pPr>
          </w:p>
        </w:tc>
      </w:tr>
      <w:tr>
        <w:trPr>
          <w:trHeight w:val="276"/>
        </w:trPr>
        <w:tc>
          <w:tcPr>
            <w:tcW w:w="3220" w:type="dxa"/>
            <w:vAlign w:val="bottom"/>
          </w:tcPr>
          <w:p>
            <w:pPr>
              <w:spacing w:after="0"/>
              <w:rPr>
                <w:sz w:val="20"/>
                <w:szCs w:val="20"/>
                <w:color w:val="auto"/>
              </w:rPr>
            </w:pPr>
            <w:r>
              <w:rPr>
                <w:rFonts w:ascii="Courier New" w:cs="Courier New" w:eastAsia="Courier New" w:hAnsi="Courier New"/>
                <w:sz w:val="16"/>
                <w:szCs w:val="16"/>
                <w:color w:val="auto"/>
              </w:rPr>
              <w:t>Chief Executive Officer</w:t>
            </w:r>
          </w:p>
        </w:tc>
        <w:tc>
          <w:tcPr>
            <w:tcW w:w="1860" w:type="dxa"/>
            <w:vAlign w:val="bottom"/>
          </w:tcPr>
          <w:p>
            <w:pPr>
              <w:spacing w:after="0"/>
              <w:rPr>
                <w:sz w:val="23"/>
                <w:szCs w:val="23"/>
                <w:color w:val="auto"/>
              </w:rPr>
            </w:pPr>
          </w:p>
        </w:tc>
      </w:tr>
      <w:tr>
        <w:trPr>
          <w:trHeight w:val="2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William B. Mitchell(2)</w:t>
            </w:r>
          </w:p>
        </w:tc>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$650,000</w:t>
            </w:r>
          </w:p>
        </w:tc>
      </w:tr>
      <w:tr>
        <w:trPr>
          <w:trHeight w:val="276"/>
        </w:trPr>
        <w:tc>
          <w:tcPr>
            <w:tcW w:w="3220" w:type="dxa"/>
            <w:vAlign w:val="bottom"/>
          </w:tcPr>
          <w:p>
            <w:pPr>
              <w:spacing w:after="0"/>
              <w:rPr>
                <w:sz w:val="20"/>
                <w:szCs w:val="20"/>
                <w:color w:val="auto"/>
              </w:rPr>
            </w:pPr>
            <w:r>
              <w:rPr>
                <w:rFonts w:ascii="Courier New" w:cs="Courier New" w:eastAsia="Courier New" w:hAnsi="Courier New"/>
                <w:sz w:val="16"/>
                <w:szCs w:val="16"/>
                <w:color w:val="auto"/>
              </w:rPr>
              <w:t>Vice Chairman</w:t>
            </w:r>
          </w:p>
        </w:tc>
        <w:tc>
          <w:tcPr>
            <w:tcW w:w="1860" w:type="dxa"/>
            <w:vAlign w:val="bottom"/>
          </w:tcPr>
          <w:p>
            <w:pPr>
              <w:spacing w:after="0"/>
              <w:rPr>
                <w:sz w:val="23"/>
                <w:szCs w:val="23"/>
                <w:color w:val="auto"/>
              </w:rPr>
            </w:pPr>
          </w:p>
        </w:tc>
      </w:tr>
      <w:tr>
        <w:trPr>
          <w:trHeight w:val="2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William P. Weber(1)</w:t>
            </w:r>
          </w:p>
        </w:tc>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$750,000</w:t>
            </w:r>
          </w:p>
        </w:tc>
      </w:tr>
      <w:tr>
        <w:trPr>
          <w:trHeight w:val="276"/>
        </w:trPr>
        <w:tc>
          <w:tcPr>
            <w:tcW w:w="3220" w:type="dxa"/>
            <w:vAlign w:val="bottom"/>
          </w:tcPr>
          <w:p>
            <w:pPr>
              <w:spacing w:after="0"/>
              <w:rPr>
                <w:sz w:val="20"/>
                <w:szCs w:val="20"/>
                <w:color w:val="auto"/>
              </w:rPr>
            </w:pPr>
            <w:r>
              <w:rPr>
                <w:rFonts w:ascii="Courier New" w:cs="Courier New" w:eastAsia="Courier New" w:hAnsi="Courier New"/>
                <w:sz w:val="16"/>
                <w:szCs w:val="16"/>
                <w:color w:val="auto"/>
              </w:rPr>
              <w:t>Vice Chairman</w:t>
            </w:r>
          </w:p>
        </w:tc>
        <w:tc>
          <w:tcPr>
            <w:tcW w:w="1860" w:type="dxa"/>
            <w:vAlign w:val="bottom"/>
          </w:tcPr>
          <w:p>
            <w:pPr>
              <w:spacing w:after="0"/>
              <w:rPr>
                <w:sz w:val="23"/>
                <w:szCs w:val="23"/>
                <w:color w:val="auto"/>
              </w:rPr>
            </w:pPr>
          </w:p>
        </w:tc>
      </w:tr>
      <w:tr>
        <w:trPr>
          <w:trHeight w:val="2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Gary D. Clubb</w:t>
            </w: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$650,000</w:t>
            </w:r>
          </w:p>
        </w:tc>
      </w:tr>
      <w:tr>
        <w:trPr>
          <w:trHeight w:val="276"/>
        </w:trPr>
        <w:tc>
          <w:tcPr>
            <w:tcW w:w="3220" w:type="dxa"/>
            <w:vAlign w:val="bottom"/>
          </w:tcPr>
          <w:p>
            <w:pPr>
              <w:spacing w:after="0"/>
              <w:rPr>
                <w:sz w:val="20"/>
                <w:szCs w:val="20"/>
                <w:color w:val="auto"/>
              </w:rPr>
            </w:pPr>
            <w:r>
              <w:rPr>
                <w:rFonts w:ascii="Courier New" w:cs="Courier New" w:eastAsia="Courier New" w:hAnsi="Courier New"/>
                <w:sz w:val="16"/>
                <w:szCs w:val="16"/>
                <w:color w:val="auto"/>
              </w:rPr>
              <w:t>Executive Vice President</w:t>
            </w:r>
          </w:p>
        </w:tc>
        <w:tc>
          <w:tcPr>
            <w:tcW w:w="1860" w:type="dxa"/>
            <w:vAlign w:val="bottom"/>
          </w:tcPr>
          <w:p>
            <w:pPr>
              <w:spacing w:after="0"/>
              <w:rPr>
                <w:sz w:val="23"/>
                <w:szCs w:val="23"/>
                <w:color w:val="auto"/>
              </w:rPr>
            </w:pPr>
          </w:p>
        </w:tc>
      </w:tr>
      <w:tr>
        <w:trPr>
          <w:trHeight w:val="2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David D. Martin</w:t>
            </w: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$650,000</w:t>
            </w:r>
          </w:p>
        </w:tc>
      </w:tr>
      <w:tr>
        <w:trPr>
          <w:trHeight w:val="276"/>
        </w:trPr>
        <w:tc>
          <w:tcPr>
            <w:tcW w:w="3220" w:type="dxa"/>
            <w:vAlign w:val="bottom"/>
          </w:tcPr>
          <w:p>
            <w:pPr>
              <w:spacing w:after="0"/>
              <w:rPr>
                <w:sz w:val="20"/>
                <w:szCs w:val="20"/>
                <w:color w:val="auto"/>
              </w:rPr>
            </w:pPr>
            <w:r>
              <w:rPr>
                <w:rFonts w:ascii="Courier New" w:cs="Courier New" w:eastAsia="Courier New" w:hAnsi="Courier New"/>
                <w:sz w:val="16"/>
                <w:szCs w:val="16"/>
                <w:color w:val="auto"/>
              </w:rPr>
              <w:t>Executive Vice President</w:t>
            </w:r>
          </w:p>
        </w:tc>
        <w:tc>
          <w:tcPr>
            <w:tcW w:w="1860" w:type="dxa"/>
            <w:vAlign w:val="bottom"/>
          </w:tcPr>
          <w:p>
            <w:pPr>
              <w:spacing w:after="0"/>
              <w:rPr>
                <w:sz w:val="23"/>
                <w:szCs w:val="23"/>
                <w:color w:val="auto"/>
              </w:rPr>
            </w:pPr>
          </w:p>
        </w:tc>
      </w:tr>
      <w:tr>
        <w:trPr>
          <w:trHeight w:val="2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Richard J. Agnich</w:t>
            </w: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$550,000</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Senior Vice President, Secretary</w:t>
            </w:r>
          </w:p>
        </w:tc>
        <w:tc>
          <w:tcPr>
            <w:tcW w:w="1860" w:type="dxa"/>
            <w:vAlign w:val="bottom"/>
          </w:tcPr>
          <w:p>
            <w:pPr>
              <w:spacing w:after="0"/>
              <w:rPr>
                <w:sz w:val="16"/>
                <w:szCs w:val="16"/>
                <w:color w:val="auto"/>
              </w:rPr>
            </w:pPr>
          </w:p>
        </w:tc>
      </w:tr>
      <w:tr>
        <w:trPr>
          <w:trHeight w:val="276"/>
        </w:trPr>
        <w:tc>
          <w:tcPr>
            <w:tcW w:w="3220" w:type="dxa"/>
            <w:vAlign w:val="bottom"/>
          </w:tcPr>
          <w:p>
            <w:pPr>
              <w:spacing w:after="0"/>
              <w:rPr>
                <w:sz w:val="20"/>
                <w:szCs w:val="20"/>
                <w:color w:val="auto"/>
              </w:rPr>
            </w:pPr>
            <w:r>
              <w:rPr>
                <w:rFonts w:ascii="Courier New" w:cs="Courier New" w:eastAsia="Courier New" w:hAnsi="Courier New"/>
                <w:sz w:val="16"/>
                <w:szCs w:val="16"/>
                <w:color w:val="auto"/>
              </w:rPr>
              <w:t>and General Counsel</w:t>
            </w:r>
          </w:p>
        </w:tc>
        <w:tc>
          <w:tcPr>
            <w:tcW w:w="1860" w:type="dxa"/>
            <w:vAlign w:val="bottom"/>
          </w:tcPr>
          <w:p>
            <w:pPr>
              <w:spacing w:after="0"/>
              <w:rPr>
                <w:sz w:val="23"/>
                <w:szCs w:val="23"/>
                <w:color w:val="auto"/>
              </w:rPr>
            </w:pPr>
          </w:p>
        </w:tc>
      </w:tr>
      <w:tr>
        <w:trPr>
          <w:trHeight w:val="2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William A. Aylesworth</w:t>
            </w: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$550,000</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Senior Vice President, Treasurer</w:t>
            </w:r>
          </w:p>
        </w:tc>
        <w:tc>
          <w:tcPr>
            <w:tcW w:w="1860" w:type="dxa"/>
            <w:vAlign w:val="bottom"/>
          </w:tcPr>
          <w:p>
            <w:pPr>
              <w:spacing w:after="0"/>
              <w:rPr>
                <w:sz w:val="16"/>
                <w:szCs w:val="16"/>
                <w:color w:val="auto"/>
              </w:rPr>
            </w:pPr>
          </w:p>
        </w:tc>
      </w:tr>
      <w:tr>
        <w:trPr>
          <w:trHeight w:val="276"/>
        </w:trPr>
        <w:tc>
          <w:tcPr>
            <w:tcW w:w="3220" w:type="dxa"/>
            <w:vAlign w:val="bottom"/>
          </w:tcPr>
          <w:p>
            <w:pPr>
              <w:spacing w:after="0"/>
              <w:rPr>
                <w:sz w:val="20"/>
                <w:szCs w:val="20"/>
                <w:color w:val="auto"/>
              </w:rPr>
            </w:pPr>
            <w:r>
              <w:rPr>
                <w:rFonts w:ascii="Courier New" w:cs="Courier New" w:eastAsia="Courier New" w:hAnsi="Courier New"/>
                <w:sz w:val="16"/>
                <w:szCs w:val="16"/>
                <w:color w:val="auto"/>
              </w:rPr>
              <w:t>and Chief Financial Officer</w:t>
            </w:r>
          </w:p>
        </w:tc>
        <w:tc>
          <w:tcPr>
            <w:tcW w:w="1860" w:type="dxa"/>
            <w:vAlign w:val="bottom"/>
          </w:tcPr>
          <w:p>
            <w:pPr>
              <w:spacing w:after="0"/>
              <w:rPr>
                <w:sz w:val="23"/>
                <w:szCs w:val="23"/>
                <w:color w:val="auto"/>
              </w:rPr>
            </w:pPr>
          </w:p>
        </w:tc>
      </w:tr>
      <w:tr>
        <w:trPr>
          <w:trHeight w:val="318"/>
        </w:trPr>
        <w:tc>
          <w:tcPr>
            <w:tcW w:w="3220" w:type="dxa"/>
            <w:vAlign w:val="bottom"/>
          </w:tcPr>
          <w:p>
            <w:pPr>
              <w:spacing w:after="0"/>
              <w:rPr>
                <w:sz w:val="20"/>
                <w:szCs w:val="20"/>
                <w:color w:val="auto"/>
              </w:rPr>
            </w:pPr>
            <w:r>
              <w:rPr>
                <w:rFonts w:ascii="Courier New" w:cs="Courier New" w:eastAsia="Courier New" w:hAnsi="Courier New"/>
                <w:sz w:val="16"/>
                <w:szCs w:val="16"/>
                <w:color w:val="auto"/>
              </w:rPr>
              <w:t>Executive Group</w:t>
            </w: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$8,935,000</w:t>
            </w:r>
          </w:p>
        </w:tc>
      </w:tr>
    </w:tbl>
    <w:p>
      <w:pPr>
        <w:spacing w:after="0"/>
        <w:rPr>
          <w:sz w:val="20"/>
          <w:szCs w:val="20"/>
          <w:color w:val="auto"/>
        </w:rPr>
      </w:pPr>
      <w:r>
        <w:rPr>
          <w:rFonts w:ascii="Courier New" w:cs="Courier New" w:eastAsia="Courier New" w:hAnsi="Courier New"/>
          <w:sz w:val="16"/>
          <w:szCs w:val="16"/>
          <w:color w:val="auto"/>
        </w:rPr>
        <w:t>- ---------------</w:t>
      </w:r>
    </w:p>
    <w:p>
      <w:pPr>
        <w:spacing w:after="0" w:line="165" w:lineRule="exact"/>
        <w:rPr>
          <w:sz w:val="20"/>
          <w:szCs w:val="20"/>
          <w:color w:val="auto"/>
        </w:rPr>
      </w:pPr>
    </w:p>
    <w:p>
      <w:pPr>
        <w:jc w:val="both"/>
        <w:ind w:right="3079"/>
        <w:spacing w:after="0" w:line="268" w:lineRule="auto"/>
        <w:tabs>
          <w:tab w:leader="none" w:pos="39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Junkins died on May 29, 1996. Mr. Weber served as Vice Chairman, President and Chief Executive Officer from May 29, 1996 to June 20, 1996.</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Mr. Engibous was elected President and Chief Executive Officer on June 20, 1996.</w:t>
      </w:r>
    </w:p>
    <w:p>
      <w:pPr>
        <w:spacing w:after="0" w:line="164"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Mitchell retired from the Company on December 31, 1996.</w:t>
      </w:r>
    </w:p>
    <w:p>
      <w:pPr>
        <w:spacing w:after="0" w:line="383" w:lineRule="exact"/>
        <w:rPr>
          <w:sz w:val="20"/>
          <w:szCs w:val="20"/>
          <w:color w:val="auto"/>
        </w:rPr>
      </w:pPr>
    </w:p>
    <w:p>
      <w:pPr>
        <w:ind w:right="2599"/>
        <w:spacing w:after="0" w:line="373" w:lineRule="auto"/>
        <w:rPr>
          <w:sz w:val="20"/>
          <w:szCs w:val="20"/>
          <w:color w:val="auto"/>
        </w:rPr>
      </w:pPr>
      <w:r>
        <w:rPr>
          <w:rFonts w:ascii="Courier New" w:cs="Courier New" w:eastAsia="Courier New" w:hAnsi="Courier New"/>
          <w:sz w:val="16"/>
          <w:szCs w:val="16"/>
          <w:color w:val="auto"/>
        </w:rPr>
        <w:t>The Board of Directors recommends a vote "FOR" the Texas Instruments Executive Officer Performance Plan.</w:t>
      </w:r>
    </w:p>
    <w:p>
      <w:pPr>
        <w:spacing w:after="0" w:line="37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PROPOSAL TO APPROVE THE TI EMPLOYEES</w:t>
      </w:r>
    </w:p>
    <w:p>
      <w:pPr>
        <w:spacing w:after="0" w:line="3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1997 STOCK PURCHASE PLAN</w:t>
      </w:r>
    </w:p>
    <w:p>
      <w:pPr>
        <w:spacing w:after="0" w:line="165" w:lineRule="exact"/>
        <w:rPr>
          <w:sz w:val="20"/>
          <w:szCs w:val="20"/>
          <w:color w:val="auto"/>
        </w:rPr>
      </w:pPr>
    </w:p>
    <w:p>
      <w:pPr>
        <w:ind w:right="2599"/>
        <w:spacing w:after="0" w:line="269" w:lineRule="auto"/>
        <w:rPr>
          <w:sz w:val="20"/>
          <w:szCs w:val="20"/>
          <w:color w:val="auto"/>
        </w:rPr>
      </w:pPr>
      <w:r>
        <w:rPr>
          <w:rFonts w:ascii="Courier New" w:cs="Courier New" w:eastAsia="Courier New" w:hAnsi="Courier New"/>
          <w:sz w:val="16"/>
          <w:szCs w:val="16"/>
          <w:color w:val="auto"/>
        </w:rPr>
        <w:t>In order to enable the Company to continue to provide flexible and competitive employee benefits, the Board proposes that the TI Employees 1988 Stock Option Purchase Plan be replaced with the TI Employees 1997 Stock Purchase Plan. The proposed plan would afford the Compensation Committee greater flexibility in that it would allow more than one offering per year and would allow the option price to be less than 100% (but not less than 85%) of the fair market value of the Company's stock.</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 Employees 1997 Stock Purchase Plan</w:t>
      </w:r>
    </w:p>
    <w:p>
      <w:pPr>
        <w:spacing w:after="0" w:line="195" w:lineRule="exact"/>
        <w:rPr>
          <w:sz w:val="20"/>
          <w:szCs w:val="20"/>
          <w:color w:val="auto"/>
        </w:rPr>
      </w:pPr>
    </w:p>
    <w:p>
      <w:pPr>
        <w:jc w:val="both"/>
        <w:ind w:right="2699"/>
        <w:spacing w:after="0" w:line="311" w:lineRule="auto"/>
        <w:rPr>
          <w:sz w:val="20"/>
          <w:szCs w:val="20"/>
          <w:color w:val="auto"/>
        </w:rPr>
      </w:pPr>
      <w:r>
        <w:rPr>
          <w:rFonts w:ascii="Courier New" w:cs="Courier New" w:eastAsia="Courier New" w:hAnsi="Courier New"/>
          <w:sz w:val="16"/>
          <w:szCs w:val="16"/>
          <w:color w:val="auto"/>
        </w:rPr>
        <w:t>The full text of the proposed TI Employees 1997 Stock Purchase Plan is shown on Exhibit B to this proxy statement. The principal features of the Plan are summarized below.</w:t>
      </w:r>
    </w:p>
    <w:p>
      <w:pPr>
        <w:spacing w:after="0" w:line="47" w:lineRule="exact"/>
        <w:rPr>
          <w:sz w:val="20"/>
          <w:szCs w:val="20"/>
          <w:color w:val="auto"/>
        </w:rPr>
      </w:pPr>
    </w:p>
    <w:p>
      <w:pPr>
        <w:ind w:right="2599"/>
        <w:spacing w:after="0" w:line="290" w:lineRule="auto"/>
        <w:rPr>
          <w:sz w:val="20"/>
          <w:szCs w:val="20"/>
          <w:color w:val="auto"/>
        </w:rPr>
      </w:pPr>
      <w:r>
        <w:rPr>
          <w:rFonts w:ascii="Courier New" w:cs="Courier New" w:eastAsia="Courier New" w:hAnsi="Courier New"/>
          <w:sz w:val="16"/>
          <w:szCs w:val="16"/>
          <w:color w:val="auto"/>
        </w:rPr>
        <w:t>Plan Provisions. Each year during the term of the TI Employees 1997 Stock Purchase Plan, unless the Compensation Committee determines otherwise, TI will make one or more offers to each eligible employee of options to purchase TI common stock through voluntary payroll deductions. Each eligible employee</w:t>
      </w:r>
    </w:p>
    <w:p>
      <w:pPr>
        <w:sectPr>
          <w:pgSz w:w="11900" w:h="16976" w:orient="portrait"/>
          <w:cols w:equalWidth="0" w:num="1">
            <w:col w:w="10219"/>
          </w:cols>
          <w:pgMar w:left="240" w:top="112" w:right="1440" w:bottom="0" w:gutter="0" w:footer="0" w:header="0"/>
        </w:sectPr>
      </w:pPr>
    </w:p>
    <w:bookmarkStart w:id="14" w:name="page15"/>
    <w:bookmarkEnd w:id="14"/>
    <w:p>
      <w:pPr>
        <w:spacing w:after="0" w:line="123" w:lineRule="exact"/>
        <w:rPr>
          <w:sz w:val="20"/>
          <w:szCs w:val="20"/>
          <w:color w:val="auto"/>
        </w:rPr>
      </w:pPr>
    </w:p>
    <w:p>
      <w:pPr>
        <w:ind w:right="2799"/>
        <w:spacing w:after="0" w:line="256" w:lineRule="auto"/>
        <w:rPr>
          <w:sz w:val="20"/>
          <w:szCs w:val="20"/>
          <w:color w:val="auto"/>
        </w:rPr>
      </w:pPr>
      <w:r>
        <w:rPr>
          <w:rFonts w:ascii="Courier New" w:cs="Courier New" w:eastAsia="Courier New" w:hAnsi="Courier New"/>
          <w:sz w:val="16"/>
          <w:szCs w:val="16"/>
          <w:color w:val="auto"/>
        </w:rPr>
        <w:t>will be entitled to purchase up to that number of full shares which could be purchased at the option price (for this purpose, the price determined by the Compensation Committee as of the date of grant, without regard to any lower price that may become applicable at exercise) with an amount equal to such percentage of the employee's compensation as the Compensation Committee</w:t>
      </w:r>
    </w:p>
    <w:p>
      <w:pPr>
        <w:spacing w:after="0" w:line="3" w:lineRule="exact"/>
        <w:rPr>
          <w:sz w:val="20"/>
          <w:szCs w:val="20"/>
          <w:color w:val="auto"/>
        </w:rPr>
      </w:pPr>
    </w:p>
    <w:p>
      <w:pPr>
        <w:ind w:right="2599"/>
        <w:spacing w:after="0" w:line="334" w:lineRule="auto"/>
        <w:rPr>
          <w:sz w:val="20"/>
          <w:szCs w:val="20"/>
          <w:color w:val="auto"/>
        </w:rPr>
      </w:pPr>
      <w:r>
        <w:rPr>
          <w:rFonts w:ascii="Courier New" w:cs="Courier New" w:eastAsia="Courier New" w:hAnsi="Courier New"/>
          <w:sz w:val="16"/>
          <w:szCs w:val="16"/>
          <w:color w:val="auto"/>
        </w:rPr>
        <w:t>may determine (but not exceeding the amount specified in Section 423(b) of the Internal Revenue Code) for any offering.</w:t>
      </w:r>
    </w:p>
    <w:p>
      <w:pPr>
        <w:spacing w:after="0" w:line="29" w:lineRule="exact"/>
        <w:rPr>
          <w:sz w:val="20"/>
          <w:szCs w:val="20"/>
          <w:color w:val="auto"/>
        </w:rPr>
      </w:pPr>
    </w:p>
    <w:p>
      <w:pPr>
        <w:ind w:right="2699"/>
        <w:spacing w:after="0" w:line="280" w:lineRule="auto"/>
        <w:rPr>
          <w:sz w:val="20"/>
          <w:szCs w:val="20"/>
          <w:color w:val="auto"/>
        </w:rPr>
      </w:pPr>
      <w:r>
        <w:rPr>
          <w:rFonts w:ascii="Courier New" w:cs="Courier New" w:eastAsia="Courier New" w:hAnsi="Courier New"/>
          <w:sz w:val="16"/>
          <w:szCs w:val="16"/>
          <w:color w:val="auto"/>
        </w:rPr>
        <w:t>The option price for each offering will be determined by the Compensation Committee and will not be less than 85% of fair market value on the date of grant; provided that the Compensation Committee may also provide for an alternative, lower option price which may not be less than 85% of fair market value on the date the option is exercised.</w:t>
      </w:r>
    </w:p>
    <w:p>
      <w:pPr>
        <w:spacing w:after="0" w:line="70"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The expiration date of the options will be determined for each offering by the Compensation Committee but will not in any event be later than 27 months from the date the option was granted. The term of an option will consist of an Offering Period, a Payroll Deduction Period and an Exercise Period, the beginning and ending date of each such period to be determined by the Compensation Committee. Each eligible employee who wishes to participate will elect to do so by the end of the Offering Period. The employee's election will indicate the number of shares for which such employee wishes to participate and will authorize payroll deductions, to be made over the Payroll Deduction Period, which will aggregate no more than the amount required to purchase the maximum number of shares covered by the employee's option. At any time during the Payroll Deduction Period, a participant may cancel but not reduce his or her payroll deduction and withdraw all, but not a part, of the amount credited to his or her account. After completion of the Payroll Deduction Period each participating employee may exercise his or her option, in whole or in part, at any one time during the Exercise Period. If an employee exercises an option in part, the option will terminate with respect to the portion not exercised.</w:t>
      </w:r>
    </w:p>
    <w:p>
      <w:pPr>
        <w:spacing w:after="0" w:line="200" w:lineRule="exact"/>
        <w:rPr>
          <w:sz w:val="20"/>
          <w:szCs w:val="20"/>
          <w:color w:val="auto"/>
        </w:rPr>
      </w:pPr>
    </w:p>
    <w:p>
      <w:pPr>
        <w:spacing w:after="0" w:line="27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pacing w:after="0" w:line="195"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6"/>
          <w:szCs w:val="16"/>
          <w:color w:val="auto"/>
        </w:rPr>
        <w:t>No more than 5,000,000 shares of TI common stock may be sold pursuant to the TI Employees 1997 Stock Purchase Plan, subject to adjustments as described below. In the event that the Compensation Committee determines that an adjustment is appropriate by reason of any dividend or other distribution,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it shall adjust any or all of (i) the number and type of shares which may be made subject to options, (ii) the number and type of shares subject to outstanding options, and (iii) the grant, purchase or exercise price with respect to any option.</w:t>
      </w:r>
    </w:p>
    <w:p>
      <w:pPr>
        <w:spacing w:after="0" w:line="87" w:lineRule="exact"/>
        <w:rPr>
          <w:sz w:val="20"/>
          <w:szCs w:val="20"/>
          <w:color w:val="auto"/>
        </w:rPr>
      </w:pPr>
    </w:p>
    <w:p>
      <w:pPr>
        <w:ind w:right="2599"/>
        <w:spacing w:after="0" w:line="257" w:lineRule="auto"/>
        <w:rPr>
          <w:sz w:val="20"/>
          <w:szCs w:val="20"/>
          <w:color w:val="auto"/>
        </w:rPr>
      </w:pPr>
      <w:r>
        <w:rPr>
          <w:rFonts w:ascii="Courier New" w:cs="Courier New" w:eastAsia="Courier New" w:hAnsi="Courier New"/>
          <w:sz w:val="16"/>
          <w:szCs w:val="16"/>
          <w:color w:val="auto"/>
        </w:rPr>
        <w:t>Either authorized and unissued shares or issued shares heretofore or hereafter reacquired by the Company may be made subject to options under the Plan. Any shares not purchased prior to the termination of an option may be again subjected to an option under the Plan. No employee will be granted an option under the Plan if such employee, immediately after the option is granted, owns stock possessing 5% or more of the total combined voting power or value of all classes of stock of the Company. No employee will be granted an option which permits such employee to accrue rights to purchase stock under all employee stock purchase plans of the Company at a rate which exceeds $25,000 (or such other maximum as may be prescribed from time to time under the Internal Revenue Code) of fair market value of such stock (determined at the time such option is granted) for each calendar year in which such option is outstanding at any time in accordance with the provisions of Section 423(b)(8) of the Internal Revenue Code. No option may be granted under the Plan after April 16, 2002.</w:t>
      </w:r>
    </w:p>
    <w:p>
      <w:pPr>
        <w:spacing w:after="0" w:line="290" w:lineRule="exact"/>
        <w:rPr>
          <w:sz w:val="20"/>
          <w:szCs w:val="20"/>
          <w:color w:val="auto"/>
        </w:rPr>
      </w:pPr>
    </w:p>
    <w:p>
      <w:pPr>
        <w:ind w:right="2599"/>
        <w:spacing w:after="0" w:line="264" w:lineRule="auto"/>
        <w:rPr>
          <w:sz w:val="20"/>
          <w:szCs w:val="20"/>
          <w:color w:val="auto"/>
        </w:rPr>
      </w:pPr>
      <w:r>
        <w:rPr>
          <w:rFonts w:ascii="Courier New" w:cs="Courier New" w:eastAsia="Courier New" w:hAnsi="Courier New"/>
          <w:sz w:val="16"/>
          <w:szCs w:val="16"/>
          <w:color w:val="auto"/>
        </w:rPr>
        <w:t>On or prior to the date of each offering, the Compensation Committee will determine the effect of an employee's termination of employment during the term of any option granted to him or her in such offering. Notwithstanding the foregoing, no option will be exercisable under any conditions after the expiration of 27 months from the date of grant or the end of the Exercise Period, if shorter. Options are exercisable only by the employee to whom they were granted during his or her lifetime or, in the case of incompetency, by the employee's duly appointed representative, and they are not transferable otherwise than by will or the laws of descent and distribution.</w:t>
      </w:r>
    </w:p>
    <w:p>
      <w:pPr>
        <w:spacing w:after="0" w:line="85" w:lineRule="exact"/>
        <w:rPr>
          <w:sz w:val="20"/>
          <w:szCs w:val="20"/>
          <w:color w:val="auto"/>
        </w:rPr>
      </w:pPr>
    </w:p>
    <w:p>
      <w:pPr>
        <w:ind w:right="2699"/>
        <w:spacing w:after="0" w:line="311" w:lineRule="auto"/>
        <w:rPr>
          <w:sz w:val="20"/>
          <w:szCs w:val="20"/>
          <w:color w:val="auto"/>
        </w:rPr>
      </w:pPr>
      <w:r>
        <w:rPr>
          <w:rFonts w:ascii="Courier New" w:cs="Courier New" w:eastAsia="Courier New" w:hAnsi="Courier New"/>
          <w:sz w:val="16"/>
          <w:szCs w:val="16"/>
          <w:color w:val="auto"/>
        </w:rPr>
        <w:t>All shares purchased under an option will be paid for in full at the time the option is exercised by transfer of the purchase price from the employee's payroll deduction account.</w:t>
      </w:r>
    </w:p>
    <w:p>
      <w:pPr>
        <w:spacing w:after="0" w:line="47" w:lineRule="exact"/>
        <w:rPr>
          <w:sz w:val="20"/>
          <w:szCs w:val="20"/>
          <w:color w:val="auto"/>
        </w:rPr>
      </w:pPr>
    </w:p>
    <w:p>
      <w:pPr>
        <w:ind w:right="3179"/>
        <w:spacing w:after="0" w:line="373" w:lineRule="auto"/>
        <w:rPr>
          <w:sz w:val="20"/>
          <w:szCs w:val="20"/>
          <w:color w:val="auto"/>
        </w:rPr>
      </w:pPr>
      <w:r>
        <w:rPr>
          <w:rFonts w:ascii="Courier New" w:cs="Courier New" w:eastAsia="Courier New" w:hAnsi="Courier New"/>
          <w:sz w:val="16"/>
          <w:szCs w:val="16"/>
          <w:color w:val="auto"/>
        </w:rPr>
        <w:t>Tax Consequences. The Plan is intended to qualify as an "employee stock purchase plan" under Section 423 of the Internal Revenue Code.</w:t>
      </w:r>
    </w:p>
    <w:p>
      <w:pPr>
        <w:ind w:right="2599"/>
        <w:spacing w:after="0" w:line="273" w:lineRule="auto"/>
        <w:rPr>
          <w:sz w:val="20"/>
          <w:szCs w:val="20"/>
          <w:color w:val="auto"/>
        </w:rPr>
      </w:pPr>
      <w:r>
        <w:rPr>
          <w:rFonts w:ascii="Courier New" w:cs="Courier New" w:eastAsia="Courier New" w:hAnsi="Courier New"/>
          <w:sz w:val="16"/>
          <w:szCs w:val="16"/>
          <w:color w:val="auto"/>
        </w:rPr>
        <w:t>The board of directors is advised by counsel for the Company that an employee will not be deemed to have received any compensation for federal income tax purposes at the time of either the grant or the exercise of an option under the Plan. If an employee exercises an option under the Plan and does not dispose of the shares thus acquired until more than two years after the date the option was granted, nor until more than one year after the transfer of the</w:t>
      </w:r>
    </w:p>
    <w:p>
      <w:pPr>
        <w:sectPr>
          <w:pgSz w:w="11900" w:h="16961" w:orient="portrait"/>
          <w:cols w:equalWidth="0" w:num="1">
            <w:col w:w="10219"/>
          </w:cols>
          <w:pgMar w:left="240" w:top="112" w:right="1440" w:bottom="0" w:gutter="0" w:footer="0" w:header="0"/>
        </w:sectPr>
      </w:pPr>
    </w:p>
    <w:bookmarkStart w:id="15" w:name="page16"/>
    <w:bookmarkEnd w:id="15"/>
    <w:p>
      <w:pPr>
        <w:spacing w:after="0" w:line="10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pacing w:after="0" w:line="195"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shares to him or her, any profit realized upon such disposition will be treated as a long-term capital gain, provided the option price determined by the Compensation Committee as of the date of grant (without regard to any lower price that may become applicable at exercise) was at least 100% of the fair market value of the shares at the time granted. If, however, the option price determined by the Compensation Committee as of the date of grant (without regard to any lower price that may become applicable at exercise) was less than 100% of the fair market value of the shares on the date of grant, then upon a disposition of the shares after satisfaction of the required holding period or upon the employee's death while owning such shares, there must be reported as ordinary income (regardless of whether the option was exercised at an alternative, lower price) an amount which equals the lesser of</w:t>
      </w:r>
    </w:p>
    <w:p>
      <w:pPr>
        <w:spacing w:after="0" w:line="2" w:lineRule="exact"/>
        <w:rPr>
          <w:sz w:val="20"/>
          <w:szCs w:val="20"/>
          <w:color w:val="auto"/>
        </w:rPr>
      </w:pPr>
    </w:p>
    <w:p>
      <w:pPr>
        <w:ind w:right="2599"/>
        <w:spacing w:after="0" w:line="255" w:lineRule="auto"/>
        <w:tabs>
          <w:tab w:leader="none" w:pos="39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by which the fair market value of the shares at the time the option was granted exceeds the option price determined by the Compensation Committee at the date of grant (without regard to any lower price that may become applicable at exercise) or (2) the amount by which the fair market value of the shares at the time of such disposition or death exceeds such option price. In the case of the disposition of such shares after satisfaction of the required holding period, the remainder of any profit realized will be treated as a long-term capital gain. If the stock is disposed of after the required holding period, the Company will not be entitled to a deduction for federal income tax purposes in connection with either the grant or the exercise of the option. However, if the optionee disposes of such shares other than as described above, the Company will be entitled to a deduction for federal income tax purposes in an amount equal to the ordinary income, if any, realized by the optionee.</w:t>
      </w:r>
    </w:p>
    <w:p>
      <w:pPr>
        <w:spacing w:after="0" w:line="93" w:lineRule="exact"/>
        <w:rPr>
          <w:sz w:val="20"/>
          <w:szCs w:val="20"/>
          <w:color w:val="auto"/>
        </w:rPr>
      </w:pPr>
    </w:p>
    <w:p>
      <w:pPr>
        <w:ind w:right="2979"/>
        <w:spacing w:after="0" w:line="373" w:lineRule="auto"/>
        <w:rPr>
          <w:sz w:val="20"/>
          <w:szCs w:val="20"/>
          <w:color w:val="auto"/>
        </w:rPr>
      </w:pPr>
      <w:r>
        <w:rPr>
          <w:rFonts w:ascii="Courier New" w:cs="Courier New" w:eastAsia="Courier New" w:hAnsi="Courier New"/>
          <w:sz w:val="16"/>
          <w:szCs w:val="16"/>
          <w:color w:val="auto"/>
        </w:rPr>
        <w:t>The Board of Directors recommends a vote "FOR" the TI Employees 1997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22</w:t>
      </w:r>
    </w:p>
    <w:p>
      <w:pPr>
        <w:spacing w:after="0" w:line="3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ADDITIONAL INFORMATION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Securities</w:t>
      </w:r>
    </w:p>
    <w:p>
      <w:pPr>
        <w:spacing w:after="0" w:line="195" w:lineRule="exact"/>
        <w:rPr>
          <w:sz w:val="20"/>
          <w:szCs w:val="20"/>
          <w:color w:val="auto"/>
        </w:rPr>
      </w:pPr>
    </w:p>
    <w:p>
      <w:pPr>
        <w:ind w:right="2599"/>
        <w:spacing w:after="0" w:line="273" w:lineRule="auto"/>
        <w:rPr>
          <w:sz w:val="20"/>
          <w:szCs w:val="20"/>
          <w:color w:val="auto"/>
        </w:rPr>
      </w:pPr>
      <w:r>
        <w:rPr>
          <w:rFonts w:ascii="Courier New" w:cs="Courier New" w:eastAsia="Courier New" w:hAnsi="Courier New"/>
          <w:sz w:val="16"/>
          <w:szCs w:val="16"/>
          <w:color w:val="auto"/>
        </w:rPr>
        <w:t>As of February 18, 1997, there were outstanding 190,684,429 shares of the Company's common stock, which is the only class of capital stock entitled to vote at the meeting. Each holder of common stock is entitled to one vote for each share held. As stated in the Notice of Meeting, holders of record of the common stock at the close of business on February 18, 1997 will be entitled to vote at the meeting or any adjournment thereof.</w:t>
      </w:r>
    </w:p>
    <w:p>
      <w:pPr>
        <w:spacing w:after="0" w:line="79" w:lineRule="exact"/>
        <w:rPr>
          <w:sz w:val="20"/>
          <w:szCs w:val="20"/>
          <w:color w:val="auto"/>
        </w:rPr>
      </w:pPr>
    </w:p>
    <w:p>
      <w:pPr>
        <w:ind w:right="2699"/>
        <w:spacing w:after="0" w:line="280" w:lineRule="auto"/>
        <w:rPr>
          <w:sz w:val="20"/>
          <w:szCs w:val="20"/>
          <w:color w:val="auto"/>
        </w:rPr>
      </w:pPr>
      <w:r>
        <w:rPr>
          <w:rFonts w:ascii="Courier New" w:cs="Courier New" w:eastAsia="Courier New" w:hAnsi="Courier New"/>
          <w:sz w:val="16"/>
          <w:szCs w:val="16"/>
          <w:color w:val="auto"/>
        </w:rPr>
        <w:t>The following table sets forth certain information concerning (a) the only persons that have reported beneficial ownership of more than 5% of the common stock of the Company, and (b) the ownership of the Company's common stock by the named executive officers (excluding Mr. Junkins), and all executive officers and directors as a group.</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60" w:type="dxa"/>
            <w:vAlign w:val="bottom"/>
            <w:vMerge w:val="restart"/>
          </w:tcPr>
          <w:p>
            <w:pPr>
              <w:ind w:left="680"/>
              <w:spacing w:after="0"/>
              <w:rPr>
                <w:sz w:val="20"/>
                <w:szCs w:val="20"/>
                <w:color w:val="auto"/>
              </w:rPr>
            </w:pPr>
            <w:r>
              <w:rPr>
                <w:rFonts w:ascii="Courier New" w:cs="Courier New" w:eastAsia="Courier New" w:hAnsi="Courier New"/>
                <w:sz w:val="16"/>
                <w:szCs w:val="16"/>
                <w:color w:val="auto"/>
              </w:rPr>
              <w:t>Name and Address</w:t>
            </w:r>
          </w:p>
        </w:tc>
        <w:tc>
          <w:tcPr>
            <w:tcW w:w="284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Shares Owned At</w:t>
            </w:r>
          </w:p>
        </w:tc>
        <w:tc>
          <w:tcPr>
            <w:tcW w:w="1800" w:type="dxa"/>
            <w:vAlign w:val="bottom"/>
          </w:tcPr>
          <w:p>
            <w:pPr>
              <w:ind w:left="640"/>
              <w:spacing w:after="0"/>
              <w:rPr>
                <w:sz w:val="20"/>
                <w:szCs w:val="20"/>
                <w:color w:val="auto"/>
              </w:rPr>
            </w:pPr>
            <w:r>
              <w:rPr>
                <w:rFonts w:ascii="Courier New" w:cs="Courier New" w:eastAsia="Courier New" w:hAnsi="Courier New"/>
                <w:sz w:val="16"/>
                <w:szCs w:val="16"/>
                <w:color w:val="auto"/>
              </w:rPr>
              <w:t>Percent of</w:t>
            </w:r>
          </w:p>
        </w:tc>
        <w:tc>
          <w:tcPr>
            <w:tcW w:w="0" w:type="dxa"/>
            <w:vAlign w:val="bottom"/>
          </w:tcPr>
          <w:p>
            <w:pPr>
              <w:spacing w:after="0"/>
              <w:rPr>
                <w:sz w:val="1"/>
                <w:szCs w:val="1"/>
                <w:color w:val="auto"/>
              </w:rPr>
            </w:pPr>
          </w:p>
        </w:tc>
      </w:tr>
      <w:tr>
        <w:trPr>
          <w:trHeight w:val="188"/>
        </w:trPr>
        <w:tc>
          <w:tcPr>
            <w:tcW w:w="3760" w:type="dxa"/>
            <w:vAlign w:val="bottom"/>
            <w:vMerge w:val="continue"/>
          </w:tcPr>
          <w:p>
            <w:pPr>
              <w:spacing w:after="0"/>
              <w:rPr>
                <w:sz w:val="16"/>
                <w:szCs w:val="16"/>
                <w:color w:val="auto"/>
              </w:rPr>
            </w:pPr>
          </w:p>
        </w:tc>
        <w:tc>
          <w:tcPr>
            <w:tcW w:w="284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December 31, 1996</w:t>
            </w:r>
          </w:p>
        </w:tc>
        <w:tc>
          <w:tcPr>
            <w:tcW w:w="1800" w:type="dxa"/>
            <w:vAlign w:val="bottom"/>
          </w:tcPr>
          <w:p>
            <w:pPr>
              <w:ind w:left="820"/>
              <w:spacing w:after="0"/>
              <w:rPr>
                <w:sz w:val="20"/>
                <w:szCs w:val="20"/>
                <w:color w:val="auto"/>
              </w:rPr>
            </w:pPr>
            <w:r>
              <w:rPr>
                <w:rFonts w:ascii="Courier New" w:cs="Courier New" w:eastAsia="Courier New" w:hAnsi="Courier New"/>
                <w:sz w:val="16"/>
                <w:szCs w:val="16"/>
                <w:color w:val="auto"/>
              </w:rPr>
              <w:t>Class</w:t>
            </w:r>
          </w:p>
        </w:tc>
        <w:tc>
          <w:tcPr>
            <w:tcW w:w="0" w:type="dxa"/>
            <w:vAlign w:val="bottom"/>
          </w:tcPr>
          <w:p>
            <w:pPr>
              <w:spacing w:after="0"/>
              <w:rPr>
                <w:sz w:val="1"/>
                <w:szCs w:val="1"/>
                <w:color w:val="auto"/>
              </w:rPr>
            </w:pPr>
          </w:p>
        </w:tc>
      </w:tr>
      <w:tr>
        <w:trPr>
          <w:trHeight w:val="276"/>
        </w:trPr>
        <w:tc>
          <w:tcPr>
            <w:tcW w:w="37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4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ind w:left="82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8"/>
        </w:trPr>
        <w:tc>
          <w:tcPr>
            <w:tcW w:w="3760" w:type="dxa"/>
            <w:vAlign w:val="bottom"/>
          </w:tcPr>
          <w:p>
            <w:pPr>
              <w:spacing w:after="0"/>
              <w:rPr>
                <w:sz w:val="20"/>
                <w:szCs w:val="20"/>
                <w:color w:val="auto"/>
              </w:rPr>
            </w:pPr>
            <w:r>
              <w:rPr>
                <w:rFonts w:ascii="Courier New" w:cs="Courier New" w:eastAsia="Courier New" w:hAnsi="Courier New"/>
                <w:sz w:val="16"/>
                <w:szCs w:val="16"/>
                <w:color w:val="auto"/>
              </w:rPr>
              <w:t>The Capital Group Companies, Inc.</w:t>
            </w:r>
          </w:p>
        </w:tc>
        <w:tc>
          <w:tcPr>
            <w:tcW w:w="2840" w:type="dxa"/>
            <w:vAlign w:val="bottom"/>
          </w:tcPr>
          <w:p>
            <w:pPr>
              <w:ind w:left="640"/>
              <w:spacing w:after="0"/>
              <w:rPr>
                <w:sz w:val="20"/>
                <w:szCs w:val="20"/>
                <w:color w:val="auto"/>
              </w:rPr>
            </w:pPr>
            <w:r>
              <w:rPr>
                <w:rFonts w:ascii="Courier New" w:cs="Courier New" w:eastAsia="Courier New" w:hAnsi="Courier New"/>
                <w:sz w:val="16"/>
                <w:szCs w:val="16"/>
                <w:color w:val="auto"/>
              </w:rPr>
              <w:t>10,024,720(1)</w:t>
            </w:r>
          </w:p>
        </w:tc>
        <w:tc>
          <w:tcPr>
            <w:tcW w:w="18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5.3%</w:t>
            </w:r>
          </w:p>
        </w:tc>
        <w:tc>
          <w:tcPr>
            <w:tcW w:w="0" w:type="dxa"/>
            <w:vAlign w:val="bottom"/>
          </w:tcPr>
          <w:p>
            <w:pPr>
              <w:spacing w:after="0"/>
              <w:rPr>
                <w:sz w:val="1"/>
                <w:szCs w:val="1"/>
                <w:color w:val="auto"/>
              </w:rPr>
            </w:pPr>
          </w:p>
        </w:tc>
      </w:tr>
      <w:tr>
        <w:trPr>
          <w:trHeight w:val="188"/>
        </w:trPr>
        <w:tc>
          <w:tcPr>
            <w:tcW w:w="3760" w:type="dxa"/>
            <w:vAlign w:val="bottom"/>
          </w:tcPr>
          <w:p>
            <w:pPr>
              <w:ind w:left="200"/>
              <w:spacing w:after="0"/>
              <w:rPr>
                <w:sz w:val="20"/>
                <w:szCs w:val="20"/>
                <w:color w:val="auto"/>
              </w:rPr>
            </w:pPr>
            <w:r>
              <w:rPr>
                <w:rFonts w:ascii="Courier New" w:cs="Courier New" w:eastAsia="Courier New" w:hAnsi="Courier New"/>
                <w:sz w:val="16"/>
                <w:szCs w:val="16"/>
                <w:color w:val="auto"/>
              </w:rPr>
              <w:t>333 South Hope Street</w:t>
            </w:r>
          </w:p>
        </w:tc>
        <w:tc>
          <w:tcPr>
            <w:tcW w:w="2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760" w:type="dxa"/>
            <w:vAlign w:val="bottom"/>
          </w:tcPr>
          <w:p>
            <w:pPr>
              <w:ind w:left="200"/>
              <w:spacing w:after="0"/>
              <w:rPr>
                <w:sz w:val="20"/>
                <w:szCs w:val="20"/>
                <w:color w:val="auto"/>
              </w:rPr>
            </w:pPr>
            <w:r>
              <w:rPr>
                <w:rFonts w:ascii="Courier New" w:cs="Courier New" w:eastAsia="Courier New" w:hAnsi="Courier New"/>
                <w:sz w:val="16"/>
                <w:szCs w:val="16"/>
                <w:color w:val="auto"/>
              </w:rPr>
              <w:t>Los Angeles, CA  90071</w:t>
            </w:r>
          </w:p>
        </w:tc>
        <w:tc>
          <w:tcPr>
            <w:tcW w:w="28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3760" w:type="dxa"/>
            <w:vAlign w:val="bottom"/>
          </w:tcPr>
          <w:p>
            <w:pPr>
              <w:spacing w:after="0"/>
              <w:rPr>
                <w:sz w:val="20"/>
                <w:szCs w:val="20"/>
                <w:color w:val="auto"/>
              </w:rPr>
            </w:pPr>
            <w:r>
              <w:rPr>
                <w:rFonts w:ascii="Courier New" w:cs="Courier New" w:eastAsia="Courier New" w:hAnsi="Courier New"/>
                <w:sz w:val="16"/>
                <w:szCs w:val="16"/>
                <w:color w:val="auto"/>
              </w:rPr>
              <w:t>Putnam Investments, Inc.</w:t>
            </w:r>
          </w:p>
        </w:tc>
        <w:tc>
          <w:tcPr>
            <w:tcW w:w="2840" w:type="dxa"/>
            <w:vAlign w:val="bottom"/>
          </w:tcPr>
          <w:p>
            <w:pPr>
              <w:ind w:left="640"/>
              <w:spacing w:after="0"/>
              <w:rPr>
                <w:sz w:val="20"/>
                <w:szCs w:val="20"/>
                <w:color w:val="auto"/>
              </w:rPr>
            </w:pPr>
            <w:r>
              <w:rPr>
                <w:rFonts w:ascii="Courier New" w:cs="Courier New" w:eastAsia="Courier New" w:hAnsi="Courier New"/>
                <w:sz w:val="16"/>
                <w:szCs w:val="16"/>
                <w:color w:val="auto"/>
              </w:rPr>
              <w:t>10,469,689(2)</w:t>
            </w:r>
          </w:p>
        </w:tc>
        <w:tc>
          <w:tcPr>
            <w:tcW w:w="18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5.5%</w:t>
            </w:r>
          </w:p>
        </w:tc>
        <w:tc>
          <w:tcPr>
            <w:tcW w:w="0" w:type="dxa"/>
            <w:vAlign w:val="bottom"/>
          </w:tcPr>
          <w:p>
            <w:pPr>
              <w:spacing w:after="0"/>
              <w:rPr>
                <w:sz w:val="1"/>
                <w:szCs w:val="1"/>
                <w:color w:val="auto"/>
              </w:rPr>
            </w:pPr>
          </w:p>
        </w:tc>
      </w:tr>
    </w:tbl>
    <w:p>
      <w:pPr>
        <w:sectPr>
          <w:pgSz w:w="11900" w:h="16940" w:orient="portrait"/>
          <w:cols w:equalWidth="0" w:num="1">
            <w:col w:w="10219"/>
          </w:cols>
          <w:pgMar w:left="240" w:top="676" w:right="1440" w:bottom="0" w:gutter="0" w:footer="0" w:header="0"/>
        </w:sectPr>
      </w:pPr>
    </w:p>
    <w:bookmarkStart w:id="16" w:name="page17"/>
    <w:bookmarkEnd w:id="16"/>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One Post</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Office Square</w:t>
            </w:r>
          </w:p>
        </w:tc>
        <w:tc>
          <w:tcPr>
            <w:tcW w:w="28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6"/>
        </w:trPr>
        <w:tc>
          <w:tcPr>
            <w:tcW w:w="35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Boston, MA  02109</w:t>
            </w:r>
          </w:p>
        </w:tc>
        <w:tc>
          <w:tcPr>
            <w:tcW w:w="28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76"/>
        </w:trPr>
        <w:tc>
          <w:tcPr>
            <w:tcW w:w="3520" w:type="dxa"/>
            <w:vAlign w:val="bottom"/>
            <w:gridSpan w:val="3"/>
          </w:tcPr>
          <w:p>
            <w:pPr>
              <w:spacing w:after="0"/>
              <w:rPr>
                <w:sz w:val="20"/>
                <w:szCs w:val="20"/>
                <w:color w:val="auto"/>
              </w:rPr>
            </w:pPr>
            <w:r>
              <w:rPr>
                <w:rFonts w:ascii="Courier New" w:cs="Courier New" w:eastAsia="Courier New" w:hAnsi="Courier New"/>
                <w:sz w:val="16"/>
                <w:szCs w:val="16"/>
                <w:color w:val="auto"/>
              </w:rPr>
              <w:t>Thomas J. Engibous</w:t>
            </w:r>
          </w:p>
        </w:tc>
        <w:tc>
          <w:tcPr>
            <w:tcW w:w="284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103,444(3)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740" w:type="dxa"/>
            <w:vAlign w:val="bottom"/>
          </w:tcPr>
          <w:p>
            <w:pPr>
              <w:spacing w:after="0"/>
              <w:rPr>
                <w:sz w:val="20"/>
                <w:szCs w:val="20"/>
                <w:color w:val="auto"/>
              </w:rPr>
            </w:pPr>
            <w:r>
              <w:rPr>
                <w:rFonts w:ascii="Courier New" w:cs="Courier New" w:eastAsia="Courier New" w:hAnsi="Courier New"/>
                <w:sz w:val="16"/>
                <w:szCs w:val="16"/>
                <w:color w:val="auto"/>
              </w:rPr>
              <w:t>William</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 Mitchell</w:t>
            </w:r>
          </w:p>
        </w:tc>
        <w:tc>
          <w:tcPr>
            <w:tcW w:w="284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99,294(3)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740" w:type="dxa"/>
            <w:vAlign w:val="bottom"/>
          </w:tcPr>
          <w:p>
            <w:pPr>
              <w:spacing w:after="0"/>
              <w:rPr>
                <w:sz w:val="20"/>
                <w:szCs w:val="20"/>
                <w:color w:val="auto"/>
              </w:rPr>
            </w:pPr>
            <w:r>
              <w:rPr>
                <w:rFonts w:ascii="Courier New" w:cs="Courier New" w:eastAsia="Courier New" w:hAnsi="Courier New"/>
                <w:sz w:val="16"/>
                <w:szCs w:val="16"/>
                <w:color w:val="auto"/>
              </w:rPr>
              <w:t>William</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 Weber</w:t>
            </w:r>
          </w:p>
        </w:tc>
        <w:tc>
          <w:tcPr>
            <w:tcW w:w="284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151,112(3)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520" w:type="dxa"/>
            <w:vAlign w:val="bottom"/>
            <w:gridSpan w:val="3"/>
          </w:tcPr>
          <w:p>
            <w:pPr>
              <w:spacing w:after="0"/>
              <w:rPr>
                <w:sz w:val="20"/>
                <w:szCs w:val="20"/>
                <w:color w:val="auto"/>
              </w:rPr>
            </w:pPr>
            <w:r>
              <w:rPr>
                <w:rFonts w:ascii="Courier New" w:cs="Courier New" w:eastAsia="Courier New" w:hAnsi="Courier New"/>
                <w:sz w:val="16"/>
                <w:szCs w:val="16"/>
                <w:color w:val="auto"/>
              </w:rPr>
              <w:t>Gary D. Clubb</w:t>
            </w:r>
          </w:p>
        </w:tc>
        <w:tc>
          <w:tcPr>
            <w:tcW w:w="284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112,249(3)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520" w:type="dxa"/>
            <w:vAlign w:val="bottom"/>
            <w:gridSpan w:val="3"/>
          </w:tcPr>
          <w:p>
            <w:pPr>
              <w:spacing w:after="0"/>
              <w:rPr>
                <w:sz w:val="20"/>
                <w:szCs w:val="20"/>
                <w:color w:val="auto"/>
              </w:rPr>
            </w:pPr>
            <w:r>
              <w:rPr>
                <w:rFonts w:ascii="Courier New" w:cs="Courier New" w:eastAsia="Courier New" w:hAnsi="Courier New"/>
                <w:sz w:val="16"/>
                <w:szCs w:val="16"/>
                <w:color w:val="auto"/>
              </w:rPr>
              <w:t>David D. Martin</w:t>
            </w:r>
          </w:p>
        </w:tc>
        <w:tc>
          <w:tcPr>
            <w:tcW w:w="284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117,794(3)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520" w:type="dxa"/>
            <w:vAlign w:val="bottom"/>
            <w:gridSpan w:val="3"/>
          </w:tcPr>
          <w:p>
            <w:pPr>
              <w:spacing w:after="0"/>
              <w:rPr>
                <w:sz w:val="20"/>
                <w:szCs w:val="20"/>
                <w:color w:val="auto"/>
              </w:rPr>
            </w:pPr>
            <w:r>
              <w:rPr>
                <w:rFonts w:ascii="Courier New" w:cs="Courier New" w:eastAsia="Courier New" w:hAnsi="Courier New"/>
                <w:sz w:val="16"/>
                <w:szCs w:val="16"/>
                <w:color w:val="auto"/>
              </w:rPr>
              <w:t>Richard J. Agnich</w:t>
            </w:r>
          </w:p>
        </w:tc>
        <w:tc>
          <w:tcPr>
            <w:tcW w:w="284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102,474(3)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520" w:type="dxa"/>
            <w:vAlign w:val="bottom"/>
            <w:gridSpan w:val="3"/>
          </w:tcPr>
          <w:p>
            <w:pPr>
              <w:spacing w:after="0"/>
              <w:rPr>
                <w:sz w:val="20"/>
                <w:szCs w:val="20"/>
                <w:color w:val="auto"/>
              </w:rPr>
            </w:pPr>
            <w:r>
              <w:rPr>
                <w:rFonts w:ascii="Courier New" w:cs="Courier New" w:eastAsia="Courier New" w:hAnsi="Courier New"/>
                <w:sz w:val="16"/>
                <w:szCs w:val="16"/>
                <w:color w:val="auto"/>
              </w:rPr>
              <w:t>William A. Aylesworth</w:t>
            </w:r>
          </w:p>
        </w:tc>
        <w:tc>
          <w:tcPr>
            <w:tcW w:w="284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95,679(3)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88"/>
        </w:trPr>
        <w:tc>
          <w:tcPr>
            <w:tcW w:w="3520" w:type="dxa"/>
            <w:vAlign w:val="bottom"/>
            <w:gridSpan w:val="3"/>
          </w:tcPr>
          <w:p>
            <w:pPr>
              <w:spacing w:after="0"/>
              <w:rPr>
                <w:sz w:val="20"/>
                <w:szCs w:val="20"/>
                <w:color w:val="auto"/>
              </w:rPr>
            </w:pPr>
            <w:r>
              <w:rPr>
                <w:rFonts w:ascii="Courier New" w:cs="Courier New" w:eastAsia="Courier New" w:hAnsi="Courier New"/>
                <w:sz w:val="16"/>
                <w:szCs w:val="16"/>
                <w:color w:val="auto"/>
              </w:rPr>
              <w:t>All executive officers and</w:t>
            </w:r>
          </w:p>
        </w:tc>
        <w:tc>
          <w:tcPr>
            <w:tcW w:w="2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2,163,111(3)(4)</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w:t>
            </w:r>
          </w:p>
        </w:tc>
      </w:tr>
      <w:tr>
        <w:trPr>
          <w:trHeight w:val="276"/>
        </w:trPr>
        <w:tc>
          <w:tcPr>
            <w:tcW w:w="3520" w:type="dxa"/>
            <w:vAlign w:val="bottom"/>
            <w:gridSpan w:val="3"/>
          </w:tcPr>
          <w:p>
            <w:pPr>
              <w:spacing w:after="0"/>
              <w:rPr>
                <w:sz w:val="20"/>
                <w:szCs w:val="20"/>
                <w:color w:val="auto"/>
              </w:rPr>
            </w:pPr>
            <w:r>
              <w:rPr>
                <w:rFonts w:ascii="Courier New" w:cs="Courier New" w:eastAsia="Courier New" w:hAnsi="Courier New"/>
                <w:sz w:val="16"/>
                <w:szCs w:val="16"/>
                <w:color w:val="auto"/>
              </w:rPr>
              <w:t>directors as a group</w:t>
            </w:r>
          </w:p>
        </w:tc>
        <w:tc>
          <w:tcPr>
            <w:tcW w:w="284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100" w:lineRule="exact"/>
        <w:rPr>
          <w:sz w:val="20"/>
          <w:szCs w:val="20"/>
          <w:color w:val="auto"/>
        </w:rPr>
      </w:pPr>
    </w:p>
    <w:p>
      <w:pPr>
        <w:ind w:left="200" w:hanging="200"/>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195" w:lineRule="exact"/>
        <w:rPr>
          <w:sz w:val="20"/>
          <w:szCs w:val="20"/>
          <w:color w:val="auto"/>
        </w:rPr>
      </w:pPr>
    </w:p>
    <w:p>
      <w:pPr>
        <w:ind w:right="2499"/>
        <w:spacing w:after="0" w:line="280" w:lineRule="auto"/>
        <w:tabs>
          <w:tab w:leader="none" w:pos="39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understands that as of December 31, 1996, Capital Research and Management Company, a wholly owned subsidiary of The Capital Group Companies, Inc., had investment discretion with respect to all the above shares, which were owned by others; Capital Research and Management Company had no power to direct the vote of the above shares.</w:t>
      </w:r>
    </w:p>
    <w:p>
      <w:pPr>
        <w:spacing w:after="0" w:line="200" w:lineRule="exact"/>
        <w:rPr>
          <w:sz w:val="20"/>
          <w:szCs w:val="20"/>
          <w:color w:val="auto"/>
        </w:rPr>
      </w:pPr>
    </w:p>
    <w:p>
      <w:pPr>
        <w:spacing w:after="0" w:line="24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23</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The Company understands that as of December 31, 1996, Putnam</w:t>
      </w:r>
    </w:p>
    <w:p>
      <w:pPr>
        <w:spacing w:after="0" w:line="37"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Investment Management, Inc. (PIM) and The Putnam Advisory Company, Inc. (PAC), wholly owned subsidiaries of Putnam Investments, Inc. (a wholly owned subsidiary of Marsh &amp; McLennan Companies, Inc.), had investment discretion with respect to 9,254,373 and 1,215,316 shares, respectively, which were owned by others; PIM and PAC had no power to direct the vote of the above shares except for 690,745 shares, with respect to which PAC had shared voting power.</w:t>
      </w:r>
    </w:p>
    <w:p>
      <w:pPr>
        <w:spacing w:after="0" w:line="85" w:lineRule="exact"/>
        <w:rPr>
          <w:sz w:val="20"/>
          <w:szCs w:val="20"/>
          <w:color w:val="auto"/>
        </w:rPr>
      </w:pPr>
    </w:p>
    <w:p>
      <w:pPr>
        <w:ind w:right="2599"/>
        <w:spacing w:after="0" w:line="266" w:lineRule="auto"/>
        <w:tabs>
          <w:tab w:leader="none" w:pos="39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subject to acquisition within 60 days by Messrs. Engibous, Mitchell, Weber, Clubb, Martin, Agnich and Aylesworth for 72,000, 73,500, 131,500, 96,500, 92,000, 73,750 and 68,750 shares, respectively, and shares credited to profit sharing stock accounts for Messrs. Engibous, Mitchell, Weber, Clubb, Martin, Agnich and Aylesworth in the amounts of 2,124, 5,682, 6,088, 3,595, 5,497, 4,429 and 2,851, respectively. Excludes shares held by a family member or trust if a director or officer has disclaimed beneficial ownership.</w:t>
      </w:r>
    </w:p>
    <w:p>
      <w:pPr>
        <w:spacing w:after="0" w:line="84"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1,867,575 shares subject to acquisition within 60 days,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(b) 43,312 shares credited to profit sharing stock accounts.</w:t>
      </w:r>
    </w:p>
    <w:p>
      <w:pPr>
        <w:spacing w:after="0" w:line="165" w:lineRule="exact"/>
        <w:rPr>
          <w:sz w:val="20"/>
          <w:szCs w:val="20"/>
          <w:color w:val="auto"/>
        </w:rPr>
      </w:pPr>
    </w:p>
    <w:p>
      <w:pPr>
        <w:ind w:right="2599"/>
        <w:spacing w:after="0" w:line="290" w:lineRule="auto"/>
        <w:rPr>
          <w:sz w:val="20"/>
          <w:szCs w:val="20"/>
          <w:color w:val="auto"/>
        </w:rPr>
      </w:pPr>
      <w:r>
        <w:rPr>
          <w:rFonts w:ascii="Courier New" w:cs="Courier New" w:eastAsia="Courier New" w:hAnsi="Courier New"/>
          <w:sz w:val="16"/>
          <w:szCs w:val="16"/>
          <w:color w:val="auto"/>
        </w:rPr>
        <w:t>As of December 31, 1996, the TI Employees Universal Profit Sharing Trust held 17,441,807 shares (9.2%) of the Company's common stock. Pursuant to the terms of the trust, participants have the power to determine the voting and, to the extent permitted, disposition of shares held by the trust.</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Solicitation</w:t>
      </w:r>
    </w:p>
    <w:p>
      <w:pPr>
        <w:spacing w:after="0" w:line="195" w:lineRule="exact"/>
        <w:rPr>
          <w:sz w:val="20"/>
          <w:szCs w:val="20"/>
          <w:color w:val="auto"/>
        </w:rPr>
      </w:pPr>
    </w:p>
    <w:p>
      <w:pPr>
        <w:ind w:right="2599"/>
        <w:spacing w:after="0" w:line="262" w:lineRule="auto"/>
        <w:rPr>
          <w:sz w:val="20"/>
          <w:szCs w:val="20"/>
          <w:color w:val="auto"/>
        </w:rPr>
      </w:pPr>
      <w:r>
        <w:rPr>
          <w:rFonts w:ascii="Courier New" w:cs="Courier New" w:eastAsia="Courier New" w:hAnsi="Courier New"/>
          <w:sz w:val="16"/>
          <w:szCs w:val="16"/>
          <w:color w:val="auto"/>
        </w:rPr>
        <w:t>The solicitation is made on behalf of the board of directors of the Company. The cost of soliciting proxies will be borne by the Company. In addition to solicitation by mail, the Company will make arrangements with brokerage houses and other custodians, nominees and fiduciaries to send proxies and proxy material to their principals and will reimburse them for their expenses in so doing. Officials and regular employees of the Company, without additional compensation, may solicit proxies personally, by telephone, fax, E-mail or telegram, from some stockholders if proxies are not promptly received. In addition, the Company has retained Georgeson &amp; Company, Inc. to assist in the solicitation of proxies at a cost of $15,000 plus out-of-pocket expenses.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Proposals of Stockholders</w:t>
      </w:r>
    </w:p>
    <w:p>
      <w:pPr>
        <w:spacing w:after="0" w:line="195" w:lineRule="exact"/>
        <w:rPr>
          <w:sz w:val="20"/>
          <w:szCs w:val="20"/>
          <w:color w:val="auto"/>
        </w:rPr>
      </w:pPr>
    </w:p>
    <w:p>
      <w:pPr>
        <w:ind w:right="3379"/>
        <w:spacing w:after="0" w:line="373" w:lineRule="auto"/>
        <w:rPr>
          <w:sz w:val="20"/>
          <w:szCs w:val="20"/>
          <w:color w:val="auto"/>
        </w:rPr>
      </w:pPr>
      <w:r>
        <w:rPr>
          <w:rFonts w:ascii="Courier New" w:cs="Courier New" w:eastAsia="Courier New" w:hAnsi="Courier New"/>
          <w:sz w:val="16"/>
          <w:szCs w:val="16"/>
          <w:color w:val="auto"/>
        </w:rPr>
        <w:t>The deadline for receipt of stockholder proposals for inclusion in the Company's 1998 proxy material is November 7, 1997.</w:t>
      </w:r>
    </w:p>
    <w:p>
      <w:pPr>
        <w:ind w:right="2499"/>
        <w:spacing w:after="0" w:line="262" w:lineRule="auto"/>
        <w:rPr>
          <w:sz w:val="20"/>
          <w:szCs w:val="20"/>
          <w:color w:val="auto"/>
        </w:rPr>
      </w:pPr>
      <w:r>
        <w:rPr>
          <w:rFonts w:ascii="Courier New" w:cs="Courier New" w:eastAsia="Courier New" w:hAnsi="Courier New"/>
          <w:sz w:val="16"/>
          <w:szCs w:val="16"/>
          <w:color w:val="auto"/>
        </w:rPr>
        <w:t>Suggestions from stockholders concerning the Company's business are welcome and all will be carefully considered by the Company's management. To assure appropriate board review of such suggestions, the Stockholder Relations and Public Policy Committee of the board of directors periodically reviews correspondence from stockholders and management's responses. Through this activity, stockholders are provided access at the board level without having to resort to formal stockholder proposals. As a general matter, the board would prefer that stockholders present their views through the mechanism provided by its Stockholder Relations and Public Policy Committee rather than through the process of formal stockholder proposals.</w:t>
      </w:r>
    </w:p>
    <w:p>
      <w:pPr>
        <w:sectPr>
          <w:pgSz w:w="11900" w:h="16951" w:orient="portrait"/>
          <w:cols w:equalWidth="0" w:num="1">
            <w:col w:w="10219"/>
          </w:cols>
          <w:pgMar w:left="240" w:top="112" w:right="1440" w:bottom="0" w:gutter="0" w:footer="0" w:header="0"/>
        </w:sectPr>
      </w:pPr>
    </w:p>
    <w:bookmarkStart w:id="17" w:name="page18"/>
    <w:bookmarkEnd w:id="17"/>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24</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w:t>
      </w:r>
    </w:p>
    <w:p>
      <w:pPr>
        <w:spacing w:after="0" w:line="195" w:lineRule="exact"/>
        <w:rPr>
          <w:sz w:val="20"/>
          <w:szCs w:val="20"/>
          <w:color w:val="auto"/>
        </w:rPr>
      </w:pPr>
    </w:p>
    <w:p>
      <w:pPr>
        <w:ind w:right="2499"/>
        <w:spacing w:after="0" w:line="255" w:lineRule="auto"/>
        <w:rPr>
          <w:sz w:val="20"/>
          <w:szCs w:val="20"/>
          <w:color w:val="auto"/>
        </w:rPr>
      </w:pPr>
      <w:r>
        <w:rPr>
          <w:rFonts w:ascii="Courier New" w:cs="Courier New" w:eastAsia="Courier New" w:hAnsi="Courier New"/>
          <w:sz w:val="16"/>
          <w:szCs w:val="16"/>
          <w:color w:val="auto"/>
        </w:rPr>
        <w:t>The nine nominees for election as directors at the 1997 Annual Meeting of Stockholders who receive the greatest number of votes cast at that meeting by the holders of the Company's common stock entitled to vote at that meeting, a quorum being present, shall become directors at the conclusion of the tabulation of votes. An affirmative vote of the holders of a majority of the voting power of the Company's common stock, present in person or represented by proxy and entitled to vote at the meeting, a quorum being present, is necessary to approve the action proposed in the matters listed in the accompanying Notice of Annual Meeting of Stockholders. Under Delaware law and the Company's Restated Certificate of Incorporation and By-Laws, the aggregate number of votes entitled to be cast by all stockholders present in person or represented by proxy at the meeting, whether those stockholders vote FOR, AGAINST or abstain from voting, will be counted for purposes of determining the minimum number of affirmative votes required for approval of such matters, and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w:t>
      </w:r>
    </w:p>
    <w:p>
      <w:pPr>
        <w:spacing w:after="0" w:line="195" w:lineRule="exact"/>
        <w:rPr>
          <w:sz w:val="20"/>
          <w:szCs w:val="20"/>
          <w:color w:val="auto"/>
        </w:rPr>
      </w:pPr>
    </w:p>
    <w:p>
      <w:pPr>
        <w:ind w:right="2599"/>
        <w:spacing w:after="0" w:line="273" w:lineRule="auto"/>
        <w:rPr>
          <w:sz w:val="20"/>
          <w:szCs w:val="20"/>
          <w:color w:val="auto"/>
        </w:rPr>
      </w:pPr>
      <w:r>
        <w:rPr>
          <w:rFonts w:ascii="Courier New" w:cs="Courier New" w:eastAsia="Courier New" w:hAnsi="Courier New"/>
          <w:sz w:val="16"/>
          <w:szCs w:val="16"/>
          <w:color w:val="auto"/>
        </w:rPr>
        <w:t>The firm of Ernst &amp; Young LLP has been selected by the board of directors, pursuant to the recommendation of its Audit Committee, as independent auditors for the Company. Representatives of such firm are expected to be present, and to be available to respond to appropriate questions, at the annual meeting. They will have the opportunity to make a statement if they desire to do so; they have indicated that, as of this date, they do not desire to do so.</w:t>
      </w:r>
    </w:p>
    <w:p>
      <w:pPr>
        <w:spacing w:after="0" w:line="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3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 RICHARD J. AGNICH</w:t>
      </w:r>
    </w:p>
    <w:p>
      <w:pPr>
        <w:spacing w:after="0" w:line="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Richard J. Agnich</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Senior Vice President,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Secretary and General Counsel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7,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w:t>
      </w:r>
    </w:p>
    <w:p>
      <w:pPr>
        <w:spacing w:after="0" w:line="383"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EXHIBIT A</w:t>
      </w:r>
    </w:p>
    <w:p>
      <w:pPr>
        <w:spacing w:after="0" w:line="38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TEXAS INSTRUMENTS EXECUTIVE OFFICER PERFORMANCE PLAN</w:t>
      </w:r>
    </w:p>
    <w:p>
      <w:pPr>
        <w:spacing w:after="0" w:line="3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Dated February 20, 1997</w:t>
      </w:r>
    </w:p>
    <w:p>
      <w:pPr>
        <w:spacing w:after="0" w:line="353" w:lineRule="exact"/>
        <w:rPr>
          <w:sz w:val="20"/>
          <w:szCs w:val="20"/>
          <w:color w:val="auto"/>
        </w:rPr>
      </w:pPr>
    </w:p>
    <w:p>
      <w:pPr>
        <w:ind w:right="2699"/>
        <w:spacing w:after="0" w:line="373" w:lineRule="auto"/>
        <w:rPr>
          <w:sz w:val="20"/>
          <w:szCs w:val="20"/>
          <w:color w:val="auto"/>
        </w:rPr>
      </w:pPr>
      <w:r>
        <w:rPr>
          <w:rFonts w:ascii="Courier New" w:cs="Courier New" w:eastAsia="Courier New" w:hAnsi="Courier New"/>
          <w:sz w:val="16"/>
          <w:szCs w:val="16"/>
          <w:color w:val="auto"/>
        </w:rPr>
        <w:t>The purpose of the Plan is to promote the success of the Company by providing performance-based compensation for executive officers.</w:t>
      </w:r>
    </w:p>
    <w:p>
      <w:pPr>
        <w:ind w:right="2699"/>
        <w:spacing w:after="0" w:line="373" w:lineRule="auto"/>
        <w:rPr>
          <w:sz w:val="20"/>
          <w:szCs w:val="20"/>
          <w:color w:val="auto"/>
        </w:rPr>
      </w:pPr>
      <w:r>
        <w:rPr>
          <w:rFonts w:ascii="Courier New" w:cs="Courier New" w:eastAsia="Courier New" w:hAnsi="Courier New"/>
          <w:sz w:val="16"/>
          <w:szCs w:val="16"/>
          <w:color w:val="auto"/>
        </w:rPr>
        <w:t>For purposes of the Plan unless otherwise indicated, the term "Company" shall mean Texas Instruments Incorporated and its subsidiaries.</w:t>
      </w:r>
    </w:p>
    <w:p>
      <w:pPr>
        <w:ind w:right="2879"/>
        <w:spacing w:after="0" w:line="311" w:lineRule="auto"/>
        <w:rPr>
          <w:sz w:val="20"/>
          <w:szCs w:val="20"/>
          <w:color w:val="auto"/>
        </w:rPr>
      </w:pPr>
      <w:r>
        <w:rPr>
          <w:rFonts w:ascii="Courier New" w:cs="Courier New" w:eastAsia="Courier New" w:hAnsi="Courier New"/>
          <w:sz w:val="16"/>
          <w:szCs w:val="16"/>
          <w:color w:val="auto"/>
        </w:rPr>
        <w:t>The Plan is intended to provide qualified performance-based compensation in accordance with Section 162(m) of the Internal Revenue Code of 1986, as amended, and regulations thereunder ("Code") and will be so interpreted.</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Covered Employees</w:t>
      </w:r>
    </w:p>
    <w:p>
      <w:pPr>
        <w:spacing w:after="0" w:line="195" w:lineRule="exact"/>
        <w:rPr>
          <w:sz w:val="20"/>
          <w:szCs w:val="20"/>
          <w:color w:val="auto"/>
        </w:rPr>
      </w:pPr>
    </w:p>
    <w:p>
      <w:pPr>
        <w:ind w:right="2499"/>
        <w:spacing w:after="0" w:line="273" w:lineRule="auto"/>
        <w:rPr>
          <w:sz w:val="20"/>
          <w:szCs w:val="20"/>
          <w:color w:val="auto"/>
        </w:rPr>
      </w:pPr>
      <w:r>
        <w:rPr>
          <w:rFonts w:ascii="Courier New" w:cs="Courier New" w:eastAsia="Courier New" w:hAnsi="Courier New"/>
          <w:sz w:val="16"/>
          <w:szCs w:val="16"/>
          <w:color w:val="auto"/>
        </w:rPr>
        <w:t>The executive officers of the Company (within the meaning of Rule 3b-7 of the Securities Exchange Act of 1934 as amended from time to time) as of March 30 of each calendar year ("performance year") shall receive awards under the Plan for such performance year. An individual who becomes an executive officer after March 30 and on or before October 1 of a performance year shall receive an award as provided below.</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 of Plan</w:t>
      </w:r>
    </w:p>
    <w:p>
      <w:pPr>
        <w:sectPr>
          <w:pgSz w:w="11900" w:h="16845" w:orient="portrait"/>
          <w:cols w:equalWidth="0" w:num="1">
            <w:col w:w="10219"/>
          </w:cols>
          <w:pgMar w:left="240" w:top="300" w:right="1440" w:bottom="0" w:gutter="0" w:footer="0" w:header="0"/>
        </w:sectPr>
      </w:pPr>
    </w:p>
    <w:bookmarkStart w:id="18" w:name="page19"/>
    <w:bookmarkEnd w:id="18"/>
    <w:p>
      <w:pPr>
        <w:spacing w:after="0" w:line="154"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The Plan shall be administered by a Committee of the Board of Directors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the director is a "non-employee director" as described in Rule 16b-3 under the Securities Exchange Act of 1934, as in effect from time to time. In addition, a director may serve as a member or alternate member of the Committee only during periods in which the director is an "outside director" as described in Section 162(m) of the Code.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284" w:lineRule="exact"/>
        <w:rPr>
          <w:sz w:val="20"/>
          <w:szCs w:val="20"/>
          <w:color w:val="auto"/>
        </w:rPr>
      </w:pPr>
    </w:p>
    <w:p>
      <w:pPr>
        <w:ind w:right="2879"/>
        <w:spacing w:after="0" w:line="290" w:lineRule="auto"/>
        <w:rPr>
          <w:sz w:val="20"/>
          <w:szCs w:val="20"/>
          <w:color w:val="auto"/>
        </w:rPr>
      </w:pPr>
      <w:r>
        <w:rPr>
          <w:rFonts w:ascii="Courier New" w:cs="Courier New" w:eastAsia="Courier New" w:hAnsi="Courier New"/>
          <w:sz w:val="16"/>
          <w:szCs w:val="16"/>
          <w:color w:val="auto"/>
        </w:rPr>
        <w:t>The Committee shall have the full and exclusive right to make reductions in awards under the Plan. In determining whether to reduce any award and the amount of any reduction, the Committee shall take into consideration such factors as the Committee shall determine.</w:t>
      </w:r>
    </w:p>
    <w:p>
      <w:pPr>
        <w:spacing w:after="0" w:line="200" w:lineRule="exact"/>
        <w:rPr>
          <w:sz w:val="20"/>
          <w:szCs w:val="20"/>
          <w:color w:val="auto"/>
        </w:rPr>
      </w:pPr>
    </w:p>
    <w:p>
      <w:pPr>
        <w:spacing w:after="0" w:line="24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of Administration</w:t>
      </w:r>
    </w:p>
    <w:p>
      <w:pPr>
        <w:spacing w:after="0" w:line="195" w:lineRule="exact"/>
        <w:rPr>
          <w:sz w:val="20"/>
          <w:szCs w:val="20"/>
          <w:color w:val="auto"/>
        </w:rPr>
      </w:pPr>
    </w:p>
    <w:p>
      <w:pPr>
        <w:ind w:right="3279"/>
        <w:spacing w:after="0" w:line="373" w:lineRule="auto"/>
        <w:rPr>
          <w:sz w:val="20"/>
          <w:szCs w:val="20"/>
          <w:color w:val="auto"/>
        </w:rPr>
      </w:pPr>
      <w:r>
        <w:rPr>
          <w:rFonts w:ascii="Courier New" w:cs="Courier New" w:eastAsia="Courier New" w:hAnsi="Courier New"/>
          <w:sz w:val="16"/>
          <w:szCs w:val="16"/>
          <w:color w:val="auto"/>
        </w:rPr>
        <w:t>The expenses of the administration of this Plan, including the interest provided in the Plan, shall be borne by the Company.</w:t>
      </w:r>
    </w:p>
    <w:p>
      <w:pPr>
        <w:spacing w:after="0"/>
        <w:rPr>
          <w:sz w:val="20"/>
          <w:szCs w:val="20"/>
          <w:color w:val="auto"/>
        </w:rPr>
      </w:pPr>
      <w:r>
        <w:rPr>
          <w:rFonts w:ascii="Courier New" w:cs="Courier New" w:eastAsia="Courier New" w:hAnsi="Courier New"/>
          <w:sz w:val="16"/>
          <w:szCs w:val="16"/>
          <w:color w:val="auto"/>
        </w:rPr>
        <w:t>Amendments</w:t>
      </w:r>
    </w:p>
    <w:p>
      <w:pPr>
        <w:spacing w:after="0" w:line="195"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6"/>
          <w:szCs w:val="16"/>
          <w:color w:val="auto"/>
        </w:rPr>
        <w:t>The Board of Directors of the Company may, at any time and from time to time, alter, amend, suspend or terminate the Plan or any part thereof as it may deem proper and in the best interests of the Company, provided, however, that no such action shall affect or impair the rights under any award theretofore granted under the Plan, except that in the case of a covered employee employed outside the United States the Board may vary the provisions of the Plan as it may deem appropriate to conform with local laws, practices and procedures. Further, unless the stockholders of the Company shall have first approved thereof, no amendment shall be made which shall increase the maximum amount of any award above the amount determined by the formula described below in any year.</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Awards</w:t>
      </w:r>
    </w:p>
    <w:p>
      <w:pPr>
        <w:spacing w:after="0" w:line="195" w:lineRule="exact"/>
        <w:rPr>
          <w:sz w:val="20"/>
          <w:szCs w:val="20"/>
          <w:color w:val="auto"/>
        </w:rPr>
      </w:pPr>
    </w:p>
    <w:p>
      <w:pPr>
        <w:ind w:right="2599"/>
        <w:spacing w:after="0" w:line="262" w:lineRule="auto"/>
        <w:rPr>
          <w:sz w:val="20"/>
          <w:szCs w:val="20"/>
          <w:color w:val="auto"/>
        </w:rPr>
      </w:pPr>
      <w:r>
        <w:rPr>
          <w:rFonts w:ascii="Courier New" w:cs="Courier New" w:eastAsia="Courier New" w:hAnsi="Courier New"/>
          <w:sz w:val="16"/>
          <w:szCs w:val="16"/>
          <w:color w:val="auto"/>
        </w:rPr>
        <w:t>Subject to the Committee's discretion to reduce such awards, each covered employee shall be entitled to an award for each performance year equal to 0.5% of the Company's consolidated income from continuing operations before</w:t>
      </w:r>
    </w:p>
    <w:p>
      <w:pPr>
        <w:ind w:right="2799"/>
        <w:spacing w:after="0" w:line="265" w:lineRule="auto"/>
        <w:tabs>
          <w:tab w:leader="none" w:pos="39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 for income taxes, (ii) awards under the Plan, (iii) any pretax gain or loss exceeding $25 million recognized for the year related to divestiture of a business and (iv) any write-off of in process research and development expenses exceeding $25 million associated with an acquisition, ("Consolidated Income"), as determined and reported to the Committee by the Company's independent auditors.</w:t>
      </w:r>
    </w:p>
    <w:p>
      <w:pPr>
        <w:spacing w:after="0" w:line="85" w:lineRule="exact"/>
        <w:rPr>
          <w:sz w:val="20"/>
          <w:szCs w:val="20"/>
          <w:color w:val="auto"/>
        </w:rPr>
      </w:pPr>
    </w:p>
    <w:p>
      <w:pPr>
        <w:ind w:right="2599"/>
        <w:spacing w:after="0" w:line="290" w:lineRule="auto"/>
        <w:rPr>
          <w:sz w:val="20"/>
          <w:szCs w:val="20"/>
          <w:color w:val="auto"/>
        </w:rPr>
      </w:pPr>
      <w:r>
        <w:rPr>
          <w:rFonts w:ascii="Courier New" w:cs="Courier New" w:eastAsia="Courier New" w:hAnsi="Courier New"/>
          <w:sz w:val="16"/>
          <w:szCs w:val="16"/>
          <w:color w:val="auto"/>
        </w:rPr>
        <w:t>An individual who becomes an executive officer after March 30 and on or before October 1 of a performance year shall receive an award for that performance year based on the Consolidated Income of the Company for each calendar quarter following the quarter in which the individual becomes an executive officer.</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Scope of the Plan</w:t>
      </w:r>
    </w:p>
    <w:p>
      <w:pPr>
        <w:spacing w:after="0" w:line="195" w:lineRule="exact"/>
        <w:rPr>
          <w:sz w:val="20"/>
          <w:szCs w:val="20"/>
          <w:color w:val="auto"/>
        </w:rPr>
      </w:pPr>
    </w:p>
    <w:p>
      <w:pPr>
        <w:ind w:right="2599"/>
        <w:spacing w:after="0" w:line="290" w:lineRule="auto"/>
        <w:rPr>
          <w:sz w:val="20"/>
          <w:szCs w:val="20"/>
          <w:color w:val="auto"/>
        </w:rPr>
      </w:pPr>
      <w:r>
        <w:rPr>
          <w:rFonts w:ascii="Courier New" w:cs="Courier New" w:eastAsia="Courier New" w:hAnsi="Courier New"/>
          <w:sz w:val="16"/>
          <w:szCs w:val="16"/>
          <w:color w:val="auto"/>
        </w:rPr>
        <w:t>Nothing in this Plan shall be construed as precluding or prohibiting the Company from establishing or maintaining other bonus or compensation arrangements, which may be generally applicable or applicable only to selected employees or officers.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Awards; Committee Discretion to Reduce</w:t>
      </w:r>
    </w:p>
    <w:p>
      <w:pPr>
        <w:spacing w:after="0" w:line="195" w:lineRule="exact"/>
        <w:rPr>
          <w:sz w:val="20"/>
          <w:szCs w:val="20"/>
          <w:color w:val="auto"/>
        </w:rPr>
      </w:pPr>
    </w:p>
    <w:p>
      <w:pPr>
        <w:ind w:right="2799"/>
        <w:spacing w:after="0" w:line="290" w:lineRule="auto"/>
        <w:rPr>
          <w:sz w:val="20"/>
          <w:szCs w:val="20"/>
          <w:color w:val="auto"/>
        </w:rPr>
      </w:pPr>
      <w:r>
        <w:rPr>
          <w:rFonts w:ascii="Courier New" w:cs="Courier New" w:eastAsia="Courier New" w:hAnsi="Courier New"/>
          <w:sz w:val="16"/>
          <w:szCs w:val="16"/>
          <w:color w:val="auto"/>
        </w:rPr>
        <w:t>As soon as practicable after the end of each performance year, the Company's independent auditors shall determine and report to the Committee and the Committee shall certify the amount of each award for that year under the provisions of this Plan.</w:t>
      </w:r>
    </w:p>
    <w:p>
      <w:pPr>
        <w:spacing w:after="0" w:line="64"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6"/>
          <w:szCs w:val="16"/>
          <w:color w:val="auto"/>
        </w:rPr>
        <w:t>The Committee, in its sole discretion, based on any factors the Committee deems appropriate, may reduce the award to any covered employee in any year</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A-2</w:t>
      </w:r>
    </w:p>
    <w:p>
      <w:pPr>
        <w:spacing w:after="0" w:line="195" w:lineRule="exact"/>
        <w:rPr>
          <w:sz w:val="20"/>
          <w:szCs w:val="20"/>
          <w:color w:val="auto"/>
        </w:rPr>
      </w:pPr>
    </w:p>
    <w:p>
      <w:pPr>
        <w:ind w:right="2499"/>
        <w:spacing w:after="0" w:line="311" w:lineRule="auto"/>
        <w:rPr>
          <w:sz w:val="20"/>
          <w:szCs w:val="20"/>
          <w:color w:val="auto"/>
        </w:rPr>
      </w:pPr>
      <w:r>
        <w:rPr>
          <w:rFonts w:ascii="Courier New" w:cs="Courier New" w:eastAsia="Courier New" w:hAnsi="Courier New"/>
          <w:sz w:val="16"/>
          <w:szCs w:val="16"/>
          <w:color w:val="auto"/>
        </w:rPr>
        <w:t>(including reduction to zero if the Committee so determines). The Committee shall make a determination of whether and to what extent to reduce awards under the Plan for each year at such time or times following the close of the</w:t>
      </w:r>
    </w:p>
    <w:p>
      <w:pPr>
        <w:sectPr>
          <w:pgSz w:w="11900" w:h="16993" w:orient="portrait"/>
          <w:cols w:equalWidth="0" w:num="1">
            <w:col w:w="10219"/>
          </w:cols>
          <w:pgMar w:left="240" w:top="300" w:right="1440" w:bottom="0" w:gutter="0" w:footer="0" w:header="0"/>
        </w:sectPr>
      </w:pPr>
    </w:p>
    <w:bookmarkStart w:id="19" w:name="page20"/>
    <w:bookmarkEnd w:id="19"/>
    <w:p>
      <w:pPr>
        <w:spacing w:after="0" w:line="200" w:lineRule="exact"/>
        <w:rPr>
          <w:sz w:val="20"/>
          <w:szCs w:val="20"/>
          <w:color w:val="auto"/>
        </w:rPr>
      </w:pPr>
    </w:p>
    <w:p>
      <w:pPr>
        <w:jc w:val="both"/>
        <w:ind w:right="2499"/>
        <w:spacing w:after="0" w:line="311" w:lineRule="auto"/>
        <w:rPr>
          <w:sz w:val="20"/>
          <w:szCs w:val="20"/>
          <w:color w:val="auto"/>
        </w:rPr>
      </w:pPr>
      <w:r>
        <w:rPr>
          <w:rFonts w:ascii="Courier New" w:cs="Courier New" w:eastAsia="Courier New" w:hAnsi="Courier New"/>
          <w:sz w:val="16"/>
          <w:szCs w:val="16"/>
          <w:color w:val="auto"/>
        </w:rPr>
        <w:t>performance year as the Committee shall deem appropriate. The reduction in the amount of an award to any covered employee for a performance year shall have no effect on the amount of the award to any other covered employee for such year.</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of Awards</w:t>
      </w:r>
    </w:p>
    <w:p>
      <w:pPr>
        <w:spacing w:after="0" w:line="195" w:lineRule="exact"/>
        <w:rPr>
          <w:sz w:val="20"/>
          <w:szCs w:val="20"/>
          <w:color w:val="auto"/>
        </w:rPr>
      </w:pPr>
    </w:p>
    <w:p>
      <w:pPr>
        <w:ind w:right="2499"/>
        <w:spacing w:after="0" w:line="311" w:lineRule="auto"/>
        <w:rPr>
          <w:sz w:val="20"/>
          <w:szCs w:val="20"/>
          <w:color w:val="auto"/>
        </w:rPr>
      </w:pPr>
      <w:r>
        <w:rPr>
          <w:rFonts w:ascii="Courier New" w:cs="Courier New" w:eastAsia="Courier New" w:hAnsi="Courier New"/>
          <w:sz w:val="16"/>
          <w:szCs w:val="16"/>
          <w:color w:val="auto"/>
        </w:rPr>
        <w:t>Awards and any installments thereof shall be paid in cash as of a date or dates determined by the Committee or, if the Committee makes no determination, then as soon as practicable after the amount of the awards has been determined.</w:t>
      </w:r>
    </w:p>
    <w:p>
      <w:pPr>
        <w:spacing w:after="0" w:line="47" w:lineRule="exact"/>
        <w:rPr>
          <w:sz w:val="20"/>
          <w:szCs w:val="20"/>
          <w:color w:val="auto"/>
        </w:rPr>
      </w:pPr>
    </w:p>
    <w:p>
      <w:pPr>
        <w:ind w:right="2499"/>
        <w:spacing w:after="0" w:line="259" w:lineRule="auto"/>
        <w:rPr>
          <w:sz w:val="20"/>
          <w:szCs w:val="20"/>
          <w:color w:val="auto"/>
        </w:rPr>
      </w:pPr>
      <w:r>
        <w:rPr>
          <w:rFonts w:ascii="Courier New" w:cs="Courier New" w:eastAsia="Courier New" w:hAnsi="Courier New"/>
          <w:sz w:val="16"/>
          <w:szCs w:val="16"/>
          <w:color w:val="auto"/>
        </w:rPr>
        <w:t>The Committee may direct the awards to the covered employees or any of them for any year to be paid in a single amount or in installments of equal or varying amounts or may defer payment of any awards and may prescribe such terms and conditions concerning payment of awards as it deems appropriate, including completion of specific periods of employment with the Company, provided that such terms and conditions are not more favorable to a covered employee than those expressly set forth in this Plan. The Committee may determine that interest will be payable with respect to any payment of any award. The Committee may at any time amend any such direction and may amend or delete any such terms and conditions if the Committee deems it appropriate. The Committee's actions under this paragraph shall be subject to and in accordance with the rules governing qualified performance based compensation in Section 162(m) of the Code.</w:t>
      </w:r>
    </w:p>
    <w:p>
      <w:pPr>
        <w:spacing w:after="0" w:line="89" w:lineRule="exact"/>
        <w:rPr>
          <w:sz w:val="20"/>
          <w:szCs w:val="20"/>
          <w:color w:val="auto"/>
        </w:rPr>
      </w:pPr>
    </w:p>
    <w:p>
      <w:pPr>
        <w:ind w:right="2799"/>
        <w:spacing w:after="0" w:line="373" w:lineRule="auto"/>
        <w:rPr>
          <w:sz w:val="20"/>
          <w:szCs w:val="20"/>
          <w:color w:val="auto"/>
        </w:rPr>
      </w:pPr>
      <w:r>
        <w:rPr>
          <w:rFonts w:ascii="Courier New" w:cs="Courier New" w:eastAsia="Courier New" w:hAnsi="Courier New"/>
          <w:sz w:val="16"/>
          <w:szCs w:val="16"/>
          <w:color w:val="auto"/>
        </w:rPr>
        <w:t>Payments of awards to covered employees who are employees of subsidiaries of the Company shall be paid directly by such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A-3</w:t>
      </w:r>
    </w:p>
    <w:p>
      <w:pPr>
        <w:spacing w:after="0" w:line="383"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EXHIBIT B</w:t>
      </w:r>
    </w:p>
    <w:p>
      <w:pPr>
        <w:spacing w:after="0" w:line="383"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TI EMPLOYEES 1997 STOCK PURCHASE PLAN</w:t>
      </w:r>
    </w:p>
    <w:p>
      <w:pPr>
        <w:spacing w:after="0" w:line="3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Dated April 17, 1997</w:t>
      </w:r>
    </w:p>
    <w:p>
      <w:pPr>
        <w:spacing w:after="0" w:line="353" w:lineRule="exact"/>
        <w:rPr>
          <w:sz w:val="20"/>
          <w:szCs w:val="20"/>
          <w:color w:val="auto"/>
        </w:rPr>
      </w:pPr>
    </w:p>
    <w:p>
      <w:pPr>
        <w:ind w:right="2799"/>
        <w:spacing w:after="0" w:line="269" w:lineRule="auto"/>
        <w:rPr>
          <w:sz w:val="20"/>
          <w:szCs w:val="20"/>
          <w:color w:val="auto"/>
        </w:rPr>
      </w:pPr>
      <w:r>
        <w:rPr>
          <w:rFonts w:ascii="Courier New" w:cs="Courier New" w:eastAsia="Courier New" w:hAnsi="Courier New"/>
          <w:sz w:val="16"/>
          <w:szCs w:val="16"/>
          <w:color w:val="auto"/>
        </w:rPr>
        <w:t>The TI Employees 1997 Stock Purchase Plan (the "Plan") is designed to encourage in all Employees a proprietary interest in the Company. The Plan provides for all eligible Employees the option to purchase shares of the common stock of the Company through voluntary systematic payroll deductions. The options provided to participants under the Plan shall be in addition to regular salaries, profit sharing, pension, life insurance, special payments or other benefits related to a participant's employment with the Company.</w:t>
      </w:r>
    </w:p>
    <w:p>
      <w:pPr>
        <w:spacing w:after="0" w:line="82" w:lineRule="exact"/>
        <w:rPr>
          <w:sz w:val="20"/>
          <w:szCs w:val="20"/>
          <w:color w:val="auto"/>
        </w:rPr>
      </w:pPr>
    </w:p>
    <w:p>
      <w:pPr>
        <w:ind w:right="2699"/>
        <w:spacing w:after="0" w:line="280" w:lineRule="auto"/>
        <w:rPr>
          <w:sz w:val="20"/>
          <w:szCs w:val="20"/>
          <w:color w:val="auto"/>
        </w:rPr>
      </w:pPr>
      <w:r>
        <w:rPr>
          <w:rFonts w:ascii="Courier New" w:cs="Courier New" w:eastAsia="Courier New" w:hAnsi="Courier New"/>
          <w:sz w:val="16"/>
          <w:szCs w:val="16"/>
          <w:color w:val="auto"/>
        </w:rPr>
        <w:t>For the purposes of the Plan unless otherwise indicated, the term "Company" shall mean Texas Instruments Incorporated and its subsidiaries where substantially all of their voting stock is owned directly or indirectly by Texas Instruments. "Employee" shall mean an individual who is a full-time or part-time employee of the Company.</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w:t>
      </w:r>
    </w:p>
    <w:p>
      <w:pPr>
        <w:spacing w:after="0" w:line="195" w:lineRule="exact"/>
        <w:rPr>
          <w:sz w:val="20"/>
          <w:szCs w:val="20"/>
          <w:color w:val="auto"/>
        </w:rPr>
      </w:pPr>
    </w:p>
    <w:p>
      <w:pPr>
        <w:ind w:right="2699"/>
        <w:spacing w:after="0" w:line="273" w:lineRule="auto"/>
        <w:rPr>
          <w:sz w:val="20"/>
          <w:szCs w:val="20"/>
          <w:color w:val="auto"/>
        </w:rPr>
      </w:pPr>
      <w:r>
        <w:rPr>
          <w:rFonts w:ascii="Courier New" w:cs="Courier New" w:eastAsia="Courier New" w:hAnsi="Courier New"/>
          <w:sz w:val="16"/>
          <w:szCs w:val="16"/>
          <w:color w:val="auto"/>
        </w:rPr>
        <w:t>All Employees of Texas Instruments Incorporated, and such of its subsidiaries as the Committee described below shall from time to time designate who are Employees on the date of grant of the option and who are not on an unpaid leave of absence, shall be eligible to participate in offerings of options under the Plan; Directors who are not full-time or part-time officers or Employees are not eligible to participate in the Plan.</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 of Plan</w:t>
      </w:r>
    </w:p>
    <w:p>
      <w:pPr>
        <w:spacing w:after="0" w:line="195" w:lineRule="exact"/>
        <w:rPr>
          <w:sz w:val="20"/>
          <w:szCs w:val="20"/>
          <w:color w:val="auto"/>
        </w:rPr>
      </w:pPr>
    </w:p>
    <w:p>
      <w:pPr>
        <w:ind w:right="2699"/>
        <w:spacing w:after="0" w:line="372" w:lineRule="auto"/>
        <w:rPr>
          <w:sz w:val="20"/>
          <w:szCs w:val="20"/>
          <w:color w:val="auto"/>
        </w:rPr>
      </w:pPr>
      <w:r>
        <w:rPr>
          <w:rFonts w:ascii="Courier New" w:cs="Courier New" w:eastAsia="Courier New" w:hAnsi="Courier New"/>
          <w:sz w:val="16"/>
          <w:szCs w:val="16"/>
          <w:color w:val="auto"/>
        </w:rPr>
        <w:t>The Plan shall be administered by a Committee of the Board of Directors which shall be known as the Compensation Committee (the "Committee"). The</w:t>
      </w:r>
    </w:p>
    <w:p>
      <w:pPr>
        <w:sectPr>
          <w:pgSz w:w="11900" w:h="17038" w:orient="portrait"/>
          <w:cols w:equalWidth="0" w:num="1">
            <w:col w:w="10219"/>
          </w:cols>
          <w:pgMar w:left="240" w:top="112" w:right="1440" w:bottom="0" w:gutter="0" w:footer="0" w:header="0"/>
        </w:sectPr>
      </w:pPr>
    </w:p>
    <w:bookmarkStart w:id="20" w:name="page21"/>
    <w:bookmarkEnd w:id="20"/>
    <w:p>
      <w:pPr>
        <w:spacing w:after="0" w:line="7" w:lineRule="exact"/>
        <w:rPr>
          <w:sz w:val="20"/>
          <w:szCs w:val="20"/>
          <w:color w:val="auto"/>
        </w:rPr>
      </w:pPr>
    </w:p>
    <w:p>
      <w:pPr>
        <w:ind w:right="2799"/>
        <w:spacing w:after="0" w:line="256" w:lineRule="auto"/>
        <w:rPr>
          <w:sz w:val="20"/>
          <w:szCs w:val="20"/>
          <w:color w:val="auto"/>
        </w:rPr>
      </w:pPr>
      <w:r>
        <w:rPr>
          <w:rFonts w:ascii="Courier New" w:cs="Courier New" w:eastAsia="Courier New" w:hAnsi="Courier New"/>
          <w:sz w:val="16"/>
          <w:szCs w:val="16"/>
          <w:color w:val="auto"/>
        </w:rPr>
        <w:t>Committee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the director is a "non-employee director" as described in Rule 16b-3 under the Securities Exchange Act of 1934, as in effect from time to time. In addition, a director may serve as a member or alternate member of the Committee only during periods in which the director is an "outside director" as described in Section 162(m) of the Internal Revenue Code of 1986, as amended, and regulations promulgated thereunder (the "Code"). The Committee shall have full power and authority to construe, interpret and administer this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200" w:lineRule="exact"/>
        <w:rPr>
          <w:sz w:val="20"/>
          <w:szCs w:val="20"/>
          <w:color w:val="auto"/>
        </w:rPr>
      </w:pPr>
    </w:p>
    <w:p>
      <w:pPr>
        <w:spacing w:after="0" w:line="27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B-1</w:t>
      </w:r>
    </w:p>
    <w:p>
      <w:pPr>
        <w:spacing w:after="0" w:line="195" w:lineRule="exact"/>
        <w:rPr>
          <w:sz w:val="20"/>
          <w:szCs w:val="20"/>
          <w:color w:val="auto"/>
        </w:rPr>
      </w:pPr>
    </w:p>
    <w:p>
      <w:pPr>
        <w:ind w:right="2799"/>
        <w:spacing w:after="0" w:line="311" w:lineRule="auto"/>
        <w:rPr>
          <w:sz w:val="20"/>
          <w:szCs w:val="20"/>
          <w:color w:val="auto"/>
        </w:rPr>
      </w:pPr>
      <w:r>
        <w:rPr>
          <w:rFonts w:ascii="Courier New" w:cs="Courier New" w:eastAsia="Courier New" w:hAnsi="Courier New"/>
          <w:sz w:val="16"/>
          <w:szCs w:val="16"/>
          <w:color w:val="auto"/>
        </w:rPr>
        <w:t>The Committee shall have the full and exclusive right to establish the terms of each offering of common stock of the Company under the Plan except as otherwise expressly provided in this Plan.</w:t>
      </w:r>
    </w:p>
    <w:p>
      <w:pPr>
        <w:spacing w:after="0" w:line="47" w:lineRule="exact"/>
        <w:rPr>
          <w:sz w:val="20"/>
          <w:szCs w:val="20"/>
          <w:color w:val="auto"/>
        </w:rPr>
      </w:pPr>
    </w:p>
    <w:p>
      <w:pPr>
        <w:ind w:right="2599"/>
        <w:spacing w:after="0" w:line="266" w:lineRule="auto"/>
        <w:rPr>
          <w:sz w:val="20"/>
          <w:szCs w:val="20"/>
          <w:color w:val="auto"/>
        </w:rPr>
      </w:pPr>
      <w:r>
        <w:rPr>
          <w:rFonts w:ascii="Courier New" w:cs="Courier New" w:eastAsia="Courier New" w:hAnsi="Courier New"/>
          <w:sz w:val="16"/>
          <w:szCs w:val="16"/>
          <w:color w:val="auto"/>
        </w:rPr>
        <w:t>The Committee may delegate such power, authority and rights with respect to the administration of the Plan as it deems appropriate to one or more members of the management of the Company (including, without limitation, a committee of one or more members of management appointed by the Committee); provided, however, that any delegation to management shall conform with the requirements of the General Corporation Law of Delaware, and Rule 16b-3 under the Securities Exchange Act of 1934, as in effect from time to time. The Committee may also recommend to the Board revisions in this Plan.</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of Administration</w:t>
      </w:r>
    </w:p>
    <w:p>
      <w:pPr>
        <w:spacing w:after="0" w:line="195" w:lineRule="exact"/>
        <w:rPr>
          <w:sz w:val="20"/>
          <w:szCs w:val="20"/>
          <w:color w:val="auto"/>
        </w:rPr>
      </w:pPr>
    </w:p>
    <w:p>
      <w:pPr>
        <w:ind w:right="2699"/>
        <w:spacing w:after="0" w:line="269" w:lineRule="auto"/>
        <w:rPr>
          <w:sz w:val="20"/>
          <w:szCs w:val="20"/>
          <w:color w:val="auto"/>
        </w:rPr>
      </w:pPr>
      <w:r>
        <w:rPr>
          <w:rFonts w:ascii="Courier New" w:cs="Courier New" w:eastAsia="Courier New" w:hAnsi="Courier New"/>
          <w:sz w:val="16"/>
          <w:szCs w:val="16"/>
          <w:color w:val="auto"/>
        </w:rPr>
        <w:t>Except as otherwise determined by the Committee, any broker commissions, fees or other expenses incurred in connection with the exercise of an option hereunder or as a result of the opening or maintenance of accounts for Employees and the purchase and sale of common stock of the Company on behalf of Employees shall be paid by the Employee who incurs the expenses and any other expenses of the administration of this Plan shall be borne by the Company and charged against net income.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Amendments</w:t>
      </w:r>
    </w:p>
    <w:p>
      <w:pPr>
        <w:spacing w:after="0" w:line="195" w:lineRule="exact"/>
        <w:rPr>
          <w:sz w:val="20"/>
          <w:szCs w:val="20"/>
          <w:color w:val="auto"/>
        </w:rPr>
      </w:pPr>
    </w:p>
    <w:p>
      <w:pPr>
        <w:ind w:right="2699"/>
        <w:spacing w:after="0" w:line="257" w:lineRule="auto"/>
        <w:rPr>
          <w:sz w:val="20"/>
          <w:szCs w:val="20"/>
          <w:color w:val="auto"/>
        </w:rPr>
      </w:pPr>
      <w:r>
        <w:rPr>
          <w:rFonts w:ascii="Courier New" w:cs="Courier New" w:eastAsia="Courier New" w:hAnsi="Courier New"/>
          <w:sz w:val="16"/>
          <w:szCs w:val="16"/>
          <w:color w:val="auto"/>
        </w:rPr>
        <w:t>The Committee may, at any time and from time to time, alter, amend, suspend or terminate the Plan or any part thereof as it may deem proper and in the best interests of the Company, provided, however, that no such action shall affect or impair the rights under any option theretofore granted under the Plan, except that in the case of an Employee employed outside the United States (or such Employee's beneficiary) the Committee may vary the provisions of the Plan as it may deem appropriate to conform with local laws, practices and procedures. Further, unless the stockholders of the Company shall have first approved thereof, the total number of shares for which options may be exercised under the Plan shall not be increased, except as set forth below, and no amendment shall be made which shall allow an option price for offerings under the Plan to be less than 85% of the fair market value of the common stock of the Company on the date of grant of the options or 85% of the fair market value of the common stock of the Company on the date on which an option is exercised, if lower.</w:t>
      </w:r>
    </w:p>
    <w:p>
      <w:pPr>
        <w:spacing w:after="0" w:line="96" w:lineRule="exact"/>
        <w:rPr>
          <w:sz w:val="20"/>
          <w:szCs w:val="20"/>
          <w:color w:val="auto"/>
        </w:rPr>
      </w:pPr>
    </w:p>
    <w:p>
      <w:pPr>
        <w:ind w:right="2799"/>
        <w:spacing w:after="0" w:line="264" w:lineRule="auto"/>
        <w:rPr>
          <w:sz w:val="20"/>
          <w:szCs w:val="20"/>
          <w:color w:val="auto"/>
        </w:rPr>
      </w:pPr>
      <w:r>
        <w:rPr>
          <w:rFonts w:ascii="Courier New" w:cs="Courier New" w:eastAsia="Courier New" w:hAnsi="Courier New"/>
          <w:sz w:val="16"/>
          <w:szCs w:val="16"/>
          <w:color w:val="auto"/>
        </w:rPr>
        <w:t>Notwithstanding the foregoing, the board of directors of any subsidiary of the Company with approval of the Committee may adopt separate stock purchase plans with respect to Employees employed outside the United States with such provisions as the Committee may deem appropriate to conform with local laws, practices and procedures, and to permit exclusion of certain Employees from participation. All such plans shall be subject to the limitations on the amount of stock that may be issued under the Plan and, except to the extent otherwise provided in such plans, shall be subject to all of the provisions set forth herein.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B-2</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Offerings</w:t>
      </w:r>
    </w:p>
    <w:p>
      <w:pPr>
        <w:spacing w:after="0" w:line="195" w:lineRule="exact"/>
        <w:rPr>
          <w:sz w:val="20"/>
          <w:szCs w:val="20"/>
          <w:color w:val="auto"/>
        </w:rPr>
      </w:pPr>
    </w:p>
    <w:p>
      <w:pPr>
        <w:ind w:right="2799"/>
        <w:spacing w:after="0" w:line="273" w:lineRule="auto"/>
        <w:rPr>
          <w:sz w:val="20"/>
          <w:szCs w:val="20"/>
          <w:color w:val="auto"/>
        </w:rPr>
      </w:pPr>
      <w:r>
        <w:rPr>
          <w:rFonts w:ascii="Courier New" w:cs="Courier New" w:eastAsia="Courier New" w:hAnsi="Courier New"/>
          <w:sz w:val="16"/>
          <w:szCs w:val="16"/>
          <w:color w:val="auto"/>
        </w:rPr>
        <w:t>Each year during the term of the Plan, unless the Committee determines otherwise, Texas Instruments Incorporated will make one or more offerings in which options to purchase Texas Instruments common stock will be granted to all Employees of the Company then eligible to participate in the Plan. The Plan is intended to qualify as an employee stock purchase plan under Section 423 of the Code.</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Limitations on Grants</w:t>
      </w:r>
    </w:p>
    <w:p>
      <w:pPr>
        <w:sectPr>
          <w:pgSz w:w="11900" w:h="16845" w:orient="portrait"/>
          <w:cols w:equalWidth="0" w:num="1">
            <w:col w:w="10219"/>
          </w:cols>
          <w:pgMar w:left="240" w:top="112" w:right="1440" w:bottom="0" w:gutter="0" w:footer="0" w:header="0"/>
        </w:sectPr>
      </w:pPr>
    </w:p>
    <w:bookmarkStart w:id="21" w:name="page22"/>
    <w:bookmarkEnd w:id="21"/>
    <w:p>
      <w:pPr>
        <w:spacing w:after="0" w:line="123" w:lineRule="exact"/>
        <w:rPr>
          <w:sz w:val="20"/>
          <w:szCs w:val="20"/>
          <w:color w:val="auto"/>
        </w:rPr>
      </w:pPr>
    </w:p>
    <w:p>
      <w:pPr>
        <w:ind w:right="2799"/>
        <w:spacing w:after="0" w:line="273" w:lineRule="auto"/>
        <w:rPr>
          <w:sz w:val="20"/>
          <w:szCs w:val="20"/>
          <w:color w:val="auto"/>
        </w:rPr>
      </w:pPr>
      <w:r>
        <w:rPr>
          <w:rFonts w:ascii="Courier New" w:cs="Courier New" w:eastAsia="Courier New" w:hAnsi="Courier New"/>
          <w:sz w:val="16"/>
          <w:szCs w:val="16"/>
          <w:color w:val="auto"/>
        </w:rPr>
        <w:t>No more than 5,000,000 shares may be sold pursuant to options granted under the Plan, subject to adjustments as described below. Either authorized and unissued shares or issued shares heretofore or hereafter acquired by the Company may be made subject to option under the Plan. If for any reason any option under the Plan terminates in whole or in part, shares subject to such terminated option may be again subjected to an option under the Plan.</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Adjustments</w:t>
      </w:r>
    </w:p>
    <w:p>
      <w:pPr>
        <w:spacing w:after="0" w:line="195" w:lineRule="exact"/>
        <w:rPr>
          <w:sz w:val="20"/>
          <w:szCs w:val="20"/>
          <w:color w:val="auto"/>
        </w:rPr>
      </w:pPr>
    </w:p>
    <w:p>
      <w:pPr>
        <w:ind w:right="2699"/>
        <w:spacing w:after="0" w:line="256" w:lineRule="auto"/>
        <w:rPr>
          <w:sz w:val="20"/>
          <w:szCs w:val="20"/>
          <w:color w:val="auto"/>
        </w:rPr>
      </w:pPr>
      <w:r>
        <w:rPr>
          <w:rFonts w:ascii="Courier New" w:cs="Courier New" w:eastAsia="Courier New" w:hAnsi="Courier New"/>
          <w:sz w:val="16"/>
          <w:szCs w:val="16"/>
          <w:color w:val="auto"/>
        </w:rPr>
        <w:t>In the event that the Committee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which may be made the subject of options, (ii) the number and type of shares subject to outstanding options, and (iii) the grant, purchase or exercise price with respect to any option or, if deemed appropriate, make provision for a cash payment to the holder of an option, provided, however, that no such adjustment shall be authorized to the extent that such authority would cause the Plan to violate Section 423 of the Code.</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and Conditions of Options</w:t>
      </w:r>
    </w:p>
    <w:p>
      <w:pPr>
        <w:spacing w:after="0" w:line="195" w:lineRule="exact"/>
        <w:rPr>
          <w:sz w:val="20"/>
          <w:szCs w:val="20"/>
          <w:color w:val="auto"/>
        </w:rPr>
      </w:pPr>
    </w:p>
    <w:p>
      <w:pPr>
        <w:ind w:right="3579"/>
        <w:spacing w:after="0" w:line="373" w:lineRule="auto"/>
        <w:tabs>
          <w:tab w:leader="none" w:pos="39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options in each offering shall be granted on the date specified by the Committee.</w:t>
      </w:r>
    </w:p>
    <w:p>
      <w:pPr>
        <w:ind w:right="2699"/>
        <w:spacing w:after="0" w:line="263" w:lineRule="auto"/>
        <w:tabs>
          <w:tab w:leader="none" w:pos="39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price per share for each offering shall be determined by the Committee on or prior to the date of grant of the option which shall in no instance be less than 85% of fair market value of Texas Instruments common stock on the date the option is granted; provided that the Committee may also provide for an alternative, lower option price which may not be less than 85% of fair market value of Texas Instruments common stock on the date the option is exercised. The fair market value on the date on which an option is granted or exercised shall be determined by such methods or procedures as shall be established by the Committee prior to or on the date of grant of the option.</w:t>
      </w:r>
    </w:p>
    <w:p>
      <w:pPr>
        <w:spacing w:after="0" w:line="28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B-3</w:t>
      </w:r>
    </w:p>
    <w:p>
      <w:pPr>
        <w:spacing w:after="0" w:line="37" w:lineRule="exact"/>
        <w:rPr>
          <w:sz w:val="20"/>
          <w:szCs w:val="20"/>
          <w:color w:val="auto"/>
        </w:rPr>
      </w:pPr>
    </w:p>
    <w:p>
      <w:pPr>
        <w:ind w:right="2799"/>
        <w:spacing w:after="0" w:line="277" w:lineRule="auto"/>
        <w:tabs>
          <w:tab w:leader="none" w:pos="39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date of the options granted in each offering shall be determined by the Committee prior to or on the date of grant of the options but in any event shall be not more than 27 months after the date of grant of the options.</w:t>
      </w:r>
    </w:p>
    <w:p>
      <w:pPr>
        <w:spacing w:after="0" w:line="72" w:lineRule="exact"/>
        <w:rPr>
          <w:rFonts w:ascii="Courier New" w:cs="Courier New" w:eastAsia="Courier New" w:hAnsi="Courier New"/>
          <w:sz w:val="16"/>
          <w:szCs w:val="16"/>
          <w:color w:val="auto"/>
        </w:rPr>
      </w:pPr>
    </w:p>
    <w:p>
      <w:pPr>
        <w:ind w:right="2699"/>
        <w:spacing w:after="0" w:line="259" w:lineRule="auto"/>
        <w:tabs>
          <w:tab w:leader="none" w:pos="39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Employees to whom options are granted shall have the same rights and privileges. Each option shall entitle the Employee to purchase up to that number of shares which could be purchased at the option price (for this purpose, the price determined by the Committee as of the date of grant, without regard to any lower price that may become applicable at exercise) with an amount equal to such percentage of the Employee's Compensation (as defined below) as the Committee shall determine for each offering (but not to exceed the amount specified in section 423(b) of the Code). Each Employee may elect to participate for less than the maximum number of shares which the Employee is entitled to purchase under the Employee's option. The Committee shall determine prior to or on the date of grant of the options the consequences of an Employee's election to participate for less than the maximum number of shares which the Employee is entitled to purchase.</w:t>
      </w:r>
    </w:p>
    <w:p>
      <w:pPr>
        <w:spacing w:after="0" w:line="88"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of each option shall consist of the following three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periods:</w:t>
      </w:r>
    </w:p>
    <w:p>
      <w:pPr>
        <w:spacing w:after="0" w:line="165" w:lineRule="exact"/>
        <w:rPr>
          <w:sz w:val="20"/>
          <w:szCs w:val="20"/>
          <w:color w:val="auto"/>
        </w:rPr>
      </w:pPr>
    </w:p>
    <w:p>
      <w:pPr>
        <w:ind w:right="3079" w:firstLine="587"/>
        <w:spacing w:after="0" w:line="311" w:lineRule="auto"/>
        <w:tabs>
          <w:tab w:leader="none" w:pos="107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Offering Period during which each eligible Employee shall determine whether or not and to what extent to participate by authorizing payroll deductions;</w:t>
      </w:r>
    </w:p>
    <w:p>
      <w:pPr>
        <w:spacing w:after="0" w:line="47" w:lineRule="exact"/>
        <w:rPr>
          <w:rFonts w:ascii="Courier New" w:cs="Courier New" w:eastAsia="Courier New" w:hAnsi="Courier New"/>
          <w:sz w:val="16"/>
          <w:szCs w:val="16"/>
          <w:color w:val="auto"/>
        </w:rPr>
      </w:pPr>
    </w:p>
    <w:p>
      <w:pPr>
        <w:ind w:right="2799" w:firstLine="684"/>
        <w:spacing w:after="0" w:line="373" w:lineRule="auto"/>
        <w:tabs>
          <w:tab w:leader="none" w:pos="117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Payroll Deduction Period during which payroll deductions shall be made and credited to each Employee's payroll deduction account; and</w:t>
      </w:r>
    </w:p>
    <w:p>
      <w:pPr>
        <w:ind w:right="3279" w:firstLine="684"/>
        <w:spacing w:after="0" w:line="373" w:lineRule="auto"/>
        <w:tabs>
          <w:tab w:leader="none" w:pos="117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Exercise Period during which participating Employees may exercise their options, in whole or in part.</w:t>
      </w:r>
    </w:p>
    <w:p>
      <w:pPr>
        <w:ind w:right="2879"/>
        <w:spacing w:after="0" w:line="290" w:lineRule="auto"/>
        <w:rPr>
          <w:sz w:val="20"/>
          <w:szCs w:val="20"/>
          <w:color w:val="auto"/>
        </w:rPr>
      </w:pPr>
      <w:r>
        <w:rPr>
          <w:rFonts w:ascii="Courier New" w:cs="Courier New" w:eastAsia="Courier New" w:hAnsi="Courier New"/>
          <w:sz w:val="16"/>
          <w:szCs w:val="16"/>
          <w:color w:val="auto"/>
        </w:rPr>
        <w:t>The beginning and ending dates of each Offering Period, Payroll Deduction Period and Exercise Period shall be determined by the Committee, provided that the Exercise Period shall end no more than 27 months after the date of grant of the option.</w:t>
      </w:r>
    </w:p>
    <w:p>
      <w:pPr>
        <w:spacing w:after="0" w:line="64" w:lineRule="exact"/>
        <w:rPr>
          <w:sz w:val="20"/>
          <w:szCs w:val="20"/>
          <w:color w:val="auto"/>
        </w:rPr>
      </w:pPr>
    </w:p>
    <w:p>
      <w:pPr>
        <w:ind w:right="2699"/>
        <w:spacing w:after="0" w:line="273" w:lineRule="auto"/>
        <w:tabs>
          <w:tab w:leader="none" w:pos="39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eligible Employee who desires to participate in an offering shall elect to do so by completing and delivering by the end of the Offering Period to a person designated by the Treasurer of the Company a payroll deduction authorization in the form (including without limitation, telephonic and electronic transmission, utilization of voice response systems and computer entry) prescribed by the Committee authorizing payroll deductions during the</w:t>
      </w:r>
    </w:p>
    <w:p>
      <w:pPr>
        <w:sectPr>
          <w:pgSz w:w="11900" w:h="16961" w:orient="portrait"/>
          <w:cols w:equalWidth="0" w:num="1">
            <w:col w:w="10219"/>
          </w:cols>
          <w:pgMar w:left="240" w:top="300" w:right="1440" w:bottom="0" w:gutter="0" w:footer="0" w:header="0"/>
        </w:sectPr>
      </w:pPr>
    </w:p>
    <w:bookmarkStart w:id="22" w:name="page23"/>
    <w:bookmarkEnd w:id="22"/>
    <w:p>
      <w:pPr>
        <w:spacing w:after="0" w:line="117" w:lineRule="exact"/>
        <w:rPr>
          <w:sz w:val="20"/>
          <w:szCs w:val="20"/>
          <w:color w:val="auto"/>
        </w:rPr>
      </w:pPr>
    </w:p>
    <w:p>
      <w:pPr>
        <w:ind w:right="2699"/>
        <w:spacing w:after="0" w:line="266" w:lineRule="auto"/>
        <w:rPr>
          <w:sz w:val="20"/>
          <w:szCs w:val="20"/>
          <w:color w:val="auto"/>
        </w:rPr>
      </w:pPr>
      <w:r>
        <w:rPr>
          <w:rFonts w:ascii="Courier New" w:cs="Courier New" w:eastAsia="Courier New" w:hAnsi="Courier New"/>
          <w:sz w:val="16"/>
          <w:szCs w:val="16"/>
          <w:color w:val="auto"/>
        </w:rPr>
        <w:t>Payroll Deduction Period which shall aggregate no more than the amount required to purchase at the option price (for this purpose, the price determined by the Committee as of the date of grant, without regard to any lower price that may become applicable at exercise) the maximum number of full or fractional shares covered by the Employee's option. The Committee may approve any brokerage firm or firms as a "designated" broker and may require that all elections be delivered to the designated broker rather than a person designated by the Treasurer of the Company.</w:t>
      </w:r>
    </w:p>
    <w:p>
      <w:pPr>
        <w:spacing w:after="0" w:line="200" w:lineRule="exact"/>
        <w:rPr>
          <w:sz w:val="20"/>
          <w:szCs w:val="20"/>
          <w:color w:val="auto"/>
        </w:rPr>
      </w:pPr>
    </w:p>
    <w:p>
      <w:pPr>
        <w:spacing w:after="0" w:line="26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B-4</w:t>
      </w:r>
    </w:p>
    <w:p>
      <w:pPr>
        <w:spacing w:after="0" w:line="195" w:lineRule="exact"/>
        <w:rPr>
          <w:sz w:val="20"/>
          <w:szCs w:val="20"/>
          <w:color w:val="auto"/>
        </w:rPr>
      </w:pPr>
    </w:p>
    <w:p>
      <w:pPr>
        <w:ind w:right="3859"/>
        <w:spacing w:after="0" w:line="373" w:lineRule="auto"/>
        <w:tabs>
          <w:tab w:leader="none" w:pos="39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maintain payroll deduction accounts for all participating Employees.</w:t>
      </w:r>
    </w:p>
    <w:p>
      <w:pPr>
        <w:ind w:right="2799"/>
        <w:spacing w:after="0" w:line="258" w:lineRule="auto"/>
        <w:tabs>
          <w:tab w:leader="none" w:pos="39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after the expiration of the Payroll Deduction Period and before the expiration of the Exercise Period, a participating Employee may exercise his or her option in whole or in part by delivering notice of exercise to a person designated by the Treasurer of the Company in such form and manner (including without limitation, telephonic and electronic transmission, utilization of voice response systems and computer entry) as the Committee shall prescribe. If a participating Employee exercises his or her option in part, the Employee's option shall thereupon terminate and become void to the extent of the part not exercised and the balance of the Employee's payroll deduction account shall be paid to the Employee in cash. The Committee may approve any brokerage firm or firms as a "designated" broker and may require that all exercises and notices of elections not to exercise be delivered to the designated broker rather than a person designated by the Treasurer of the Company.</w:t>
      </w:r>
    </w:p>
    <w:p>
      <w:pPr>
        <w:spacing w:after="0" w:line="91" w:lineRule="exact"/>
        <w:rPr>
          <w:sz w:val="20"/>
          <w:szCs w:val="20"/>
          <w:color w:val="auto"/>
        </w:rPr>
      </w:pPr>
    </w:p>
    <w:p>
      <w:pPr>
        <w:ind w:right="2699"/>
        <w:spacing w:after="0" w:line="264" w:lineRule="auto"/>
        <w:rPr>
          <w:sz w:val="20"/>
          <w:szCs w:val="20"/>
          <w:color w:val="auto"/>
        </w:rPr>
      </w:pPr>
      <w:r>
        <w:rPr>
          <w:rFonts w:ascii="Courier New" w:cs="Courier New" w:eastAsia="Courier New" w:hAnsi="Courier New"/>
          <w:sz w:val="16"/>
          <w:szCs w:val="16"/>
          <w:color w:val="auto"/>
        </w:rPr>
        <w:t>Unless on or prior to the last day of the Exercise Period a participating Employee has exercised his or her option or has given notice of election not to exercise the option in such form and manner (including without limitation, telephonic and electronic transmission, utilization of voice response systems and computer entry) as the Committee may prescribe to a person designated by the Treasurer of the Company, such Employee shall be deemed to have exercised the option in full on the last day of the Exercise Period. The balance in the payroll deduction account of any participating Employee whose option has been exercised shall be paid to the Employee in cash.</w:t>
      </w:r>
    </w:p>
    <w:p>
      <w:pPr>
        <w:spacing w:after="0" w:line="85" w:lineRule="exact"/>
        <w:rPr>
          <w:sz w:val="20"/>
          <w:szCs w:val="20"/>
          <w:color w:val="auto"/>
        </w:rPr>
      </w:pPr>
    </w:p>
    <w:p>
      <w:pPr>
        <w:ind w:right="2799"/>
        <w:spacing w:after="0" w:line="290" w:lineRule="auto"/>
        <w:tabs>
          <w:tab w:leader="none" w:pos="39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exercise of an option, the shares shall be paid for in full by transfer of the purchase price from the Employee's payroll deduction account to the account of Texas Instruments Incorporated, and any balance in the Employee's payroll deduction account shall be paid to the Employee in cash.</w:t>
      </w:r>
    </w:p>
    <w:p>
      <w:pPr>
        <w:spacing w:after="0" w:line="63" w:lineRule="exact"/>
        <w:rPr>
          <w:rFonts w:ascii="Courier New" w:cs="Courier New" w:eastAsia="Courier New" w:hAnsi="Courier New"/>
          <w:sz w:val="16"/>
          <w:szCs w:val="16"/>
          <w:color w:val="auto"/>
        </w:rPr>
      </w:pPr>
    </w:p>
    <w:p>
      <w:pPr>
        <w:ind w:right="2799"/>
        <w:spacing w:after="0" w:line="262" w:lineRule="auto"/>
        <w:tabs>
          <w:tab w:leader="none" w:pos="48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participating Employee may at any time prior to the expiration of the Payroll Deduction Period cancel but not reduce his or her payroll deduction authorization and simultaneously request that all but not a part of the balance in the Employee's account be paid to him or her. Any participating Employee may at any time during the Exercise Period without exercising any part of his or her option withdraw all but not a portion of the balance in his or her account. Such cancellation and withdrawal during the Payroll Deduction Period or withdrawal during the Exercise Period shall constitute withdrawal from the offering and the Employee's option shall thereupon terminate and become void.</w:t>
      </w:r>
    </w:p>
    <w:p>
      <w:pPr>
        <w:spacing w:after="0" w:line="88" w:lineRule="exact"/>
        <w:rPr>
          <w:rFonts w:ascii="Courier New" w:cs="Courier New" w:eastAsia="Courier New" w:hAnsi="Courier New"/>
          <w:sz w:val="16"/>
          <w:szCs w:val="16"/>
          <w:color w:val="auto"/>
        </w:rPr>
      </w:pPr>
    </w:p>
    <w:p>
      <w:pPr>
        <w:ind w:right="2599"/>
        <w:spacing w:after="0" w:line="311" w:lineRule="auto"/>
        <w:tabs>
          <w:tab w:leader="none" w:pos="48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determine on or prior to the date of grant of options the consequences of the termination of employment of a participating Employee for any reason, including death, during the term of an option.</w:t>
      </w:r>
    </w:p>
    <w:p>
      <w:pPr>
        <w:spacing w:after="0" w:line="47" w:lineRule="exact"/>
        <w:rPr>
          <w:rFonts w:ascii="Courier New" w:cs="Courier New" w:eastAsia="Courier New" w:hAnsi="Courier New"/>
          <w:sz w:val="16"/>
          <w:szCs w:val="16"/>
          <w:color w:val="auto"/>
        </w:rPr>
      </w:pPr>
    </w:p>
    <w:p>
      <w:pPr>
        <w:ind w:right="2699"/>
        <w:spacing w:after="0" w:line="280" w:lineRule="auto"/>
        <w:tabs>
          <w:tab w:leader="none" w:pos="48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Employee will have none of the rights and privileges of a stockholder of the Company with respect to shares of common stock subject to an option under the Plan until certificates representing such shares of common stock have been transferred or issued to the Employee or to a designated broker for the Employee's account on the books of the Company.</w:t>
      </w:r>
    </w:p>
    <w:p>
      <w:pPr>
        <w:spacing w:after="0" w:line="7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B-5</w:t>
      </w:r>
    </w:p>
    <w:p>
      <w:pPr>
        <w:spacing w:after="0" w:line="195" w:lineRule="exact"/>
        <w:rPr>
          <w:sz w:val="20"/>
          <w:szCs w:val="20"/>
          <w:color w:val="auto"/>
        </w:rPr>
      </w:pPr>
    </w:p>
    <w:p>
      <w:pPr>
        <w:ind w:right="2879"/>
        <w:spacing w:after="0" w:line="290" w:lineRule="auto"/>
        <w:tabs>
          <w:tab w:leader="none" w:pos="48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may not be transferred except by will or the laws of descent and distribution and, during the lifetime of the Employee to whom granted, may be exercised only by the Employee, or in the case of incompetency by the Employee's duly appointed representative.</w:t>
      </w:r>
    </w:p>
    <w:p>
      <w:pPr>
        <w:spacing w:after="0" w:line="63" w:lineRule="exact"/>
        <w:rPr>
          <w:rFonts w:ascii="Courier New" w:cs="Courier New" w:eastAsia="Courier New" w:hAnsi="Courier New"/>
          <w:sz w:val="16"/>
          <w:szCs w:val="16"/>
          <w:color w:val="auto"/>
        </w:rPr>
      </w:pPr>
    </w:p>
    <w:p>
      <w:pPr>
        <w:ind w:right="2979"/>
        <w:spacing w:after="0" w:line="280" w:lineRule="auto"/>
        <w:tabs>
          <w:tab w:leader="none" w:pos="48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granted shall be evidenced by an instrument in such form (including without limitation, telephonic and electronic transmission, utilization of voice response systems and computer entry) as the Committee shall approve which shall be dated the date of grant and shall comply with and be subject to the terms and conditions of the Plan.</w:t>
      </w:r>
    </w:p>
    <w:p>
      <w:pPr>
        <w:spacing w:after="0" w:line="70" w:lineRule="exact"/>
        <w:rPr>
          <w:rFonts w:ascii="Courier New" w:cs="Courier New" w:eastAsia="Courier New" w:hAnsi="Courier New"/>
          <w:sz w:val="16"/>
          <w:szCs w:val="16"/>
          <w:color w:val="auto"/>
        </w:rPr>
      </w:pPr>
    </w:p>
    <w:p>
      <w:pPr>
        <w:ind w:right="2799"/>
        <w:spacing w:after="0" w:line="266" w:lineRule="auto"/>
        <w:tabs>
          <w:tab w:leader="none" w:pos="48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Employee shall be granted an option hereunder if such Employee, immediately after the option is granted, owns stock possessing five percent (5%) or more of the total combined voting power or value of all classes of stock of the Company, computed in accordance with Section 423(b)(3) of the Code. No Employee shall be granted an option which permits the Employee's rights to purchase common stock under all employee stock purchase plans of the Company to accrue at a rate which exceeds $25,000 (or such other maximum as may be prescribed from time to time by the Code) of fair market value of</w:t>
      </w:r>
    </w:p>
    <w:p>
      <w:pPr>
        <w:sectPr>
          <w:pgSz w:w="11900" w:h="16955" w:orient="portrait"/>
          <w:cols w:equalWidth="0" w:num="1">
            <w:col w:w="10219"/>
          </w:cols>
          <w:pgMar w:left="240" w:top="112" w:right="1440" w:bottom="0" w:gutter="0" w:footer="0" w:header="0"/>
        </w:sectPr>
      </w:pPr>
    </w:p>
    <w:bookmarkStart w:id="23" w:name="page24"/>
    <w:bookmarkEnd w:id="23"/>
    <w:p>
      <w:pPr>
        <w:spacing w:after="0" w:line="7" w:lineRule="exact"/>
        <w:rPr>
          <w:sz w:val="20"/>
          <w:szCs w:val="20"/>
          <w:color w:val="auto"/>
        </w:rPr>
      </w:pPr>
    </w:p>
    <w:p>
      <w:pPr>
        <w:ind w:right="2879"/>
        <w:spacing w:after="0" w:line="311" w:lineRule="auto"/>
        <w:rPr>
          <w:sz w:val="20"/>
          <w:szCs w:val="20"/>
          <w:color w:val="auto"/>
        </w:rPr>
      </w:pPr>
      <w:r>
        <w:rPr>
          <w:rFonts w:ascii="Courier New" w:cs="Courier New" w:eastAsia="Courier New" w:hAnsi="Courier New"/>
          <w:sz w:val="16"/>
          <w:szCs w:val="16"/>
          <w:color w:val="auto"/>
        </w:rPr>
        <w:t>such common stock (determined at the time such option is granted) for each calendar year in which such option is outstanding at any time in accordance with the provisions of Section 423(b)(8) of the Code.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Funds</w:t>
      </w:r>
    </w:p>
    <w:p>
      <w:pPr>
        <w:spacing w:after="0" w:line="195" w:lineRule="exact"/>
        <w:rPr>
          <w:sz w:val="20"/>
          <w:szCs w:val="20"/>
          <w:color w:val="auto"/>
        </w:rPr>
      </w:pPr>
    </w:p>
    <w:p>
      <w:pPr>
        <w:ind w:right="2799"/>
        <w:spacing w:after="0" w:line="373" w:lineRule="auto"/>
        <w:rPr>
          <w:sz w:val="20"/>
          <w:szCs w:val="20"/>
          <w:color w:val="auto"/>
        </w:rPr>
      </w:pPr>
      <w:r>
        <w:rPr>
          <w:rFonts w:ascii="Courier New" w:cs="Courier New" w:eastAsia="Courier New" w:hAnsi="Courier New"/>
          <w:sz w:val="16"/>
          <w:szCs w:val="16"/>
          <w:color w:val="auto"/>
        </w:rPr>
        <w:t>All amounts held by the Company in payroll deduction accounts under the Plan may be used for any corporate purpose of the Company.</w:t>
      </w:r>
    </w:p>
    <w:p>
      <w:pPr>
        <w:spacing w:after="0"/>
        <w:rPr>
          <w:sz w:val="20"/>
          <w:szCs w:val="20"/>
          <w:color w:val="auto"/>
        </w:rPr>
      </w:pPr>
      <w:r>
        <w:rPr>
          <w:rFonts w:ascii="Courier New" w:cs="Courier New" w:eastAsia="Courier New" w:hAnsi="Courier New"/>
          <w:sz w:val="16"/>
          <w:szCs w:val="16"/>
          <w:color w:val="auto"/>
        </w:rPr>
        <w:t>Governmental Regulations</w:t>
      </w:r>
    </w:p>
    <w:p>
      <w:pPr>
        <w:spacing w:after="0" w:line="195" w:lineRule="exact"/>
        <w:rPr>
          <w:sz w:val="20"/>
          <w:szCs w:val="20"/>
          <w:color w:val="auto"/>
        </w:rPr>
      </w:pPr>
    </w:p>
    <w:p>
      <w:pPr>
        <w:ind w:right="2699"/>
        <w:spacing w:after="0" w:line="290" w:lineRule="auto"/>
        <w:rPr>
          <w:sz w:val="20"/>
          <w:szCs w:val="20"/>
          <w:color w:val="auto"/>
        </w:rPr>
      </w:pPr>
      <w:r>
        <w:rPr>
          <w:rFonts w:ascii="Courier New" w:cs="Courier New" w:eastAsia="Courier New" w:hAnsi="Courier New"/>
          <w:sz w:val="16"/>
          <w:szCs w:val="16"/>
          <w:color w:val="auto"/>
        </w:rPr>
        <w:t>The obligation of Texas Instruments Incorporated to sell and deliver common stock under the Plan is subject to applicable laws and to the approval of any governmental authority required in connection with the authorization, issuance, sale or delivery of such common stock.</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Plan</w:t>
      </w:r>
    </w:p>
    <w:p>
      <w:pPr>
        <w:spacing w:after="0" w:line="195" w:lineRule="exact"/>
        <w:rPr>
          <w:sz w:val="20"/>
          <w:szCs w:val="20"/>
          <w:color w:val="auto"/>
        </w:rPr>
      </w:pPr>
    </w:p>
    <w:p>
      <w:pPr>
        <w:ind w:right="2699"/>
        <w:spacing w:after="0" w:line="266" w:lineRule="auto"/>
        <w:rPr>
          <w:sz w:val="20"/>
          <w:szCs w:val="20"/>
          <w:color w:val="auto"/>
        </w:rPr>
      </w:pPr>
      <w:r>
        <w:rPr>
          <w:rFonts w:ascii="Courier New" w:cs="Courier New" w:eastAsia="Courier New" w:hAnsi="Courier New"/>
          <w:sz w:val="16"/>
          <w:szCs w:val="16"/>
          <w:color w:val="auto"/>
        </w:rPr>
        <w:t>No offering shall be made hereunder after April 16, 2002. Further, no offering hereunder shall be made after any day upon which participating Employees elect to participate for a number of shares equal to or greater than the number of shares remaining available for purchase. If the number of shares for which Employees elect to participate shall be greater than the shares remaining available, the available shares shall at the end of the Offering Period be allocated among such participating Employees pro rata on the basis of the number of shares for which each has elected to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B-6</w:t>
      </w:r>
    </w:p>
    <w:p>
      <w:pPr>
        <w:spacing w:after="0" w:line="383"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ANNUAL MEETING OF STOCKHOLDERS</w:t>
      </w:r>
    </w:p>
    <w:p>
      <w:pPr>
        <w:spacing w:after="0" w:line="3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April 17, 1997</w:t>
      </w:r>
    </w:p>
    <w:p>
      <w:pPr>
        <w:spacing w:after="0" w:line="353" w:lineRule="exact"/>
        <w:rPr>
          <w:sz w:val="20"/>
          <w:szCs w:val="20"/>
          <w:color w:val="auto"/>
        </w:rPr>
      </w:pPr>
    </w:p>
    <w:p>
      <w:pPr>
        <w:jc w:val="right"/>
        <w:ind w:right="2699"/>
        <w:spacing w:after="0"/>
        <w:rPr>
          <w:sz w:val="20"/>
          <w:szCs w:val="20"/>
          <w:color w:val="auto"/>
        </w:rPr>
      </w:pPr>
      <w:r>
        <w:rPr>
          <w:rFonts w:ascii="Courier New" w:cs="Courier New" w:eastAsia="Courier New" w:hAnsi="Courier New"/>
          <w:sz w:val="16"/>
          <w:szCs w:val="16"/>
          <w:color w:val="auto"/>
        </w:rPr>
        <w:t>March 7, 1997</w:t>
      </w:r>
    </w:p>
    <w:p>
      <w:pPr>
        <w:spacing w:after="0" w:line="383"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TO:</w:t>
        <w:tab/>
        <w:t>Participants in TI's Universal Profit Sharing Plan</w:t>
      </w:r>
    </w:p>
    <w:p>
      <w:pPr>
        <w:spacing w:after="0" w:line="195" w:lineRule="exact"/>
        <w:rPr>
          <w:sz w:val="20"/>
          <w:szCs w:val="20"/>
          <w:color w:val="auto"/>
        </w:rPr>
      </w:pPr>
    </w:p>
    <w:p>
      <w:pPr>
        <w:ind w:right="2699"/>
        <w:spacing w:after="0" w:line="290" w:lineRule="auto"/>
        <w:rPr>
          <w:sz w:val="20"/>
          <w:szCs w:val="20"/>
          <w:color w:val="auto"/>
        </w:rPr>
      </w:pPr>
      <w:r>
        <w:rPr>
          <w:rFonts w:ascii="Courier New" w:cs="Courier New" w:eastAsia="Courier New" w:hAnsi="Courier New"/>
          <w:sz w:val="16"/>
          <w:szCs w:val="16"/>
          <w:color w:val="auto"/>
        </w:rPr>
        <w:t>The accompanying Notice of Annual Meeting of Stockholders and Proxy Statement and Instructions to Trustee on Voting relate to shares of common stock of Texas Instruments Incorporated held by the Trustee for your profit sharing accounts.</w:t>
      </w:r>
    </w:p>
    <w:p>
      <w:pPr>
        <w:spacing w:after="0" w:line="64" w:lineRule="exact"/>
        <w:rPr>
          <w:sz w:val="20"/>
          <w:szCs w:val="20"/>
          <w:color w:val="auto"/>
        </w:rPr>
      </w:pPr>
    </w:p>
    <w:p>
      <w:pPr>
        <w:ind w:right="2699"/>
        <w:spacing w:after="0" w:line="268" w:lineRule="auto"/>
        <w:rPr>
          <w:sz w:val="20"/>
          <w:szCs w:val="20"/>
          <w:color w:val="auto"/>
        </w:rPr>
      </w:pPr>
      <w:r>
        <w:rPr>
          <w:rFonts w:ascii="Courier New" w:cs="Courier New" w:eastAsia="Courier New" w:hAnsi="Courier New"/>
          <w:sz w:val="16"/>
          <w:szCs w:val="16"/>
          <w:color w:val="auto"/>
        </w:rPr>
        <w:t>As noted in the Proxy Statement, the TI board of directors has designated the following nominees for election to the board for the ensuing year: JAMES R.</w:t>
      </w:r>
    </w:p>
    <w:p>
      <w:pPr>
        <w:spacing w:after="0" w:line="1" w:lineRule="exact"/>
        <w:rPr>
          <w:sz w:val="20"/>
          <w:szCs w:val="20"/>
          <w:color w:val="auto"/>
        </w:rPr>
      </w:pPr>
    </w:p>
    <w:p>
      <w:pPr>
        <w:ind w:right="2699"/>
        <w:spacing w:after="0" w:line="265" w:lineRule="auto"/>
        <w:rPr>
          <w:sz w:val="20"/>
          <w:szCs w:val="20"/>
          <w:color w:val="auto"/>
        </w:rPr>
      </w:pPr>
      <w:r>
        <w:rPr>
          <w:rFonts w:ascii="Courier New" w:cs="Courier New" w:eastAsia="Courier New" w:hAnsi="Courier New"/>
          <w:sz w:val="16"/>
          <w:szCs w:val="16"/>
          <w:color w:val="auto"/>
        </w:rPr>
        <w:t>ADAMS, DAVID L. BOREN, JAMES B. BUSEY IV, THOMAS J. ENGIBOUS, GERALD D. FRONTERHOUSE, DAVID R. GOODE, GLORIA M. SHATTO, WILLIAM P. WEBER and CLAYTON K. YEUTTER. Biographies of the nominees appear in the Proxy Statement. In addition, the two board proposals set forth in the Proxy Statement are expected to be presented at the annual meeting. The board of directors of TI recommends a vote FOR the election of directors and the two board proposals.</w:t>
      </w:r>
    </w:p>
    <w:p>
      <w:pPr>
        <w:spacing w:after="0" w:line="85" w:lineRule="exact"/>
        <w:rPr>
          <w:sz w:val="20"/>
          <w:szCs w:val="20"/>
          <w:color w:val="auto"/>
        </w:rPr>
      </w:pPr>
    </w:p>
    <w:p>
      <w:pPr>
        <w:ind w:right="2799"/>
        <w:spacing w:after="0" w:line="266" w:lineRule="auto"/>
        <w:rPr>
          <w:sz w:val="20"/>
          <w:szCs w:val="20"/>
          <w:color w:val="auto"/>
        </w:rPr>
      </w:pPr>
      <w:r>
        <w:rPr>
          <w:rFonts w:ascii="Courier New" w:cs="Courier New" w:eastAsia="Courier New" w:hAnsi="Courier New"/>
          <w:sz w:val="16"/>
          <w:szCs w:val="16"/>
          <w:color w:val="auto"/>
        </w:rPr>
        <w:t>The Trustee is required to vote the whole shares held for each of your accounts (and whole and fractional shares held for Tax Credit Employee Stock Ownership Accounts) in accordance with your instructions. If you wish to instruct the Trustee on voting of whole shares held for your accounts (and whole and fractional shares held for Tax Credit Employee Stock Ownership Accounts), you should complete and sign the "Instructions to Trustee on Voting" form enclosed and return it in the addressed, postage-free envelope by April 14, 1997.</w:t>
      </w:r>
    </w:p>
    <w:p>
      <w:pPr>
        <w:spacing w:after="0" w:line="84" w:lineRule="exact"/>
        <w:rPr>
          <w:sz w:val="20"/>
          <w:szCs w:val="20"/>
          <w:color w:val="auto"/>
        </w:rPr>
      </w:pPr>
    </w:p>
    <w:p>
      <w:pPr>
        <w:ind w:right="2699"/>
        <w:spacing w:after="0" w:line="261" w:lineRule="auto"/>
        <w:rPr>
          <w:sz w:val="20"/>
          <w:szCs w:val="20"/>
          <w:color w:val="auto"/>
        </w:rPr>
      </w:pPr>
      <w:r>
        <w:rPr>
          <w:rFonts w:ascii="Courier New" w:cs="Courier New" w:eastAsia="Courier New" w:hAnsi="Courier New"/>
          <w:sz w:val="16"/>
          <w:szCs w:val="16"/>
          <w:color w:val="auto"/>
        </w:rPr>
        <w:t>In the event that you do not instruct the Trustee on voting the whole shares held for your accounts (except Tax Credit Employee Stock Ownership Account shares) by April 14, 1997 in the manner provided in this letter, the Trustee will vote such shares in accordance with the vote of the majority of the shares for which the Trustee receives voting instructions from other participants. Fractional shares and unallocated shares held for accounts other than Tax Credit Employee Stock Ownership Accounts will be voted in the same manner. The Trustee will vote the shares held for each Tax Credit Employee Stock Ownership Account (generally 4 to 32 whole shares per account) as instructed by participants by April 14, 1997 or as required by law or otherwise where no instructions are received.</w:t>
      </w:r>
    </w:p>
    <w:p>
      <w:pPr>
        <w:spacing w:after="0" w:line="87" w:lineRule="exact"/>
        <w:rPr>
          <w:sz w:val="20"/>
          <w:szCs w:val="20"/>
          <w:color w:val="auto"/>
        </w:rPr>
      </w:pPr>
    </w:p>
    <w:p>
      <w:pPr>
        <w:ind w:right="2879"/>
        <w:spacing w:after="0" w:line="311" w:lineRule="auto"/>
        <w:rPr>
          <w:sz w:val="20"/>
          <w:szCs w:val="20"/>
          <w:color w:val="auto"/>
        </w:rPr>
      </w:pPr>
      <w:r>
        <w:rPr>
          <w:rFonts w:ascii="Courier New" w:cs="Courier New" w:eastAsia="Courier New" w:hAnsi="Courier New"/>
          <w:sz w:val="16"/>
          <w:szCs w:val="16"/>
          <w:color w:val="auto"/>
        </w:rPr>
        <w:t>NOTE: If you own TI shares in your own name, a Proxy for those shares will be sent to you in a separate package. Please sign and date the Proxy, if applicable, and return it in the envelope provided.</w:t>
      </w:r>
    </w:p>
    <w:p>
      <w:pPr>
        <w:sectPr>
          <w:pgSz w:w="11900" w:h="16845" w:orient="portrait"/>
          <w:cols w:equalWidth="0" w:num="1">
            <w:col w:w="10219"/>
          </w:cols>
          <w:pgMar w:left="240" w:top="112" w:right="1440" w:bottom="0" w:gutter="0" w:footer="0" w:header="0"/>
        </w:sectPr>
      </w:pPr>
    </w:p>
    <w:p>
      <w:pPr>
        <w:spacing w:after="0" w:line="200" w:lineRule="exact"/>
        <w:rPr>
          <w:sz w:val="20"/>
          <w:szCs w:val="20"/>
          <w:color w:val="auto"/>
        </w:rPr>
      </w:pPr>
    </w:p>
    <w:p>
      <w:pPr>
        <w:spacing w:after="0" w:line="223"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 CHUCK NIELSON</w:t>
      </w:r>
    </w:p>
    <w:p>
      <w:pPr>
        <w:sectPr>
          <w:pgSz w:w="11900" w:h="16845" w:orient="portrait"/>
          <w:cols w:equalWidth="0" w:num="1">
            <w:col w:w="10219"/>
          </w:cols>
          <w:pgMar w:left="240" w:top="112" w:right="1440" w:bottom="0" w:gutter="0" w:footer="0" w:header="0"/>
          <w:type w:val="continuous"/>
        </w:sectPr>
      </w:pPr>
    </w:p>
    <w:bookmarkStart w:id="24" w:name="page25"/>
    <w:bookmarkEnd w:id="24"/>
    <w:p>
      <w:pPr>
        <w:spacing w:after="0" w:line="200"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3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Chuck Nielson</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Vice President, Human Resources</w:t>
      </w:r>
    </w:p>
    <w:p>
      <w:pPr>
        <w:sectPr>
          <w:pgSz w:w="11900" w:h="17038" w:orient="portrait"/>
          <w:cols w:equalWidth="0" w:num="1">
            <w:col w:w="10219"/>
          </w:cols>
          <w:pgMar w:left="240" w:top="112" w:right="1440" w:bottom="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w:t>
      </w:r>
    </w:p>
    <w:p>
      <w:pPr>
        <w:spacing w:after="0" w:line="200" w:lineRule="exact"/>
        <w:rPr>
          <w:sz w:val="20"/>
          <w:szCs w:val="20"/>
          <w:color w:val="auto"/>
        </w:rPr>
      </w:pPr>
    </w:p>
    <w:p>
      <w:pPr>
        <w:sectPr>
          <w:pgSz w:w="11900" w:h="17038" w:orient="portrait"/>
          <w:cols w:equalWidth="0" w:num="2">
            <w:col w:w="6320" w:space="720"/>
            <w:col w:w="3179"/>
          </w:cols>
          <w:pgMar w:left="240" w:top="112" w:right="1440" w:bottom="0" w:gutter="0" w:footer="0" w:header="0"/>
          <w:type w:val="continuous"/>
        </w:sectPr>
      </w:pPr>
    </w:p>
    <w:p>
      <w:pPr>
        <w:spacing w:after="0" w:line="371"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PROXY FOR ANNUAL MEETING TO BE HELD APRIL 17, 1997</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ectPr>
          <w:pgSz w:w="11900" w:h="17038" w:orient="portrait"/>
          <w:cols w:equalWidth="0" w:num="1">
            <w:col w:w="10219"/>
          </w:cols>
          <w:pgMar w:left="240" w:top="112" w:right="1440" w:bottom="0" w:gutter="0" w:footer="0" w:header="0"/>
          <w:type w:val="continuous"/>
        </w:sectPr>
      </w:pPr>
    </w:p>
    <w:p>
      <w:pPr>
        <w:spacing w:after="0" w:line="383" w:lineRule="exact"/>
        <w:rPr>
          <w:sz w:val="20"/>
          <w:szCs w:val="20"/>
          <w:color w:val="auto"/>
        </w:rPr>
      </w:pPr>
    </w:p>
    <w:p>
      <w:pPr>
        <w:ind w:right="2599"/>
        <w:spacing w:after="0" w:line="264" w:lineRule="auto"/>
        <w:rPr>
          <w:sz w:val="20"/>
          <w:szCs w:val="20"/>
          <w:color w:val="auto"/>
        </w:rPr>
      </w:pPr>
      <w:r>
        <w:rPr>
          <w:rFonts w:ascii="Courier New" w:cs="Courier New" w:eastAsia="Courier New" w:hAnsi="Courier New"/>
          <w:sz w:val="16"/>
          <w:szCs w:val="16"/>
          <w:color w:val="auto"/>
        </w:rPr>
        <w:t>The undersigned hereby appoints JAMES R. ADAMS, JAMES B. BUSEY IV, GLORIA M. SHATTO, or any one or more of them, the true and lawful attorneys of the undersigned with power of substitution, to vote as proxies for the undersigned at the annual meeting of stockholders of TEXAS INSTRUMENTS INCORPORATED to be held in Dallas, Texas, on April 17, 1997,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IMPORTANT-This Proxy must be signed and dated on the reverse side.</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TEXAS INSTRUMENTS</w:t>
      </w:r>
    </w:p>
    <w:p>
      <w:pPr>
        <w:spacing w:after="0" w:line="3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PLEASE MARK VOTE IN OVAL IN THE FOLLOWING MANNER USING DARK INK ONLY.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353" w:lineRule="exact"/>
        <w:rPr>
          <w:sz w:val="20"/>
          <w:szCs w:val="20"/>
          <w:color w:val="auto"/>
        </w:rPr>
      </w:pPr>
    </w:p>
    <w:p>
      <w:pPr>
        <w:ind w:right="2599"/>
        <w:spacing w:after="0" w:line="373" w:lineRule="auto"/>
        <w:rPr>
          <w:sz w:val="20"/>
          <w:szCs w:val="20"/>
          <w:color w:val="auto"/>
        </w:rPr>
      </w:pPr>
      <w:r>
        <w:rPr>
          <w:rFonts w:ascii="Courier New" w:cs="Courier New" w:eastAsia="Courier New" w:hAnsi="Courier New"/>
          <w:sz w:val="16"/>
          <w:szCs w:val="16"/>
          <w:color w:val="auto"/>
        </w:rPr>
        <w:t>The board of directors recommends a vote FOR the election of directors and the two board proposals.</w:t>
      </w:r>
    </w:p>
    <w:tbl>
      <w:tblPr>
        <w:tblLayout w:type="fixed"/>
        <w:tblInd w:w="0" w:type="dxa"/>
        <w:tblCellMar>
          <w:top w:w="0" w:type="dxa"/>
          <w:left w:w="0" w:type="dxa"/>
          <w:bottom w:w="0" w:type="dxa"/>
          <w:right w:w="0" w:type="dxa"/>
        </w:tblCellMar>
      </w:tblPr>
      <w:tr>
        <w:trPr>
          <w:trHeight w:val="188"/>
        </w:trPr>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3"/>
              </w:rPr>
              <w:t>1.</w:t>
            </w:r>
          </w:p>
        </w:tc>
        <w:tc>
          <w:tcPr>
            <w:tcW w:w="362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Election of Directors</w:t>
            </w:r>
          </w:p>
        </w:tc>
        <w:tc>
          <w:tcPr>
            <w:tcW w:w="68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For</w:t>
            </w:r>
          </w:p>
        </w:tc>
        <w:tc>
          <w:tcPr>
            <w:tcW w:w="1120" w:type="dxa"/>
            <w:vAlign w:val="bottom"/>
            <w:vMerge w:val="restart"/>
          </w:tcPr>
          <w:p>
            <w:pPr>
              <w:ind w:left="160"/>
              <w:spacing w:after="0"/>
              <w:rPr>
                <w:sz w:val="20"/>
                <w:szCs w:val="20"/>
                <w:color w:val="auto"/>
              </w:rPr>
            </w:pPr>
            <w:r>
              <w:rPr>
                <w:rFonts w:ascii="Courier New" w:cs="Courier New" w:eastAsia="Courier New" w:hAnsi="Courier New"/>
                <w:sz w:val="16"/>
                <w:szCs w:val="16"/>
                <w:color w:val="auto"/>
              </w:rPr>
              <w:t>Withheld</w:t>
            </w:r>
          </w:p>
        </w:tc>
        <w:tc>
          <w:tcPr>
            <w:tcW w:w="1860" w:type="dxa"/>
            <w:vAlign w:val="bottom"/>
          </w:tcPr>
          <w:p>
            <w:pPr>
              <w:ind w:left="200"/>
              <w:spacing w:after="0"/>
              <w:rPr>
                <w:sz w:val="20"/>
                <w:szCs w:val="20"/>
                <w:color w:val="auto"/>
              </w:rPr>
            </w:pPr>
            <w:r>
              <w:rPr>
                <w:rFonts w:ascii="Courier New" w:cs="Courier New" w:eastAsia="Courier New" w:hAnsi="Courier New"/>
                <w:sz w:val="16"/>
                <w:szCs w:val="16"/>
                <w:color w:val="auto"/>
              </w:rPr>
              <w:t>For All</w:t>
            </w:r>
          </w:p>
        </w:tc>
        <w:tc>
          <w:tcPr>
            <w:tcW w:w="0" w:type="dxa"/>
            <w:vAlign w:val="bottom"/>
          </w:tcPr>
          <w:p>
            <w:pPr>
              <w:spacing w:after="0"/>
              <w:rPr>
                <w:sz w:val="1"/>
                <w:szCs w:val="1"/>
                <w:color w:val="auto"/>
              </w:rPr>
            </w:pPr>
          </w:p>
        </w:tc>
      </w:tr>
      <w:tr>
        <w:trPr>
          <w:trHeight w:val="188"/>
        </w:trPr>
        <w:tc>
          <w:tcPr>
            <w:tcW w:w="240" w:type="dxa"/>
            <w:vAlign w:val="bottom"/>
            <w:vMerge w:val="continue"/>
          </w:tcPr>
          <w:p>
            <w:pPr>
              <w:spacing w:after="0"/>
              <w:rPr>
                <w:sz w:val="16"/>
                <w:szCs w:val="16"/>
                <w:color w:val="auto"/>
              </w:rPr>
            </w:pPr>
          </w:p>
        </w:tc>
        <w:tc>
          <w:tcPr>
            <w:tcW w:w="36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860" w:type="dxa"/>
            <w:vAlign w:val="bottom"/>
          </w:tcPr>
          <w:p>
            <w:pPr>
              <w:ind w:left="200"/>
              <w:spacing w:after="0"/>
              <w:rPr>
                <w:sz w:val="20"/>
                <w:szCs w:val="20"/>
                <w:color w:val="auto"/>
              </w:rPr>
            </w:pPr>
            <w:r>
              <w:rPr>
                <w:rFonts w:ascii="Courier New" w:cs="Courier New" w:eastAsia="Courier New" w:hAnsi="Courier New"/>
                <w:sz w:val="16"/>
                <w:szCs w:val="16"/>
                <w:color w:val="auto"/>
              </w:rPr>
              <w:t>Except Nominee(s)</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362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Nominees:  J.R. Adams, D.L. Boren,</w:t>
            </w:r>
          </w:p>
        </w:tc>
        <w:tc>
          <w:tcPr>
            <w:tcW w:w="68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 ]</w:t>
            </w:r>
          </w:p>
        </w:tc>
        <w:tc>
          <w:tcPr>
            <w:tcW w:w="1120" w:type="dxa"/>
            <w:vAlign w:val="bottom"/>
            <w:vMerge w:val="restart"/>
          </w:tcPr>
          <w:p>
            <w:pPr>
              <w:ind w:left="160"/>
              <w:spacing w:after="0"/>
              <w:rPr>
                <w:sz w:val="20"/>
                <w:szCs w:val="20"/>
                <w:color w:val="auto"/>
              </w:rPr>
            </w:pPr>
            <w:r>
              <w:rPr>
                <w:rFonts w:ascii="Courier New" w:cs="Courier New" w:eastAsia="Courier New" w:hAnsi="Courier New"/>
                <w:sz w:val="16"/>
                <w:szCs w:val="16"/>
                <w:color w:val="auto"/>
              </w:rPr>
              <w:t>[ ]</w:t>
            </w:r>
          </w:p>
        </w:tc>
        <w:tc>
          <w:tcPr>
            <w:tcW w:w="1860" w:type="dxa"/>
            <w:vAlign w:val="bottom"/>
          </w:tcPr>
          <w:p>
            <w:pPr>
              <w:ind w:left="200"/>
              <w:spacing w:after="0"/>
              <w:rPr>
                <w:sz w:val="20"/>
                <w:szCs w:val="20"/>
                <w:color w:val="auto"/>
              </w:rPr>
            </w:pPr>
            <w:r>
              <w:rPr>
                <w:rFonts w:ascii="Courier New" w:cs="Courier New" w:eastAsia="Courier New" w:hAnsi="Courier New"/>
                <w:sz w:val="16"/>
                <w:szCs w:val="16"/>
                <w:color w:val="auto"/>
              </w:rPr>
              <w:t>Written Below</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860" w:type="dxa"/>
            <w:vAlign w:val="bottom"/>
          </w:tcPr>
          <w:p>
            <w:pPr>
              <w:ind w:left="200"/>
              <w:spacing w:after="0"/>
              <w:rPr>
                <w:sz w:val="20"/>
                <w:szCs w:val="20"/>
                <w:color w:val="auto"/>
              </w:rPr>
            </w:pPr>
            <w:r>
              <w:rPr>
                <w:rFonts w:ascii="Courier New" w:cs="Courier New" w:eastAsia="Courier New" w:hAnsi="Courier New"/>
                <w:sz w:val="16"/>
                <w:szCs w:val="16"/>
                <w:color w:val="auto"/>
              </w:rPr>
              <w:t>[ ]______________</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J.B. Busey IV, T.J. Engibous,</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G.W. Fronterhouse, D.R. Goode,</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G.M. Shatto, W.P. Weber</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40" w:type="dxa"/>
            <w:vAlign w:val="bottom"/>
          </w:tcPr>
          <w:p>
            <w:pPr>
              <w:spacing w:after="0"/>
              <w:rPr>
                <w:sz w:val="23"/>
                <w:szCs w:val="23"/>
                <w:color w:val="auto"/>
              </w:rPr>
            </w:pP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and C.K. Yeutter.</w:t>
            </w:r>
          </w:p>
        </w:tc>
        <w:tc>
          <w:tcPr>
            <w:tcW w:w="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2.</w:t>
            </w: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Proposal to approve the Texas</w:t>
            </w:r>
          </w:p>
        </w:tc>
        <w:tc>
          <w:tcPr>
            <w:tcW w:w="680" w:type="dxa"/>
            <w:vAlign w:val="bottom"/>
          </w:tcPr>
          <w:p>
            <w:pPr>
              <w:ind w:left="240"/>
              <w:spacing w:after="0"/>
              <w:rPr>
                <w:sz w:val="20"/>
                <w:szCs w:val="20"/>
                <w:color w:val="auto"/>
              </w:rPr>
            </w:pPr>
            <w:r>
              <w:rPr>
                <w:rFonts w:ascii="Courier New" w:cs="Courier New" w:eastAsia="Courier New" w:hAnsi="Courier New"/>
                <w:sz w:val="16"/>
                <w:szCs w:val="16"/>
                <w:color w:val="auto"/>
              </w:rPr>
              <w:t>For</w:t>
            </w:r>
          </w:p>
        </w:tc>
        <w:tc>
          <w:tcPr>
            <w:tcW w:w="1120" w:type="dxa"/>
            <w:vAlign w:val="bottom"/>
          </w:tcPr>
          <w:p>
            <w:pPr>
              <w:ind w:left="160"/>
              <w:spacing w:after="0"/>
              <w:rPr>
                <w:sz w:val="20"/>
                <w:szCs w:val="20"/>
                <w:color w:val="auto"/>
              </w:rPr>
            </w:pPr>
            <w:r>
              <w:rPr>
                <w:rFonts w:ascii="Courier New" w:cs="Courier New" w:eastAsia="Courier New" w:hAnsi="Courier New"/>
                <w:sz w:val="16"/>
                <w:szCs w:val="16"/>
                <w:color w:val="auto"/>
              </w:rPr>
              <w:t>Against</w:t>
            </w:r>
          </w:p>
        </w:tc>
        <w:tc>
          <w:tcPr>
            <w:tcW w:w="1860" w:type="dxa"/>
            <w:vAlign w:val="bottom"/>
          </w:tcPr>
          <w:p>
            <w:pPr>
              <w:ind w:left="200"/>
              <w:spacing w:after="0"/>
              <w:rPr>
                <w:sz w:val="20"/>
                <w:szCs w:val="20"/>
                <w:color w:val="auto"/>
              </w:rPr>
            </w:pPr>
            <w:r>
              <w:rPr>
                <w:rFonts w:ascii="Courier New" w:cs="Courier New" w:eastAsia="Courier New" w:hAnsi="Courier New"/>
                <w:sz w:val="16"/>
                <w:szCs w:val="16"/>
                <w:color w:val="auto"/>
              </w:rPr>
              <w:t>Abstain</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Instruments Executive Officer</w:t>
            </w:r>
          </w:p>
        </w:tc>
        <w:tc>
          <w:tcPr>
            <w:tcW w:w="680" w:type="dxa"/>
            <w:vAlign w:val="bottom"/>
          </w:tcPr>
          <w:p>
            <w:pPr>
              <w:ind w:left="240"/>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ind w:left="160"/>
              <w:spacing w:after="0"/>
              <w:rPr>
                <w:sz w:val="20"/>
                <w:szCs w:val="20"/>
                <w:color w:val="auto"/>
              </w:rPr>
            </w:pPr>
            <w:r>
              <w:rPr>
                <w:rFonts w:ascii="Courier New" w:cs="Courier New" w:eastAsia="Courier New" w:hAnsi="Courier New"/>
                <w:sz w:val="16"/>
                <w:szCs w:val="16"/>
                <w:color w:val="auto"/>
              </w:rPr>
              <w:t>[ ]</w:t>
            </w:r>
          </w:p>
        </w:tc>
        <w:tc>
          <w:tcPr>
            <w:tcW w:w="1860" w:type="dxa"/>
            <w:vAlign w:val="bottom"/>
          </w:tcPr>
          <w:p>
            <w:pPr>
              <w:ind w:left="200"/>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76"/>
        </w:trPr>
        <w:tc>
          <w:tcPr>
            <w:tcW w:w="240" w:type="dxa"/>
            <w:vAlign w:val="bottom"/>
          </w:tcPr>
          <w:p>
            <w:pPr>
              <w:spacing w:after="0"/>
              <w:rPr>
                <w:sz w:val="23"/>
                <w:szCs w:val="23"/>
                <w:color w:val="auto"/>
              </w:rPr>
            </w:pP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Performance Plan.</w:t>
            </w:r>
          </w:p>
        </w:tc>
        <w:tc>
          <w:tcPr>
            <w:tcW w:w="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3.</w:t>
            </w: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Proposal to approve the TI</w:t>
            </w:r>
          </w:p>
        </w:tc>
        <w:tc>
          <w:tcPr>
            <w:tcW w:w="680" w:type="dxa"/>
            <w:vAlign w:val="bottom"/>
          </w:tcPr>
          <w:p>
            <w:pPr>
              <w:ind w:left="240"/>
              <w:spacing w:after="0"/>
              <w:rPr>
                <w:sz w:val="20"/>
                <w:szCs w:val="20"/>
                <w:color w:val="auto"/>
              </w:rPr>
            </w:pPr>
            <w:r>
              <w:rPr>
                <w:rFonts w:ascii="Courier New" w:cs="Courier New" w:eastAsia="Courier New" w:hAnsi="Courier New"/>
                <w:sz w:val="16"/>
                <w:szCs w:val="16"/>
                <w:color w:val="auto"/>
              </w:rPr>
              <w:t>For</w:t>
            </w:r>
          </w:p>
        </w:tc>
        <w:tc>
          <w:tcPr>
            <w:tcW w:w="1120" w:type="dxa"/>
            <w:vAlign w:val="bottom"/>
          </w:tcPr>
          <w:p>
            <w:pPr>
              <w:ind w:left="160"/>
              <w:spacing w:after="0"/>
              <w:rPr>
                <w:sz w:val="20"/>
                <w:szCs w:val="20"/>
                <w:color w:val="auto"/>
              </w:rPr>
            </w:pPr>
            <w:r>
              <w:rPr>
                <w:rFonts w:ascii="Courier New" w:cs="Courier New" w:eastAsia="Courier New" w:hAnsi="Courier New"/>
                <w:sz w:val="16"/>
                <w:szCs w:val="16"/>
                <w:color w:val="auto"/>
              </w:rPr>
              <w:t>Against</w:t>
            </w:r>
          </w:p>
        </w:tc>
        <w:tc>
          <w:tcPr>
            <w:tcW w:w="1860" w:type="dxa"/>
            <w:vAlign w:val="bottom"/>
          </w:tcPr>
          <w:p>
            <w:pPr>
              <w:ind w:left="200"/>
              <w:spacing w:after="0"/>
              <w:rPr>
                <w:sz w:val="20"/>
                <w:szCs w:val="20"/>
                <w:color w:val="auto"/>
              </w:rPr>
            </w:pPr>
            <w:r>
              <w:rPr>
                <w:rFonts w:ascii="Courier New" w:cs="Courier New" w:eastAsia="Courier New" w:hAnsi="Courier New"/>
                <w:sz w:val="16"/>
                <w:szCs w:val="16"/>
                <w:color w:val="auto"/>
              </w:rPr>
              <w:t>Abstain</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Employees 1997 Stock Purchase</w:t>
            </w:r>
          </w:p>
        </w:tc>
        <w:tc>
          <w:tcPr>
            <w:tcW w:w="680" w:type="dxa"/>
            <w:vAlign w:val="bottom"/>
          </w:tcPr>
          <w:p>
            <w:pPr>
              <w:ind w:left="240"/>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ind w:left="160"/>
              <w:spacing w:after="0"/>
              <w:rPr>
                <w:sz w:val="20"/>
                <w:szCs w:val="20"/>
                <w:color w:val="auto"/>
              </w:rPr>
            </w:pPr>
            <w:r>
              <w:rPr>
                <w:rFonts w:ascii="Courier New" w:cs="Courier New" w:eastAsia="Courier New" w:hAnsi="Courier New"/>
                <w:sz w:val="16"/>
                <w:szCs w:val="16"/>
                <w:color w:val="auto"/>
              </w:rPr>
              <w:t>[ ]</w:t>
            </w:r>
          </w:p>
        </w:tc>
        <w:tc>
          <w:tcPr>
            <w:tcW w:w="1860" w:type="dxa"/>
            <w:vAlign w:val="bottom"/>
          </w:tcPr>
          <w:p>
            <w:pPr>
              <w:ind w:left="200"/>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76"/>
        </w:trPr>
        <w:tc>
          <w:tcPr>
            <w:tcW w:w="240" w:type="dxa"/>
            <w:vAlign w:val="bottom"/>
          </w:tcPr>
          <w:p>
            <w:pPr>
              <w:spacing w:after="0"/>
              <w:rPr>
                <w:sz w:val="23"/>
                <w:szCs w:val="23"/>
                <w:color w:val="auto"/>
              </w:rPr>
            </w:pP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Plan.</w:t>
            </w:r>
          </w:p>
        </w:tc>
        <w:tc>
          <w:tcPr>
            <w:tcW w:w="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If no contrary indication is made, this proxy</w:t>
      </w:r>
    </w:p>
    <w:p>
      <w:pPr>
        <w:spacing w:after="0" w:line="3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will be voted FOR the election of each board</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nominee and FOR the board proposals.</w:t>
      </w:r>
    </w:p>
    <w:p>
      <w:pPr>
        <w:spacing w:after="0" w:line="16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Dated __________________________, 1997</w:t>
      </w:r>
    </w:p>
    <w:p>
      <w:pPr>
        <w:spacing w:after="0" w:line="3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3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Signature</w:t>
      </w:r>
    </w:p>
    <w:p>
      <w:pPr>
        <w:spacing w:after="0" w:line="16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3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Signature</w:t>
      </w:r>
    </w:p>
    <w:p>
      <w:pPr>
        <w:spacing w:after="0" w:line="165" w:lineRule="exact"/>
        <w:rPr>
          <w:sz w:val="20"/>
          <w:szCs w:val="20"/>
          <w:color w:val="auto"/>
        </w:rPr>
      </w:pPr>
    </w:p>
    <w:p>
      <w:pPr>
        <w:ind w:right="2879"/>
        <w:spacing w:after="0" w:line="311" w:lineRule="auto"/>
        <w:rPr>
          <w:sz w:val="20"/>
          <w:szCs w:val="20"/>
          <w:color w:val="auto"/>
        </w:rPr>
      </w:pPr>
      <w:r>
        <w:rPr>
          <w:rFonts w:ascii="Courier New" w:cs="Courier New" w:eastAsia="Courier New" w:hAnsi="Courier New"/>
          <w:sz w:val="16"/>
          <w:szCs w:val="16"/>
          <w:color w:val="auto"/>
        </w:rPr>
        <w:t>NOTE: Please sign exactly as name appears hereon. For joint accounts both owners should sign. When signing as executor, administrator, attorney, trustee or guardian, etc., please give your full title.</w:t>
      </w:r>
    </w:p>
    <w:p>
      <w:pPr>
        <w:spacing w:after="0" w:line="200" w:lineRule="exact"/>
        <w:rPr>
          <w:sz w:val="20"/>
          <w:szCs w:val="20"/>
          <w:color w:val="auto"/>
        </w:rPr>
      </w:pPr>
    </w:p>
    <w:p>
      <w:pPr>
        <w:spacing w:after="0" w:line="22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March 7, 1997</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450 5th Street, N.W.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 20549-1004</w:t>
      </w:r>
    </w:p>
    <w:p>
      <w:pPr>
        <w:spacing w:after="0" w:line="165" w:lineRule="exact"/>
        <w:rPr>
          <w:sz w:val="20"/>
          <w:szCs w:val="20"/>
          <w:color w:val="auto"/>
        </w:rPr>
      </w:pPr>
    </w:p>
    <w:p>
      <w:pPr>
        <w:ind w:left="480"/>
        <w:spacing w:after="0"/>
        <w:tabs>
          <w:tab w:leader="none" w:pos="960" w:val="left"/>
        </w:tabs>
        <w:rPr>
          <w:sz w:val="20"/>
          <w:szCs w:val="20"/>
          <w:color w:val="auto"/>
        </w:rPr>
      </w:pPr>
      <w:r>
        <w:rPr>
          <w:rFonts w:ascii="Courier New" w:cs="Courier New" w:eastAsia="Courier New" w:hAnsi="Courier New"/>
          <w:sz w:val="16"/>
          <w:szCs w:val="16"/>
          <w:color w:val="auto"/>
        </w:rPr>
        <w:t>Re:</w:t>
        <w:tab/>
        <w:t>Texas Instruments Incorporated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 or Madam:</w:t>
      </w:r>
    </w:p>
    <w:p>
      <w:pPr>
        <w:spacing w:after="0" w:line="195" w:lineRule="exact"/>
        <w:rPr>
          <w:sz w:val="20"/>
          <w:szCs w:val="20"/>
          <w:color w:val="auto"/>
        </w:rPr>
      </w:pPr>
    </w:p>
    <w:p>
      <w:pPr>
        <w:ind w:right="3079"/>
        <w:spacing w:after="0" w:line="372" w:lineRule="auto"/>
        <w:rPr>
          <w:sz w:val="20"/>
          <w:szCs w:val="20"/>
          <w:color w:val="auto"/>
        </w:rPr>
      </w:pPr>
      <w:r>
        <w:rPr>
          <w:rFonts w:ascii="Courier New" w:cs="Courier New" w:eastAsia="Courier New" w:hAnsi="Courier New"/>
          <w:sz w:val="16"/>
          <w:szCs w:val="16"/>
          <w:color w:val="auto"/>
        </w:rPr>
        <w:t>Transmitted herewith are our definitive proxy materials. If you have any questions or comments, please contact me at (972) 995-1307.</w:t>
      </w:r>
    </w:p>
    <w:p>
      <w:pPr>
        <w:sectPr>
          <w:pgSz w:w="11900" w:h="17038" w:orient="portrait"/>
          <w:cols w:equalWidth="0" w:num="1">
            <w:col w:w="10219"/>
          </w:cols>
          <w:pgMar w:left="240" w:top="112" w:right="1440" w:bottom="0" w:gutter="0" w:footer="0" w:header="0"/>
          <w:type w:val="continuous"/>
        </w:sectPr>
      </w:pPr>
    </w:p>
    <w:bookmarkStart w:id="25" w:name="page26"/>
    <w:bookmarkEnd w:id="25"/>
    <w:p>
      <w:pPr>
        <w:jc w:val="right"/>
        <w:ind w:right="5139"/>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71" w:lineRule="exact"/>
        <w:rPr>
          <w:sz w:val="20"/>
          <w:szCs w:val="20"/>
          <w:color w:val="auto"/>
        </w:rPr>
      </w:pPr>
    </w:p>
    <w:p>
      <w:pPr>
        <w:jc w:val="right"/>
        <w:ind w:right="5139"/>
        <w:spacing w:after="0"/>
        <w:rPr>
          <w:sz w:val="20"/>
          <w:szCs w:val="20"/>
          <w:color w:val="auto"/>
        </w:rPr>
      </w:pPr>
      <w:r>
        <w:rPr>
          <w:rFonts w:ascii="Courier New" w:cs="Courier New" w:eastAsia="Courier New" w:hAnsi="Courier New"/>
          <w:sz w:val="16"/>
          <w:szCs w:val="16"/>
          <w:color w:val="auto"/>
        </w:rPr>
        <w:t>/s/ JANE S. NAHRA</w:t>
      </w:r>
    </w:p>
    <w:p>
      <w:pPr>
        <w:spacing w:after="0" w:line="3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Jane S. Nahra</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Legal Counsel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tgp</w:t>
      </w:r>
    </w:p>
    <w:sectPr>
      <w:pgSz w:w="11900" w:h="16838" w:orient="portrait"/>
      <w:cols w:equalWidth="0" w:num="1">
        <w:col w:w="10219"/>
      </w:cols>
      <w:pgMar w:left="240" w:top="3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lvl w:ilvl="1">
      <w:lvlJc w:val="left"/>
      <w:lvlText w:val="(%2)"/>
      <w:numFmt w:val="decimal"/>
      <w:start w:val="1"/>
    </w:lvl>
  </w:abstractNum>
  <w:abstractNum w:abstractNumId="1">
    <w:nsid w:val="4E6AFB66"/>
    <w:multiLevelType w:val="hybridMultilevel"/>
    <w:lvl w:ilvl="0">
      <w:lvlJc w:val="left"/>
      <w:lvlText w:val="["/>
      <w:numFmt w:val="bullet"/>
      <w:start w:val="1"/>
    </w:lvl>
    <w:lvl w:ilvl="1">
      <w:lvlJc w:val="left"/>
      <w:lvlText w:val="(%2)"/>
      <w:numFmt w:val="decimal"/>
      <w:start w:val="1"/>
    </w:lvl>
  </w:abstractNum>
  <w:abstractNum w:abstractNumId="2">
    <w:nsid w:val="25E45D32"/>
    <w:multiLevelType w:val="hybridMultilevel"/>
    <w:lvl w:ilvl="0">
      <w:lvlJc w:val="left"/>
      <w:lvlText w:val="%1)"/>
      <w:numFmt w:val="decimal"/>
      <w:start w:val="4"/>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lowerLetter"/>
      <w:start w:val="2"/>
    </w:lvl>
  </w:abstractNum>
  <w:abstractNum w:abstractNumId="7">
    <w:nsid w:val="257130A3"/>
    <w:multiLevelType w:val="hybridMultilevel"/>
    <w:lvl w:ilvl="0">
      <w:lvlJc w:val="left"/>
      <w:lvlText w:val="%1"/>
      <w:numFmt w:val="decimal"/>
      <w:start w:val="1"/>
    </w:lvl>
    <w:lvl w:ilvl="1">
      <w:lvlJc w:val="left"/>
      <w:lvlText w:val="(%2)"/>
      <w:numFmt w:val="lowerLetter"/>
      <w:start w:val="3"/>
    </w:lvl>
  </w:abstractNum>
  <w:abstractNum w:abstractNumId="8">
    <w:nsid w:val="62BBD95A"/>
    <w:multiLevelType w:val="hybridMultilevel"/>
    <w:lvl w:ilvl="0">
      <w:lvlJc w:val="left"/>
      <w:lvlText w:val="(%1)"/>
      <w:numFmt w:val="decimal"/>
      <w:start w:val="5"/>
    </w:lvl>
    <w:lvl w:ilvl="1">
      <w:lvlJc w:val="left"/>
      <w:lvlText w:val="%2"/>
      <w:numFmt w:val="lowerLetter"/>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3"/>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2"/>
    </w:lvl>
  </w:abstractNum>
  <w:abstractNum w:abstractNumId="15">
    <w:nsid w:val="6763845E"/>
    <w:multiLevelType w:val="hybridMultilevel"/>
    <w:lvl w:ilvl="0">
      <w:lvlJc w:val="left"/>
      <w:lvlText w:val="%1."/>
      <w:numFmt w:val="decimal"/>
      <w:start w:val="65"/>
    </w:lvl>
  </w:abstractNum>
  <w:abstractNum w:abstractNumId="16">
    <w:nsid w:val="75A2A8D4"/>
    <w:multiLevelType w:val="hybridMultilevel"/>
    <w:lvl w:ilvl="0">
      <w:lvlJc w:val="left"/>
      <w:lvlText w:val="%1"/>
      <w:numFmt w:val="decimal"/>
      <w:start w:val="15"/>
    </w:lvl>
  </w:abstractNum>
  <w:abstractNum w:abstractNumId="17">
    <w:nsid w:val="8EDBDAB"/>
    <w:multiLevelType w:val="hybridMultilevel"/>
    <w:lvl w:ilvl="0">
      <w:lvlJc w:val="left"/>
      <w:lvlText w:val="(%1)"/>
      <w:numFmt w:val="lowerRoman"/>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3"/>
    </w:lvl>
  </w:abstractNum>
  <w:abstractNum w:abstractNumId="23">
    <w:nsid w:val="71F32454"/>
    <w:multiLevelType w:val="hybridMultilevel"/>
    <w:lvl w:ilvl="0">
      <w:lvlJc w:val="left"/>
      <w:lvlText w:val="(%1)"/>
      <w:numFmt w:val="lowerRoman"/>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3"/>
    </w:lvl>
  </w:abstractNum>
  <w:abstractNum w:abstractNumId="26">
    <w:nsid w:val="2901D82"/>
    <w:multiLevelType w:val="hybridMultilevel"/>
    <w:lvl w:ilvl="0">
      <w:lvlJc w:val="left"/>
      <w:lvlText w:val="(%1)"/>
      <w:numFmt w:val="lowerLetter"/>
      <w:start w:val="1"/>
    </w:lvl>
    <w:lvl w:ilvl="1">
      <w:lvlJc w:val="left"/>
      <w:lvlText w:val="(%2)"/>
      <w:numFmt w:val="lowerLetter"/>
      <w:start w:val="2"/>
    </w:lvl>
  </w:abstractNum>
  <w:abstractNum w:abstractNumId="27">
    <w:nsid w:val="3A95F874"/>
    <w:multiLevelType w:val="hybridMultilevel"/>
    <w:lvl w:ilvl="0">
      <w:lvlJc w:val="left"/>
      <w:lvlText w:val="(%1)"/>
      <w:numFmt w:val="decimal"/>
      <w:start w:val="6"/>
    </w:lvl>
  </w:abstractNum>
  <w:abstractNum w:abstractNumId="28">
    <w:nsid w:val="8138641"/>
    <w:multiLevelType w:val="hybridMultilevel"/>
    <w:lvl w:ilvl="0">
      <w:lvlJc w:val="left"/>
      <w:lvlText w:val="(%1)"/>
      <w:numFmt w:val="decimal"/>
      <w:start w:val="7"/>
    </w:lvl>
  </w:abstractNum>
  <w:abstractNum w:abstractNumId="29">
    <w:nsid w:val="1E7FF521"/>
    <w:multiLevelType w:val="hybridMultilevel"/>
    <w:lvl w:ilvl="0">
      <w:lvlJc w:val="left"/>
      <w:lvlText w:val="(%1)"/>
      <w:numFmt w:val="decimal"/>
      <w:start w:val="9"/>
    </w:lvl>
  </w:abstractNum>
  <w:abstractNum w:abstractNumId="30">
    <w:nsid w:val="7C3DBD3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2019-12-13T07:43:14Z</dcterms:created>
  <dcterms:modified xsi:type="dcterms:W3CDTF">2019-12-13T07:43:14Z</dcterms:modified>
</cp:coreProperties>
</file>