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7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9" w:lineRule="exact"/>
        <w:rPr>
          <w:sz w:val="24"/>
          <w:szCs w:val="24"/>
          <w:color w:val="auto"/>
        </w:rPr>
      </w:pPr>
    </w:p>
    <w:p>
      <w:pPr>
        <w:jc w:val="center"/>
        <w:ind w:right="-579"/>
        <w:spacing w:after="0"/>
        <w:rPr>
          <w:sz w:val="20"/>
          <w:szCs w:val="20"/>
          <w:color w:val="auto"/>
        </w:rPr>
      </w:pPr>
      <w:r>
        <w:rPr>
          <w:rFonts w:ascii="Arial" w:cs="Arial" w:eastAsia="Arial" w:hAnsi="Arial"/>
          <w:sz w:val="22"/>
          <w:szCs w:val="22"/>
          <w:b w:val="1"/>
          <w:bCs w:val="1"/>
          <w:color w:val="auto"/>
        </w:rPr>
        <w:t>SECURITIES AND EXCHANGE COMMISSION</w:t>
      </w:r>
    </w:p>
    <w:p>
      <w:pPr>
        <w:ind w:left="478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485140</wp:posOffset>
            </wp:positionV>
            <wp:extent cx="21869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4" w:lineRule="exact"/>
        <w:rPr>
          <w:sz w:val="24"/>
          <w:szCs w:val="24"/>
          <w:color w:val="auto"/>
        </w:rPr>
      </w:pPr>
    </w:p>
    <w:p>
      <w:pPr>
        <w:jc w:val="center"/>
        <w:ind w:right="-579"/>
        <w:spacing w:after="0"/>
        <w:rPr>
          <w:sz w:val="20"/>
          <w:szCs w:val="20"/>
          <w:color w:val="auto"/>
        </w:rPr>
      </w:pPr>
      <w:r>
        <w:rPr>
          <w:rFonts w:ascii="Arial" w:cs="Arial" w:eastAsia="Arial" w:hAnsi="Arial"/>
          <w:sz w:val="22"/>
          <w:szCs w:val="22"/>
          <w:b w:val="1"/>
          <w:bCs w:val="1"/>
          <w:color w:val="auto"/>
        </w:rPr>
        <w:t>FORM 8-K</w:t>
      </w:r>
    </w:p>
    <w:p>
      <w:pPr>
        <w:spacing w:after="0" w:line="215"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CURRENT REPORT PURSUANT TO SECTION 13 OR 15(d)</w:t>
      </w:r>
    </w:p>
    <w:p>
      <w:pPr>
        <w:spacing w:after="0" w:line="27"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ind w:left="2420"/>
        <w:spacing w:after="0"/>
        <w:rPr>
          <w:sz w:val="20"/>
          <w:szCs w:val="20"/>
          <w:color w:val="auto"/>
        </w:rPr>
      </w:pPr>
      <w:r>
        <w:rPr>
          <w:rFonts w:ascii="Arial" w:cs="Arial" w:eastAsia="Arial" w:hAnsi="Arial"/>
          <w:sz w:val="17"/>
          <w:szCs w:val="17"/>
          <w:b w:val="1"/>
          <w:bCs w:val="1"/>
          <w:color w:val="auto"/>
        </w:rPr>
        <w:t>DATE OF REPORT (DATE OF EARLIEST EVENT REPORTED): January 25,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539115</wp:posOffset>
            </wp:positionV>
            <wp:extent cx="21869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6" w:lineRule="exact"/>
        <w:rPr>
          <w:sz w:val="24"/>
          <w:szCs w:val="24"/>
          <w:color w:val="auto"/>
        </w:rPr>
      </w:pPr>
    </w:p>
    <w:p>
      <w:pPr>
        <w:jc w:val="center"/>
        <w:ind w:right="-579"/>
        <w:spacing w:after="0"/>
        <w:rPr>
          <w:sz w:val="20"/>
          <w:szCs w:val="20"/>
          <w:color w:val="auto"/>
        </w:rPr>
      </w:pPr>
      <w:r>
        <w:rPr>
          <w:rFonts w:ascii="Arial" w:cs="Arial" w:eastAsia="Arial" w:hAnsi="Arial"/>
          <w:sz w:val="32"/>
          <w:szCs w:val="32"/>
          <w:b w:val="1"/>
          <w:bCs w:val="1"/>
          <w:color w:val="auto"/>
        </w:rPr>
        <w:t>TEXAS INSTRUMENTS INCORPORATED</w:t>
      </w:r>
    </w:p>
    <w:p>
      <w:pPr>
        <w:spacing w:after="0" w:line="40" w:lineRule="exact"/>
        <w:rPr>
          <w:sz w:val="24"/>
          <w:szCs w:val="24"/>
          <w:color w:val="auto"/>
        </w:rPr>
      </w:pPr>
    </w:p>
    <w:p>
      <w:pPr>
        <w:ind w:left="3840"/>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0860"/>
          </w:cols>
          <w:pgMar w:left="240" w:top="544" w:right="799" w:bottom="1440" w:gutter="0" w:footer="0" w:header="0"/>
        </w:sectPr>
      </w:pPr>
    </w:p>
    <w:p>
      <w:pPr>
        <w:spacing w:after="0" w:line="200" w:lineRule="exact"/>
        <w:rPr>
          <w:sz w:val="24"/>
          <w:szCs w:val="24"/>
          <w:color w:val="auto"/>
        </w:rPr>
      </w:pPr>
    </w:p>
    <w:p>
      <w:pPr>
        <w:spacing w:after="0" w:line="221" w:lineRule="exact"/>
        <w:rPr>
          <w:sz w:val="24"/>
          <w:szCs w:val="24"/>
          <w:color w:val="auto"/>
        </w:rPr>
      </w:pPr>
    </w:p>
    <w:p>
      <w:pPr>
        <w:ind w:left="1400"/>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001-03761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75-0289970</w:t>
      </w:r>
    </w:p>
    <w:p>
      <w:pPr>
        <w:spacing w:after="0" w:line="211" w:lineRule="exact"/>
        <w:rPr>
          <w:sz w:val="24"/>
          <w:szCs w:val="24"/>
          <w:color w:val="auto"/>
        </w:rPr>
      </w:pPr>
    </w:p>
    <w:p>
      <w:pPr>
        <w:sectPr>
          <w:pgSz w:w="11900" w:h="16838" w:orient="portrait"/>
          <w:cols w:equalWidth="0" w:num="3">
            <w:col w:w="4660" w:space="720"/>
            <w:col w:w="3040" w:space="720"/>
            <w:col w:w="1720"/>
          </w:cols>
          <w:pgMar w:left="240" w:top="544" w:right="799" w:bottom="1440" w:gutter="0" w:footer="0" w:header="0"/>
          <w:type w:val="continuous"/>
        </w:sectPr>
      </w:pPr>
    </w:p>
    <w:p>
      <w:pPr>
        <w:spacing w:after="0" w:line="253"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12500 TI BOULEVARD</w:t>
      </w:r>
    </w:p>
    <w:p>
      <w:pPr>
        <w:spacing w:after="0" w:line="27"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P.O. BOX 660199</w:t>
      </w:r>
    </w:p>
    <w:p>
      <w:pPr>
        <w:spacing w:after="0" w:line="9"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DALLAS, TEXAS 75266-0199</w:t>
      </w:r>
    </w:p>
    <w:p>
      <w:pPr>
        <w:spacing w:after="0" w:line="9" w:lineRule="exact"/>
        <w:rPr>
          <w:sz w:val="24"/>
          <w:szCs w:val="24"/>
          <w:color w:val="auto"/>
        </w:rPr>
      </w:pPr>
    </w:p>
    <w:p>
      <w:pPr>
        <w:jc w:val="center"/>
        <w:ind w:right="-559"/>
        <w:spacing w:after="0"/>
        <w:rPr>
          <w:sz w:val="20"/>
          <w:szCs w:val="20"/>
          <w:color w:val="auto"/>
        </w:rPr>
      </w:pPr>
      <w:r>
        <w:rPr>
          <w:rFonts w:ascii="Arial" w:cs="Arial" w:eastAsia="Arial" w:hAnsi="Arial"/>
          <w:sz w:val="15"/>
          <w:szCs w:val="15"/>
          <w:b w:val="1"/>
          <w:bCs w:val="1"/>
          <w:color w:val="auto"/>
        </w:rPr>
        <w:t>(Address of principal executive offices)</w:t>
      </w:r>
    </w:p>
    <w:p>
      <w:pPr>
        <w:sectPr>
          <w:pgSz w:w="11900" w:h="16838" w:orient="portrait"/>
          <w:cols w:equalWidth="0" w:num="1">
            <w:col w:w="10860"/>
          </w:cols>
          <w:pgMar w:left="240" w:top="544" w:right="799" w:bottom="1440" w:gutter="0" w:footer="0" w:header="0"/>
          <w:type w:val="continuous"/>
        </w:sectPr>
      </w:pPr>
    </w:p>
    <w:p>
      <w:pPr>
        <w:spacing w:after="0" w:line="241" w:lineRule="exact"/>
        <w:rPr>
          <w:sz w:val="24"/>
          <w:szCs w:val="24"/>
          <w:color w:val="auto"/>
        </w:rPr>
      </w:pPr>
    </w:p>
    <w:p>
      <w:pPr>
        <w:ind w:left="3120"/>
        <w:spacing w:after="0"/>
        <w:rPr>
          <w:sz w:val="20"/>
          <w:szCs w:val="20"/>
          <w:color w:val="auto"/>
        </w:rPr>
      </w:pPr>
      <w:r>
        <w:rPr>
          <w:rFonts w:ascii="Arial" w:cs="Arial" w:eastAsia="Arial" w:hAnsi="Arial"/>
          <w:sz w:val="18"/>
          <w:szCs w:val="18"/>
          <w:b w:val="1"/>
          <w:bCs w:val="1"/>
          <w:color w:val="auto"/>
        </w:rPr>
        <w:t>Registrant’s telephone number, including area code: (972) 995-3773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532130</wp:posOffset>
            </wp:positionV>
            <wp:extent cx="21869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50430" cy="450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450215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240" w:top="544" w:right="7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ITEM 2.02. Results of Operations and Financial Condition</w:t>
      </w:r>
    </w:p>
    <w:p>
      <w:pPr>
        <w:spacing w:after="0" w:line="25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Registrant's news release dated January 25, 2010, regarding its fourth quarter and 2009 results of operations and financial condition is attached hereto as Exhibit 99 and is incorporated by reference herein.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ITEM 9.01. Exhibits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w w:val="92"/>
              </w:rPr>
              <w:t>Designation</w:t>
            </w:r>
          </w:p>
        </w:tc>
        <w:tc>
          <w:tcPr>
            <w:tcW w:w="940" w:type="dxa"/>
            <w:vAlign w:val="bottom"/>
          </w:tcPr>
          <w:p>
            <w:pPr>
              <w:spacing w:after="0"/>
              <w:rPr>
                <w:sz w:val="18"/>
                <w:szCs w:val="18"/>
                <w:color w:val="auto"/>
              </w:rPr>
            </w:pPr>
          </w:p>
        </w:tc>
        <w:tc>
          <w:tcPr>
            <w:tcW w:w="9200" w:type="dxa"/>
            <w:vAlign w:val="bottom"/>
          </w:tcPr>
          <w:p>
            <w:pPr>
              <w:spacing w:after="0"/>
              <w:rPr>
                <w:sz w:val="18"/>
                <w:szCs w:val="18"/>
                <w:color w:val="auto"/>
              </w:rPr>
            </w:pPr>
          </w:p>
        </w:tc>
      </w:t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w w:val="97"/>
              </w:rPr>
              <w:t>of Exhibit</w:t>
            </w:r>
          </w:p>
        </w:tc>
        <w:tc>
          <w:tcPr>
            <w:tcW w:w="940" w:type="dxa"/>
            <w:vAlign w:val="bottom"/>
          </w:tcPr>
          <w:p>
            <w:pPr>
              <w:spacing w:after="0"/>
              <w:rPr>
                <w:sz w:val="18"/>
                <w:szCs w:val="18"/>
                <w:color w:val="auto"/>
              </w:rPr>
            </w:pPr>
          </w:p>
        </w:tc>
        <w:tc>
          <w:tcPr>
            <w:tcW w:w="9200" w:type="dxa"/>
            <w:vAlign w:val="bottom"/>
          </w:tcPr>
          <w:p>
            <w:pPr>
              <w:spacing w:after="0"/>
              <w:rPr>
                <w:sz w:val="18"/>
                <w:szCs w:val="18"/>
                <w:color w:val="auto"/>
              </w:rPr>
            </w:pPr>
          </w:p>
        </w:tc>
      </w:t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w w:val="93"/>
              </w:rPr>
              <w:t>in this</w:t>
            </w:r>
          </w:p>
        </w:tc>
        <w:tc>
          <w:tcPr>
            <w:tcW w:w="940" w:type="dxa"/>
            <w:vAlign w:val="bottom"/>
          </w:tcPr>
          <w:p>
            <w:pPr>
              <w:spacing w:after="0"/>
              <w:rPr>
                <w:sz w:val="18"/>
                <w:szCs w:val="18"/>
                <w:color w:val="auto"/>
              </w:rPr>
            </w:pPr>
          </w:p>
        </w:tc>
        <w:tc>
          <w:tcPr>
            <w:tcW w:w="9200" w:type="dxa"/>
            <w:vAlign w:val="bottom"/>
          </w:tcPr>
          <w:p>
            <w:pPr>
              <w:spacing w:after="0"/>
              <w:rPr>
                <w:sz w:val="18"/>
                <w:szCs w:val="18"/>
                <w:color w:val="auto"/>
              </w:rPr>
            </w:pPr>
          </w:p>
        </w:tc>
      </w:tr>
      <w:tr>
        <w:trPr>
          <w:trHeight w:val="237"/>
        </w:trPr>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Report</w:t>
            </w:r>
          </w:p>
        </w:tc>
        <w:tc>
          <w:tcPr>
            <w:tcW w:w="940" w:type="dxa"/>
            <w:vAlign w:val="bottom"/>
          </w:tcPr>
          <w:p>
            <w:pPr>
              <w:spacing w:after="0"/>
              <w:rPr>
                <w:sz w:val="20"/>
                <w:szCs w:val="20"/>
                <w:color w:val="auto"/>
              </w:rPr>
            </w:pPr>
          </w:p>
        </w:tc>
        <w:tc>
          <w:tcPr>
            <w:tcW w:w="9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Description of Exhibit</w:t>
            </w:r>
          </w:p>
        </w:tc>
      </w:tr>
      <w:tr>
        <w:trPr>
          <w:trHeight w:val="418"/>
        </w:trPr>
        <w:tc>
          <w:tcPr>
            <w:tcW w:w="1280" w:type="dxa"/>
            <w:vAlign w:val="bottom"/>
          </w:tcPr>
          <w:p>
            <w:pPr>
              <w:jc w:val="center"/>
              <w:spacing w:after="0"/>
              <w:rPr>
                <w:sz w:val="20"/>
                <w:szCs w:val="20"/>
                <w:color w:val="auto"/>
              </w:rPr>
            </w:pPr>
            <w:r>
              <w:rPr>
                <w:rFonts w:ascii="Arial" w:cs="Arial" w:eastAsia="Arial" w:hAnsi="Arial"/>
                <w:sz w:val="18"/>
                <w:szCs w:val="18"/>
                <w:color w:val="auto"/>
                <w:w w:val="89"/>
              </w:rPr>
              <w:t>99</w:t>
            </w:r>
          </w:p>
        </w:tc>
        <w:tc>
          <w:tcPr>
            <w:tcW w:w="10140" w:type="dxa"/>
            <w:vAlign w:val="bottom"/>
            <w:gridSpan w:val="2"/>
          </w:tcPr>
          <w:p>
            <w:pPr>
              <w:ind w:left="940"/>
              <w:spacing w:after="0"/>
              <w:rPr>
                <w:sz w:val="20"/>
                <w:szCs w:val="20"/>
                <w:color w:val="auto"/>
              </w:rPr>
            </w:pPr>
            <w:r>
              <w:rPr>
                <w:rFonts w:ascii="Arial" w:cs="Arial" w:eastAsia="Arial" w:hAnsi="Arial"/>
                <w:sz w:val="18"/>
                <w:szCs w:val="18"/>
                <w:color w:val="auto"/>
              </w:rPr>
              <w:t>Registrant’s News Release</w:t>
            </w:r>
          </w:p>
        </w:tc>
      </w:tr>
      <w:tr>
        <w:trPr>
          <w:trHeight w:val="230"/>
        </w:trPr>
        <w:tc>
          <w:tcPr>
            <w:tcW w:w="1280" w:type="dxa"/>
            <w:vAlign w:val="bottom"/>
          </w:tcPr>
          <w:p>
            <w:pPr>
              <w:spacing w:after="0"/>
              <w:rPr>
                <w:sz w:val="20"/>
                <w:szCs w:val="20"/>
                <w:color w:val="auto"/>
              </w:rPr>
            </w:pPr>
          </w:p>
        </w:tc>
        <w:tc>
          <w:tcPr>
            <w:tcW w:w="10140" w:type="dxa"/>
            <w:vAlign w:val="bottom"/>
            <w:gridSpan w:val="2"/>
          </w:tcPr>
          <w:p>
            <w:pPr>
              <w:ind w:left="940"/>
              <w:spacing w:after="0"/>
              <w:rPr>
                <w:sz w:val="20"/>
                <w:szCs w:val="20"/>
                <w:color w:val="auto"/>
              </w:rPr>
            </w:pPr>
            <w:r>
              <w:rPr>
                <w:rFonts w:ascii="Arial" w:cs="Arial" w:eastAsia="Arial" w:hAnsi="Arial"/>
                <w:sz w:val="18"/>
                <w:szCs w:val="18"/>
                <w:color w:val="auto"/>
              </w:rPr>
              <w:t>Dated January 25, 2010 (furnished pursuant to Item 2.02)</w:t>
            </w:r>
          </w:p>
        </w:tc>
      </w:tr>
    </w:tbl>
    <w:p>
      <w:pPr>
        <w:spacing w:after="0" w:line="20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“Safe Harbor” Statement under the Private Securities Litigation Reform Act of 1995: This report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in this report that describe the Company’s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220"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its management:</w:t>
      </w:r>
    </w:p>
    <w:p>
      <w:pPr>
        <w:spacing w:after="0" w:line="197" w:lineRule="exact"/>
        <w:rPr>
          <w:sz w:val="20"/>
          <w:szCs w:val="20"/>
          <w:color w:val="auto"/>
        </w:rPr>
      </w:pPr>
    </w:p>
    <w:p>
      <w:pPr>
        <w:ind w:left="500" w:hanging="141"/>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Market demand for semiconductors, particularly in key markets such as communications, entertainment electronics and computing;</w:t>
      </w:r>
    </w:p>
    <w:p>
      <w:pPr>
        <w:spacing w:after="0" w:line="252" w:lineRule="exact"/>
        <w:rPr>
          <w:rFonts w:ascii="Arial" w:cs="Arial" w:eastAsia="Arial" w:hAnsi="Arial"/>
          <w:sz w:val="18"/>
          <w:szCs w:val="18"/>
          <w:color w:val="auto"/>
        </w:rPr>
      </w:pPr>
    </w:p>
    <w:p>
      <w:pPr>
        <w:ind w:left="500" w:hanging="141"/>
        <w:spacing w:after="0" w:line="277" w:lineRule="auto"/>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spacing w:after="0" w:line="197" w:lineRule="exact"/>
        <w:rPr>
          <w:rFonts w:ascii="Arial" w:cs="Arial" w:eastAsia="Arial" w:hAnsi="Arial"/>
          <w:sz w:val="18"/>
          <w:szCs w:val="18"/>
          <w:color w:val="auto"/>
        </w:rPr>
      </w:pPr>
    </w:p>
    <w:p>
      <w:pPr>
        <w:ind w:left="500" w:hanging="141"/>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252" w:lineRule="exact"/>
        <w:rPr>
          <w:rFonts w:ascii="Arial" w:cs="Arial" w:eastAsia="Arial" w:hAnsi="Arial"/>
          <w:sz w:val="18"/>
          <w:szCs w:val="18"/>
          <w:color w:val="auto"/>
        </w:rPr>
      </w:pPr>
    </w:p>
    <w:p>
      <w:pPr>
        <w:ind w:left="500" w:hanging="141"/>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252" w:lineRule="exact"/>
        <w:rPr>
          <w:rFonts w:ascii="Arial" w:cs="Arial" w:eastAsia="Arial" w:hAnsi="Arial"/>
          <w:sz w:val="18"/>
          <w:szCs w:val="18"/>
          <w:color w:val="auto"/>
        </w:rPr>
      </w:pPr>
    </w:p>
    <w:p>
      <w:pPr>
        <w:ind w:left="500" w:hanging="141"/>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252" w:lineRule="exact"/>
        <w:rPr>
          <w:rFonts w:ascii="Arial" w:cs="Arial" w:eastAsia="Arial" w:hAnsi="Arial"/>
          <w:sz w:val="18"/>
          <w:szCs w:val="18"/>
          <w:color w:val="auto"/>
        </w:rPr>
      </w:pPr>
    </w:p>
    <w:p>
      <w:pPr>
        <w:ind w:left="500" w:hanging="141"/>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252" w:lineRule="exact"/>
        <w:rPr>
          <w:rFonts w:ascii="Arial" w:cs="Arial" w:eastAsia="Arial" w:hAnsi="Arial"/>
          <w:sz w:val="18"/>
          <w:szCs w:val="18"/>
          <w:color w:val="auto"/>
        </w:rPr>
      </w:pPr>
    </w:p>
    <w:p>
      <w:pPr>
        <w:ind w:left="500" w:hanging="141"/>
        <w:spacing w:after="0" w:line="277" w:lineRule="auto"/>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spacing w:after="0" w:line="197" w:lineRule="exact"/>
        <w:rPr>
          <w:rFonts w:ascii="Arial" w:cs="Arial" w:eastAsia="Arial" w:hAnsi="Arial"/>
          <w:sz w:val="18"/>
          <w:szCs w:val="18"/>
          <w:color w:val="auto"/>
        </w:rPr>
      </w:pPr>
    </w:p>
    <w:p>
      <w:pPr>
        <w:ind w:left="500" w:hanging="141"/>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its suppliers operate;</w:t>
      </w:r>
    </w:p>
    <w:p>
      <w:pPr>
        <w:spacing w:after="0" w:line="252" w:lineRule="exact"/>
        <w:rPr>
          <w:rFonts w:ascii="Arial" w:cs="Arial" w:eastAsia="Arial" w:hAnsi="Arial"/>
          <w:sz w:val="18"/>
          <w:szCs w:val="18"/>
          <w:color w:val="auto"/>
        </w:rPr>
      </w:pPr>
    </w:p>
    <w:p>
      <w:pPr>
        <w:ind w:left="500" w:hanging="141"/>
        <w:spacing w:after="0"/>
        <w:tabs>
          <w:tab w:leader="none" w:pos="500" w:val="left"/>
        </w:tabs>
        <w:numPr>
          <w:ilvl w:val="0"/>
          <w:numId w:val="2"/>
        </w:numPr>
        <w:rPr>
          <w:rFonts w:ascii="Arial" w:cs="Arial" w:eastAsia="Arial" w:hAnsi="Arial"/>
          <w:sz w:val="17"/>
          <w:szCs w:val="17"/>
          <w:color w:val="auto"/>
        </w:rPr>
      </w:pPr>
      <w:r>
        <w:rPr>
          <w:rFonts w:ascii="Arial" w:cs="Arial" w:eastAsia="Arial" w:hAnsi="Arial"/>
          <w:sz w:val="17"/>
          <w:szCs w:val="17"/>
          <w:color w:val="auto"/>
        </w:rPr>
        <w:t>Availability and cost of raw materials, utilities, manufacturing equipment, third-party manufacturing services and manufacturing technology;</w:t>
      </w:r>
    </w:p>
    <w:p>
      <w:pPr>
        <w:spacing w:after="0" w:line="263" w:lineRule="exact"/>
        <w:rPr>
          <w:rFonts w:ascii="Arial" w:cs="Arial" w:eastAsia="Arial" w:hAnsi="Arial"/>
          <w:sz w:val="17"/>
          <w:szCs w:val="17"/>
          <w:color w:val="auto"/>
        </w:rPr>
      </w:pPr>
    </w:p>
    <w:p>
      <w:pPr>
        <w:ind w:left="500" w:hanging="141"/>
        <w:spacing w:after="0" w:line="277" w:lineRule="auto"/>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spacing w:after="0" w:line="197" w:lineRule="exact"/>
        <w:rPr>
          <w:rFonts w:ascii="Arial" w:cs="Arial" w:eastAsia="Arial" w:hAnsi="Arial"/>
          <w:sz w:val="18"/>
          <w:szCs w:val="18"/>
          <w:color w:val="auto"/>
        </w:rPr>
      </w:pPr>
    </w:p>
    <w:p>
      <w:pPr>
        <w:ind w:left="500" w:hanging="141"/>
        <w:spacing w:after="0" w:line="308" w:lineRule="auto"/>
        <w:tabs>
          <w:tab w:leader="none" w:pos="500" w:val="left"/>
        </w:tabs>
        <w:numPr>
          <w:ilvl w:val="0"/>
          <w:numId w:val="2"/>
        </w:numPr>
        <w:rPr>
          <w:rFonts w:ascii="Arial" w:cs="Arial" w:eastAsia="Arial" w:hAnsi="Arial"/>
          <w:sz w:val="17"/>
          <w:szCs w:val="17"/>
          <w:color w:val="auto"/>
        </w:rPr>
      </w:pPr>
      <w:r>
        <w:rPr>
          <w:rFonts w:ascii="Arial" w:cs="Arial" w:eastAsia="Arial" w:hAnsi="Arial"/>
          <w:sz w:val="17"/>
          <w:szCs w:val="17"/>
          <w:color w:val="auto"/>
        </w:rPr>
        <w:t>Changes in laws and regulations to which TI or its suppliers are or may become subject, such as those imposing fees or reporting or substitution costs relating to the discharge of emissions into the environment or the use of certain raw materials in our manufacturing processes;</w:t>
      </w:r>
    </w:p>
    <w:p>
      <w:pPr>
        <w:spacing w:after="0" w:line="173" w:lineRule="exact"/>
        <w:rPr>
          <w:rFonts w:ascii="Arial" w:cs="Arial" w:eastAsia="Arial" w:hAnsi="Arial"/>
          <w:sz w:val="17"/>
          <w:szCs w:val="17"/>
          <w:color w:val="auto"/>
        </w:rPr>
      </w:pPr>
    </w:p>
    <w:p>
      <w:pPr>
        <w:ind w:left="500" w:hanging="141"/>
        <w:spacing w:after="0"/>
        <w:tabs>
          <w:tab w:leader="none" w:pos="500" w:val="left"/>
        </w:tabs>
        <w:numPr>
          <w:ilvl w:val="0"/>
          <w:numId w:val="2"/>
        </w:numPr>
        <w:rPr>
          <w:rFonts w:ascii="Arial" w:cs="Arial" w:eastAsia="Arial" w:hAnsi="Arial"/>
          <w:sz w:val="17"/>
          <w:szCs w:val="17"/>
          <w:color w:val="auto"/>
        </w:rPr>
      </w:pPr>
      <w:r>
        <w:rPr>
          <w:rFonts w:ascii="Arial" w:cs="Arial" w:eastAsia="Arial" w:hAnsi="Arial"/>
          <w:sz w:val="17"/>
          <w:szCs w:val="17"/>
          <w:color w:val="auto"/>
        </w:rPr>
        <w:t>Losses or curtailments of purchases from key customers and the timing and amount of distributor and other customer inventory adjustments;</w:t>
      </w:r>
    </w:p>
    <w:p>
      <w:pPr>
        <w:spacing w:after="0" w:line="263" w:lineRule="exact"/>
        <w:rPr>
          <w:rFonts w:ascii="Arial" w:cs="Arial" w:eastAsia="Arial" w:hAnsi="Arial"/>
          <w:sz w:val="17"/>
          <w:szCs w:val="17"/>
          <w:color w:val="auto"/>
        </w:rPr>
      </w:pPr>
    </w:p>
    <w:p>
      <w:pPr>
        <w:ind w:left="500" w:hanging="141"/>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Customer demand that differs from our forecasts;</w:t>
      </w:r>
    </w:p>
    <w:p>
      <w:pPr>
        <w:spacing w:after="0" w:line="252" w:lineRule="exact"/>
        <w:rPr>
          <w:rFonts w:ascii="Arial" w:cs="Arial" w:eastAsia="Arial" w:hAnsi="Arial"/>
          <w:sz w:val="18"/>
          <w:szCs w:val="18"/>
          <w:color w:val="auto"/>
        </w:rPr>
      </w:pPr>
    </w:p>
    <w:p>
      <w:pPr>
        <w:ind w:left="500" w:hanging="141"/>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inventory that results from demand that differs from projections;</w:t>
      </w:r>
    </w:p>
    <w:p>
      <w:pPr>
        <w:spacing w:after="0" w:line="252" w:lineRule="exact"/>
        <w:rPr>
          <w:rFonts w:ascii="Arial" w:cs="Arial" w:eastAsia="Arial" w:hAnsi="Arial"/>
          <w:sz w:val="18"/>
          <w:szCs w:val="18"/>
          <w:color w:val="auto"/>
        </w:rPr>
      </w:pPr>
    </w:p>
    <w:p>
      <w:pPr>
        <w:ind w:left="500" w:hanging="141"/>
        <w:spacing w:after="0"/>
        <w:tabs>
          <w:tab w:leader="none" w:pos="50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ability of TI and its customers and suppliers to access their bank accounts and lines of credit or otherwise access the capital markets;</w:t>
      </w:r>
    </w:p>
    <w:p>
      <w:pPr>
        <w:spacing w:after="0" w:line="263" w:lineRule="exact"/>
        <w:rPr>
          <w:rFonts w:ascii="Arial" w:cs="Arial" w:eastAsia="Arial" w:hAnsi="Arial"/>
          <w:sz w:val="17"/>
          <w:szCs w:val="17"/>
          <w:color w:val="auto"/>
        </w:rPr>
      </w:pPr>
    </w:p>
    <w:p>
      <w:pPr>
        <w:ind w:left="500" w:hanging="141"/>
        <w:spacing w:after="0"/>
        <w:tabs>
          <w:tab w:leader="none" w:pos="500" w:val="left"/>
        </w:tabs>
        <w:numPr>
          <w:ilvl w:val="0"/>
          <w:numId w:val="2"/>
        </w:numPr>
        <w:rPr>
          <w:rFonts w:ascii="Arial" w:cs="Arial" w:eastAsia="Arial" w:hAnsi="Arial"/>
          <w:sz w:val="17"/>
          <w:szCs w:val="17"/>
          <w:color w:val="auto"/>
        </w:rPr>
      </w:pPr>
      <w:r>
        <w:rPr>
          <w:rFonts w:ascii="Arial" w:cs="Arial" w:eastAsia="Arial" w:hAnsi="Arial"/>
          <w:sz w:val="17"/>
          <w:szCs w:val="17"/>
          <w:color w:val="auto"/>
        </w:rPr>
        <w:t>Product liability or warranty claims, claims based on epidemic or delivery failure or recalls by TI customers for a product containing a TI part;</w:t>
      </w:r>
    </w:p>
    <w:p>
      <w:pPr>
        <w:spacing w:after="0" w:line="263" w:lineRule="exact"/>
        <w:rPr>
          <w:rFonts w:ascii="Arial" w:cs="Arial" w:eastAsia="Arial" w:hAnsi="Arial"/>
          <w:sz w:val="17"/>
          <w:szCs w:val="17"/>
          <w:color w:val="auto"/>
        </w:rPr>
      </w:pPr>
    </w:p>
    <w:p>
      <w:pPr>
        <w:ind w:left="500" w:hanging="141"/>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 and</w:t>
      </w:r>
    </w:p>
    <w:p>
      <w:pPr>
        <w:spacing w:after="0" w:line="252" w:lineRule="exact"/>
        <w:rPr>
          <w:rFonts w:ascii="Arial" w:cs="Arial" w:eastAsia="Arial" w:hAnsi="Arial"/>
          <w:sz w:val="18"/>
          <w:szCs w:val="18"/>
          <w:color w:val="auto"/>
        </w:rPr>
      </w:pPr>
    </w:p>
    <w:p>
      <w:pPr>
        <w:ind w:left="500" w:hanging="141"/>
        <w:spacing w:after="0" w:line="277" w:lineRule="auto"/>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installation of manufacturing equipment and the ability to obtain needed third-party foundry and assembly/test subcontract services.</w:t>
      </w:r>
    </w:p>
    <w:p>
      <w:pPr>
        <w:spacing w:after="0" w:line="19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For a more detailed discussion of these factors, see the “Risk Factors” discussion in Item 1A of the Company’s most recent Form 10-K. The forward-looking statements included in this report on Form 8-K are made only as of the date of this report, and the Company undertakes no obligation to update the forward-looking statements to reflect subsequent events or circumstances.</w:t>
      </w:r>
    </w:p>
    <w:p>
      <w:pPr>
        <w:sectPr>
          <w:pgSz w:w="11900" w:h="16838" w:orient="portrait"/>
          <w:cols w:equalWidth="0" w:num="1">
            <w:col w:w="11420"/>
          </w:cols>
          <w:pgMar w:left="240" w:top="517" w:right="239" w:bottom="0" w:gutter="0" w:footer="0" w:header="0"/>
        </w:sectPr>
      </w:pPr>
    </w:p>
    <w:bookmarkStart w:id="2" w:name="page3"/>
    <w:bookmarkEnd w:id="2"/>
    <w:p>
      <w:pPr>
        <w:jc w:val="center"/>
        <w:ind w:right="-15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TEXAS INSTRUMENTS INCORPORATED</w:t>
      </w:r>
    </w:p>
    <w:p>
      <w:pPr>
        <w:spacing w:after="0" w:line="225" w:lineRule="exact"/>
        <w:rPr>
          <w:sz w:val="20"/>
          <w:szCs w:val="20"/>
          <w:color w:val="auto"/>
        </w:rPr>
      </w:pPr>
    </w:p>
    <w:p>
      <w:pPr>
        <w:spacing w:after="0"/>
        <w:tabs>
          <w:tab w:leader="none" w:pos="5640" w:val="left"/>
          <w:tab w:leader="none" w:pos="6080" w:val="left"/>
        </w:tabs>
        <w:rPr>
          <w:sz w:val="20"/>
          <w:szCs w:val="20"/>
          <w:color w:val="auto"/>
        </w:rPr>
      </w:pPr>
      <w:r>
        <w:rPr>
          <w:rFonts w:ascii="Arial" w:cs="Arial" w:eastAsia="Arial" w:hAnsi="Arial"/>
          <w:sz w:val="18"/>
          <w:szCs w:val="18"/>
          <w:color w:val="auto"/>
        </w:rPr>
        <w:t>Date: January 25, 2010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3872865</wp:posOffset>
            </wp:positionH>
            <wp:positionV relativeFrom="paragraph">
              <wp:posOffset>14605</wp:posOffset>
            </wp:positionV>
            <wp:extent cx="337883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78835" cy="17145"/>
                    </a:xfrm>
                    <a:prstGeom prst="rect">
                      <a:avLst/>
                    </a:prstGeom>
                    <a:noFill/>
                  </pic:spPr>
                </pic:pic>
              </a:graphicData>
            </a:graphic>
          </wp:anchor>
        </w:drawing>
      </w:r>
    </w:p>
    <w:p>
      <w:pPr>
        <w:spacing w:after="0" w:line="16"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Kevin P. March</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Senior Vice President</w:t>
      </w:r>
    </w:p>
    <w:p>
      <w:pPr>
        <w:spacing w:after="0" w:line="9"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and Chief Financial Officer</w:t>
      </w:r>
    </w:p>
    <w:p>
      <w:pPr>
        <w:sectPr>
          <w:pgSz w:w="11900" w:h="16838" w:orient="portrait"/>
          <w:cols w:equalWidth="0" w:num="1">
            <w:col w:w="11280"/>
          </w:cols>
          <w:pgMar w:left="240" w:top="125"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u w:val="single" w:color="auto"/>
          <w:color w:val="auto"/>
        </w:rPr>
        <w:t>Exhibit 99</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TI reports financial results for 4Q09 and 2009</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Conference call on TI web site at 4:30 p.m. Central time today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www.ti.com/ir</w:t>
      </w:r>
    </w:p>
    <w:p>
      <w:pPr>
        <w:spacing w:after="0" w:line="23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DALLAS (Jan. 25, 2010) – Texas Instruments Incorporated (TI) (NYSE: TXN) today announced fourth-quarter revenue of $3.00 billion, net income of $655 million and earnings per share (EPS) of $0.52.</w:t>
      </w:r>
    </w:p>
    <w:p>
      <w:pPr>
        <w:spacing w:after="0" w:line="22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“TI’s growth and improving performance reflect our focus on Analog and Embedded Processing. These are large, diverse businesses that give us access to the world’s fastest-growing electronics markets,” said Rich Templeton, TI chairman, president and chief executive officer.</w:t>
      </w:r>
    </w:p>
    <w:p>
      <w:pPr>
        <w:spacing w:after="0" w:line="19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the fourth quarter, demand was strong across end markets without the usual holiday slowdown. Throughout, we believe customer and channel inventories have been lean. With demand continuing to be solid and inventories well below historical levels, our outlook for the first quarter reflects the likelihood of sequential growth instead of the typical seasonal decline.</w:t>
      </w:r>
    </w:p>
    <w:p>
      <w:pPr>
        <w:spacing w:after="0" w:line="208"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“We continue to make investments to support customers and drive growth, including the ramp-up of the industry's first 300-millimeter analog factory in Richardson, Texas,” Templeton concluded.</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4Q09 financial summary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Amounts are in millions of dollars, except per-share amounts.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3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4Q09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4Q08</w:t>
            </w:r>
          </w:p>
        </w:tc>
        <w:tc>
          <w:tcPr>
            <w:tcW w:w="340" w:type="dxa"/>
            <w:vAlign w:val="bottom"/>
          </w:tcPr>
          <w:p>
            <w:pPr>
              <w:spacing w:after="0"/>
              <w:rPr>
                <w:sz w:val="20"/>
                <w:szCs w:val="20"/>
                <w:color w:val="auto"/>
              </w:rPr>
            </w:pPr>
          </w:p>
        </w:tc>
        <w:tc>
          <w:tcPr>
            <w:tcW w:w="10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w w:val="88"/>
              </w:rPr>
              <w:t>vs. 4Q08</w:t>
            </w:r>
          </w:p>
        </w:tc>
        <w:tc>
          <w:tcPr>
            <w:tcW w:w="3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3Q09</w:t>
            </w:r>
          </w:p>
        </w:tc>
        <w:tc>
          <w:tcPr>
            <w:tcW w:w="220" w:type="dxa"/>
            <w:vAlign w:val="bottom"/>
          </w:tcPr>
          <w:p>
            <w:pPr>
              <w:spacing w:after="0"/>
              <w:rPr>
                <w:sz w:val="20"/>
                <w:szCs w:val="20"/>
                <w:color w:val="auto"/>
              </w:rPr>
            </w:pPr>
          </w:p>
        </w:tc>
        <w:tc>
          <w:tcPr>
            <w:tcW w:w="124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w w:val="88"/>
              </w:rPr>
              <w:t>vs. 3Q09</w:t>
            </w:r>
          </w:p>
        </w:tc>
        <w:tc>
          <w:tcPr>
            <w:tcW w:w="1360" w:type="dxa"/>
            <w:vAlign w:val="bottom"/>
          </w:tcPr>
          <w:p>
            <w:pPr>
              <w:spacing w:after="0"/>
              <w:rPr>
                <w:sz w:val="20"/>
                <w:szCs w:val="20"/>
                <w:color w:val="auto"/>
              </w:rPr>
            </w:pPr>
          </w:p>
        </w:tc>
      </w:tr>
      <w:tr>
        <w:trPr>
          <w:trHeight w:val="216"/>
        </w:trPr>
        <w:tc>
          <w:tcPr>
            <w:tcW w:w="3340" w:type="dxa"/>
            <w:vAlign w:val="bottom"/>
            <w:shd w:val="clear" w:color="auto" w:fill="CCEEFF"/>
          </w:tcPr>
          <w:p>
            <w:pPr>
              <w:jc w:val="right"/>
              <w:ind w:right="1530"/>
              <w:spacing w:after="0"/>
              <w:rPr>
                <w:sz w:val="20"/>
                <w:szCs w:val="20"/>
                <w:color w:val="auto"/>
              </w:rPr>
            </w:pPr>
            <w:r>
              <w:rPr>
                <w:rFonts w:ascii="Arial" w:cs="Arial" w:eastAsia="Arial" w:hAnsi="Arial"/>
                <w:sz w:val="18"/>
                <w:szCs w:val="18"/>
                <w:color w:val="auto"/>
              </w:rPr>
              <w:t>Revenue:</w:t>
            </w:r>
          </w:p>
        </w:tc>
        <w:tc>
          <w:tcPr>
            <w:tcW w:w="420" w:type="dxa"/>
            <w:vAlign w:val="bottom"/>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3,005</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2,491</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2,880</w:t>
            </w:r>
          </w:p>
        </w:tc>
        <w:tc>
          <w:tcPr>
            <w:tcW w:w="2600" w:type="dxa"/>
            <w:vAlign w:val="bottom"/>
            <w:gridSpan w:val="2"/>
            <w:shd w:val="clear" w:color="auto" w:fill="CCEEFF"/>
          </w:tcPr>
          <w:p>
            <w:pPr>
              <w:jc w:val="right"/>
              <w:ind w:right="1220"/>
              <w:spacing w:after="0"/>
              <w:rPr>
                <w:sz w:val="20"/>
                <w:szCs w:val="20"/>
                <w:color w:val="auto"/>
              </w:rPr>
            </w:pPr>
            <w:r>
              <w:rPr>
                <w:rFonts w:ascii="Arial" w:cs="Arial" w:eastAsia="Arial" w:hAnsi="Arial"/>
                <w:sz w:val="18"/>
                <w:szCs w:val="18"/>
                <w:color w:val="auto"/>
              </w:rPr>
              <w:t>4%</w:t>
            </w:r>
          </w:p>
        </w:tc>
      </w:tr>
      <w:tr>
        <w:trPr>
          <w:trHeight w:val="216"/>
        </w:trPr>
        <w:tc>
          <w:tcPr>
            <w:tcW w:w="3340" w:type="dxa"/>
            <w:vAlign w:val="bottom"/>
          </w:tcPr>
          <w:p>
            <w:pPr>
              <w:jc w:val="right"/>
              <w:ind w:right="1530"/>
              <w:spacing w:after="0"/>
              <w:rPr>
                <w:sz w:val="20"/>
                <w:szCs w:val="20"/>
                <w:color w:val="auto"/>
              </w:rPr>
            </w:pPr>
            <w:r>
              <w:rPr>
                <w:rFonts w:ascii="Arial" w:cs="Arial" w:eastAsia="Arial" w:hAnsi="Arial"/>
                <w:sz w:val="18"/>
                <w:szCs w:val="18"/>
                <w:color w:val="auto"/>
              </w:rPr>
              <w:t>Operating profit:</w:t>
            </w:r>
          </w:p>
        </w:tc>
        <w:tc>
          <w:tcPr>
            <w:tcW w:w="420" w:type="dxa"/>
            <w:vAlign w:val="bottom"/>
          </w:tcPr>
          <w:p>
            <w:pPr>
              <w:jc w:val="right"/>
              <w:ind w:right="265"/>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875</w:t>
            </w: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51</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1,616%</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763</w:t>
            </w:r>
          </w:p>
        </w:tc>
        <w:tc>
          <w:tcPr>
            <w:tcW w:w="2600" w:type="dxa"/>
            <w:vAlign w:val="bottom"/>
            <w:gridSpan w:val="2"/>
          </w:tcPr>
          <w:p>
            <w:pPr>
              <w:jc w:val="right"/>
              <w:ind w:right="1220"/>
              <w:spacing w:after="0"/>
              <w:rPr>
                <w:sz w:val="20"/>
                <w:szCs w:val="20"/>
                <w:color w:val="auto"/>
              </w:rPr>
            </w:pPr>
            <w:r>
              <w:rPr>
                <w:rFonts w:ascii="Arial" w:cs="Arial" w:eastAsia="Arial" w:hAnsi="Arial"/>
                <w:sz w:val="18"/>
                <w:szCs w:val="18"/>
                <w:color w:val="auto"/>
              </w:rPr>
              <w:t>15%</w:t>
            </w:r>
          </w:p>
        </w:tc>
      </w:tr>
      <w:tr>
        <w:trPr>
          <w:trHeight w:val="216"/>
        </w:trPr>
        <w:tc>
          <w:tcPr>
            <w:tcW w:w="3340" w:type="dxa"/>
            <w:vAlign w:val="bottom"/>
            <w:shd w:val="clear" w:color="auto" w:fill="CCEEFF"/>
          </w:tcPr>
          <w:p>
            <w:pPr>
              <w:jc w:val="right"/>
              <w:ind w:right="1530"/>
              <w:spacing w:after="0"/>
              <w:rPr>
                <w:sz w:val="20"/>
                <w:szCs w:val="20"/>
                <w:color w:val="auto"/>
              </w:rPr>
            </w:pPr>
            <w:r>
              <w:rPr>
                <w:rFonts w:ascii="Arial" w:cs="Arial" w:eastAsia="Arial" w:hAnsi="Arial"/>
                <w:sz w:val="18"/>
                <w:szCs w:val="18"/>
                <w:color w:val="auto"/>
              </w:rPr>
              <w:t>Net income:</w:t>
            </w:r>
          </w:p>
        </w:tc>
        <w:tc>
          <w:tcPr>
            <w:tcW w:w="420" w:type="dxa"/>
            <w:vAlign w:val="bottom"/>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655</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107</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512%</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538</w:t>
            </w:r>
          </w:p>
        </w:tc>
        <w:tc>
          <w:tcPr>
            <w:tcW w:w="2600" w:type="dxa"/>
            <w:vAlign w:val="bottom"/>
            <w:gridSpan w:val="2"/>
            <w:shd w:val="clear" w:color="auto" w:fill="CCEEFF"/>
          </w:tcPr>
          <w:p>
            <w:pPr>
              <w:jc w:val="right"/>
              <w:ind w:right="1220"/>
              <w:spacing w:after="0"/>
              <w:rPr>
                <w:sz w:val="20"/>
                <w:szCs w:val="20"/>
                <w:color w:val="auto"/>
              </w:rPr>
            </w:pPr>
            <w:r>
              <w:rPr>
                <w:rFonts w:ascii="Arial" w:cs="Arial" w:eastAsia="Arial" w:hAnsi="Arial"/>
                <w:sz w:val="18"/>
                <w:szCs w:val="18"/>
                <w:color w:val="auto"/>
              </w:rPr>
              <w:t>22%</w:t>
            </w:r>
          </w:p>
        </w:tc>
      </w:tr>
      <w:tr>
        <w:trPr>
          <w:trHeight w:val="216"/>
        </w:trPr>
        <w:tc>
          <w:tcPr>
            <w:tcW w:w="3340" w:type="dxa"/>
            <w:vAlign w:val="bottom"/>
          </w:tcPr>
          <w:p>
            <w:pPr>
              <w:jc w:val="right"/>
              <w:ind w:right="1530"/>
              <w:spacing w:after="0"/>
              <w:rPr>
                <w:sz w:val="20"/>
                <w:szCs w:val="20"/>
                <w:color w:val="auto"/>
              </w:rPr>
            </w:pPr>
            <w:r>
              <w:rPr>
                <w:rFonts w:ascii="Arial" w:cs="Arial" w:eastAsia="Arial" w:hAnsi="Arial"/>
                <w:sz w:val="18"/>
                <w:szCs w:val="18"/>
                <w:color w:val="auto"/>
              </w:rPr>
              <w:t>Earnings per share:</w:t>
            </w:r>
          </w:p>
        </w:tc>
        <w:tc>
          <w:tcPr>
            <w:tcW w:w="420" w:type="dxa"/>
            <w:vAlign w:val="bottom"/>
          </w:tcPr>
          <w:p>
            <w:pPr>
              <w:jc w:val="right"/>
              <w:ind w:right="265"/>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0.52</w:t>
            </w: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0.08</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550%</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0.42</w:t>
            </w:r>
          </w:p>
        </w:tc>
        <w:tc>
          <w:tcPr>
            <w:tcW w:w="2600" w:type="dxa"/>
            <w:vAlign w:val="bottom"/>
            <w:gridSpan w:val="2"/>
          </w:tcPr>
          <w:p>
            <w:pPr>
              <w:jc w:val="right"/>
              <w:ind w:right="1220"/>
              <w:spacing w:after="0"/>
              <w:rPr>
                <w:sz w:val="20"/>
                <w:szCs w:val="20"/>
                <w:color w:val="auto"/>
              </w:rPr>
            </w:pPr>
            <w:r>
              <w:rPr>
                <w:rFonts w:ascii="Arial" w:cs="Arial" w:eastAsia="Arial" w:hAnsi="Arial"/>
                <w:sz w:val="18"/>
                <w:szCs w:val="18"/>
                <w:color w:val="auto"/>
              </w:rPr>
              <w:t>24%</w:t>
            </w:r>
          </w:p>
        </w:tc>
      </w:tr>
      <w:tr>
        <w:trPr>
          <w:trHeight w:val="202"/>
        </w:trPr>
        <w:tc>
          <w:tcPr>
            <w:tcW w:w="3340" w:type="dxa"/>
            <w:vAlign w:val="bottom"/>
            <w:shd w:val="clear" w:color="auto" w:fill="CCEEFF"/>
          </w:tcPr>
          <w:p>
            <w:pPr>
              <w:jc w:val="right"/>
              <w:ind w:right="1530"/>
              <w:spacing w:after="0" w:line="201" w:lineRule="exact"/>
              <w:rPr>
                <w:sz w:val="20"/>
                <w:szCs w:val="20"/>
                <w:color w:val="auto"/>
              </w:rPr>
            </w:pPr>
            <w:r>
              <w:rPr>
                <w:rFonts w:ascii="Arial" w:cs="Arial" w:eastAsia="Arial" w:hAnsi="Arial"/>
                <w:sz w:val="18"/>
                <w:szCs w:val="18"/>
                <w:color w:val="auto"/>
              </w:rPr>
              <w:t>Cash flow from</w:t>
            </w:r>
          </w:p>
        </w:tc>
        <w:tc>
          <w:tcPr>
            <w:tcW w:w="4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30"/>
        </w:trPr>
        <w:tc>
          <w:tcPr>
            <w:tcW w:w="3340" w:type="dxa"/>
            <w:vAlign w:val="bottom"/>
            <w:shd w:val="clear" w:color="auto" w:fill="CCEEFF"/>
          </w:tcPr>
          <w:p>
            <w:pPr>
              <w:jc w:val="right"/>
              <w:ind w:right="1530"/>
              <w:spacing w:after="0"/>
              <w:rPr>
                <w:sz w:val="20"/>
                <w:szCs w:val="20"/>
                <w:color w:val="auto"/>
              </w:rPr>
            </w:pPr>
            <w:r>
              <w:rPr>
                <w:rFonts w:ascii="Arial" w:cs="Arial" w:eastAsia="Arial" w:hAnsi="Arial"/>
                <w:sz w:val="18"/>
                <w:szCs w:val="18"/>
                <w:color w:val="auto"/>
              </w:rPr>
              <w:t>operations:</w:t>
            </w:r>
          </w:p>
        </w:tc>
        <w:tc>
          <w:tcPr>
            <w:tcW w:w="420" w:type="dxa"/>
            <w:vAlign w:val="bottom"/>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1,113</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834</w:t>
            </w:r>
          </w:p>
        </w:tc>
        <w:tc>
          <w:tcPr>
            <w:tcW w:w="2600" w:type="dxa"/>
            <w:vAlign w:val="bottom"/>
            <w:gridSpan w:val="2"/>
            <w:shd w:val="clear" w:color="auto" w:fill="CCEEFF"/>
          </w:tcPr>
          <w:p>
            <w:pPr>
              <w:jc w:val="right"/>
              <w:ind w:right="1220"/>
              <w:spacing w:after="0"/>
              <w:rPr>
                <w:sz w:val="20"/>
                <w:szCs w:val="20"/>
                <w:color w:val="auto"/>
              </w:rPr>
            </w:pPr>
            <w:r>
              <w:rPr>
                <w:rFonts w:ascii="Arial" w:cs="Arial" w:eastAsia="Arial" w:hAnsi="Arial"/>
                <w:sz w:val="18"/>
                <w:szCs w:val="18"/>
                <w:color w:val="auto"/>
              </w:rPr>
              <w:t>20%</w:t>
            </w:r>
          </w:p>
        </w:tc>
      </w:tr>
    </w:tbl>
    <w:p>
      <w:pPr>
        <w:spacing w:after="0" w:line="22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TI’s operating profit increased compared with the fourth quarter of 2008 and the prior quarter primarily due to higher gross profit, which included the impact of higher revenue and the benefit associated with higher utilization of manufacturing assets. In addition, restructuring charges were lower compared with a year ago.</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40" w:type="dxa"/>
            <w:vAlign w:val="bottom"/>
            <w:gridSpan w:val="3"/>
          </w:tcPr>
          <w:p>
            <w:pPr>
              <w:spacing w:after="0"/>
              <w:rPr>
                <w:sz w:val="20"/>
                <w:szCs w:val="20"/>
                <w:color w:val="auto"/>
              </w:rPr>
            </w:pPr>
            <w:r>
              <w:rPr>
                <w:rFonts w:ascii="Arial" w:cs="Arial" w:eastAsia="Arial" w:hAnsi="Arial"/>
                <w:sz w:val="18"/>
                <w:szCs w:val="18"/>
                <w:b w:val="1"/>
                <w:bCs w:val="1"/>
                <w:color w:val="auto"/>
              </w:rPr>
              <w:t>4Q09 segment results</w:t>
            </w: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64"/>
        </w:trPr>
        <w:tc>
          <w:tcPr>
            <w:tcW w:w="20" w:type="dxa"/>
            <w:vAlign w:val="bottom"/>
          </w:tcPr>
          <w:p>
            <w:pPr>
              <w:spacing w:after="0"/>
              <w:rPr>
                <w:sz w:val="22"/>
                <w:szCs w:val="22"/>
                <w:color w:val="auto"/>
              </w:rPr>
            </w:pPr>
          </w:p>
        </w:tc>
        <w:tc>
          <w:tcPr>
            <w:tcW w:w="1620" w:type="dxa"/>
            <w:vAlign w:val="bottom"/>
            <w:tcBorders>
              <w:top w:val="single" w:sz="8" w:color="auto"/>
            </w:tcBorders>
          </w:tcPr>
          <w:p>
            <w:pPr>
              <w:spacing w:after="0"/>
              <w:rPr>
                <w:sz w:val="22"/>
                <w:szCs w:val="22"/>
                <w:color w:val="auto"/>
              </w:rPr>
            </w:pPr>
          </w:p>
        </w:tc>
        <w:tc>
          <w:tcPr>
            <w:tcW w:w="10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3"/>
        </w:trPr>
        <w:tc>
          <w:tcPr>
            <w:tcW w:w="20" w:type="dxa"/>
            <w:vAlign w:val="bottom"/>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4Q09</w:t>
            </w:r>
          </w:p>
        </w:tc>
        <w:tc>
          <w:tcPr>
            <w:tcW w:w="4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4Q08</w:t>
            </w:r>
          </w:p>
        </w:tc>
        <w:tc>
          <w:tcPr>
            <w:tcW w:w="1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vs. 4Q08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3Q09</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vs. 3Q09</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Note</w:t>
            </w:r>
          </w:p>
        </w:tc>
      </w:tr>
      <w:tr>
        <w:trPr>
          <w:trHeight w:val="202"/>
        </w:trPr>
        <w:tc>
          <w:tcPr>
            <w:tcW w:w="20" w:type="dxa"/>
            <w:vAlign w:val="bottom"/>
          </w:tcPr>
          <w:p>
            <w:pPr>
              <w:spacing w:after="0"/>
              <w:rPr>
                <w:sz w:val="17"/>
                <w:szCs w:val="17"/>
                <w:color w:val="auto"/>
              </w:rPr>
            </w:pPr>
          </w:p>
        </w:tc>
        <w:tc>
          <w:tcPr>
            <w:tcW w:w="2620" w:type="dxa"/>
            <w:vAlign w:val="bottom"/>
            <w:tcBorders>
              <w:top w:val="single" w:sz="8" w:color="CCEEFF"/>
            </w:tcBorders>
            <w:gridSpan w:val="2"/>
          </w:tcPr>
          <w:p>
            <w:pPr>
              <w:spacing w:after="0" w:line="201" w:lineRule="exact"/>
              <w:rPr>
                <w:sz w:val="20"/>
                <w:szCs w:val="20"/>
                <w:color w:val="auto"/>
              </w:rPr>
            </w:pPr>
            <w:r>
              <w:rPr>
                <w:rFonts w:ascii="Arial" w:cs="Arial" w:eastAsia="Arial" w:hAnsi="Arial"/>
                <w:sz w:val="18"/>
                <w:szCs w:val="18"/>
                <w:color w:val="auto"/>
              </w:rPr>
              <w:t>Analog:</w:t>
            </w:r>
          </w:p>
        </w:tc>
        <w:tc>
          <w:tcPr>
            <w:tcW w:w="680" w:type="dxa"/>
            <w:vAlign w:val="bottom"/>
            <w:tcBorders>
              <w:top w:val="single" w:sz="8" w:color="CCEEFF"/>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620" w:type="dxa"/>
            <w:vAlign w:val="bottom"/>
            <w:gridSpan w:val="2"/>
          </w:tcPr>
          <w:p>
            <w:pPr>
              <w:ind w:left="340"/>
              <w:spacing w:after="0"/>
              <w:rPr>
                <w:sz w:val="20"/>
                <w:szCs w:val="20"/>
                <w:color w:val="auto"/>
              </w:rPr>
            </w:pPr>
            <w:r>
              <w:rPr>
                <w:rFonts w:ascii="Arial" w:cs="Arial" w:eastAsia="Arial" w:hAnsi="Arial"/>
                <w:sz w:val="18"/>
                <w:szCs w:val="18"/>
                <w:color w:val="auto"/>
              </w:rPr>
              <w:t>Revenue</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1,289</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1,015</w:t>
            </w:r>
          </w:p>
        </w:tc>
        <w:tc>
          <w:tcPr>
            <w:tcW w:w="1300" w:type="dxa"/>
            <w:vAlign w:val="bottom"/>
          </w:tcPr>
          <w:p>
            <w:pPr>
              <w:jc w:val="right"/>
              <w:spacing w:after="0"/>
              <w:rPr>
                <w:sz w:val="20"/>
                <w:szCs w:val="20"/>
                <w:color w:val="auto"/>
              </w:rPr>
            </w:pPr>
            <w:r>
              <w:rPr>
                <w:rFonts w:ascii="Arial" w:cs="Arial" w:eastAsia="Arial" w:hAnsi="Arial"/>
                <w:sz w:val="18"/>
                <w:szCs w:val="18"/>
                <w:color w:val="auto"/>
              </w:rPr>
              <w:t>27%</w:t>
            </w:r>
          </w:p>
        </w:tc>
        <w:tc>
          <w:tcPr>
            <w:tcW w:w="5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1,184</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1260" w:type="dxa"/>
            <w:vAlign w:val="bottom"/>
            <w:gridSpan w:val="2"/>
          </w:tcPr>
          <w:p>
            <w:pPr>
              <w:jc w:val="right"/>
              <w:ind w:right="3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Operating profit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386</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306</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2620" w:type="dxa"/>
            <w:vAlign w:val="bottom"/>
            <w:gridSpan w:val="2"/>
          </w:tcPr>
          <w:p>
            <w:pPr>
              <w:spacing w:after="0" w:line="201" w:lineRule="exact"/>
              <w:rPr>
                <w:sz w:val="20"/>
                <w:szCs w:val="20"/>
                <w:color w:val="auto"/>
              </w:rPr>
            </w:pPr>
            <w:r>
              <w:rPr>
                <w:rFonts w:ascii="Arial" w:cs="Arial" w:eastAsia="Arial" w:hAnsi="Arial"/>
                <w:sz w:val="18"/>
                <w:szCs w:val="18"/>
                <w:color w:val="auto"/>
              </w:rPr>
              <w:t>Embedded Processing:</w:t>
            </w: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620" w:type="dxa"/>
            <w:vAlign w:val="bottom"/>
            <w:gridSpan w:val="2"/>
          </w:tcPr>
          <w:p>
            <w:pPr>
              <w:ind w:left="340"/>
              <w:spacing w:after="0"/>
              <w:rPr>
                <w:sz w:val="20"/>
                <w:szCs w:val="20"/>
                <w:color w:val="auto"/>
              </w:rPr>
            </w:pPr>
            <w:r>
              <w:rPr>
                <w:rFonts w:ascii="Arial" w:cs="Arial" w:eastAsia="Arial" w:hAnsi="Arial"/>
                <w:sz w:val="18"/>
                <w:szCs w:val="18"/>
                <w:color w:val="auto"/>
              </w:rPr>
              <w:t>Revenue</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412</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340</w:t>
            </w:r>
          </w:p>
        </w:tc>
        <w:tc>
          <w:tcPr>
            <w:tcW w:w="1300" w:type="dxa"/>
            <w:vAlign w:val="bottom"/>
          </w:tcPr>
          <w:p>
            <w:pPr>
              <w:jc w:val="right"/>
              <w:spacing w:after="0"/>
              <w:rPr>
                <w:sz w:val="20"/>
                <w:szCs w:val="20"/>
                <w:color w:val="auto"/>
              </w:rPr>
            </w:pPr>
            <w:r>
              <w:rPr>
                <w:rFonts w:ascii="Arial" w:cs="Arial" w:eastAsia="Arial" w:hAnsi="Arial"/>
                <w:sz w:val="18"/>
                <w:szCs w:val="18"/>
                <w:color w:val="auto"/>
              </w:rPr>
              <w:t>21%</w:t>
            </w:r>
          </w:p>
        </w:tc>
        <w:tc>
          <w:tcPr>
            <w:tcW w:w="5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393</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260" w:type="dxa"/>
            <w:vAlign w:val="bottom"/>
            <w:gridSpan w:val="2"/>
          </w:tcPr>
          <w:p>
            <w:pPr>
              <w:jc w:val="right"/>
              <w:ind w:right="3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Operating profit (loss)</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2620" w:type="dxa"/>
            <w:vAlign w:val="bottom"/>
            <w:gridSpan w:val="2"/>
          </w:tcPr>
          <w:p>
            <w:pPr>
              <w:spacing w:after="0" w:line="201" w:lineRule="exact"/>
              <w:rPr>
                <w:sz w:val="20"/>
                <w:szCs w:val="20"/>
                <w:color w:val="auto"/>
              </w:rPr>
            </w:pPr>
            <w:r>
              <w:rPr>
                <w:rFonts w:ascii="Arial" w:cs="Arial" w:eastAsia="Arial" w:hAnsi="Arial"/>
                <w:sz w:val="18"/>
                <w:szCs w:val="18"/>
                <w:color w:val="auto"/>
              </w:rPr>
              <w:t>Wireless:</w:t>
            </w: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620" w:type="dxa"/>
            <w:vAlign w:val="bottom"/>
            <w:gridSpan w:val="2"/>
          </w:tcPr>
          <w:p>
            <w:pPr>
              <w:ind w:left="340"/>
              <w:spacing w:after="0"/>
              <w:rPr>
                <w:sz w:val="20"/>
                <w:szCs w:val="20"/>
                <w:color w:val="auto"/>
              </w:rPr>
            </w:pPr>
            <w:r>
              <w:rPr>
                <w:rFonts w:ascii="Arial" w:cs="Arial" w:eastAsia="Arial" w:hAnsi="Arial"/>
                <w:sz w:val="18"/>
                <w:szCs w:val="18"/>
                <w:color w:val="auto"/>
              </w:rPr>
              <w:t>Revenue</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732</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646</w:t>
            </w:r>
          </w:p>
        </w:tc>
        <w:tc>
          <w:tcPr>
            <w:tcW w:w="1300" w:type="dxa"/>
            <w:vAlign w:val="bottom"/>
          </w:tcPr>
          <w:p>
            <w:pPr>
              <w:jc w:val="right"/>
              <w:spacing w:after="0"/>
              <w:rPr>
                <w:sz w:val="20"/>
                <w:szCs w:val="20"/>
                <w:color w:val="auto"/>
              </w:rPr>
            </w:pPr>
            <w:r>
              <w:rPr>
                <w:rFonts w:ascii="Arial" w:cs="Arial" w:eastAsia="Arial" w:hAnsi="Arial"/>
                <w:sz w:val="18"/>
                <w:szCs w:val="18"/>
                <w:color w:val="auto"/>
              </w:rPr>
              <w:t>13%</w:t>
            </w:r>
          </w:p>
        </w:tc>
        <w:tc>
          <w:tcPr>
            <w:tcW w:w="5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675</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1260" w:type="dxa"/>
            <w:vAlign w:val="bottom"/>
            <w:gridSpan w:val="2"/>
          </w:tcPr>
          <w:p>
            <w:pPr>
              <w:jc w:val="right"/>
              <w:ind w:right="3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Operating profit (loss)</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178</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110</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2620" w:type="dxa"/>
            <w:vAlign w:val="bottom"/>
            <w:gridSpan w:val="2"/>
          </w:tcPr>
          <w:p>
            <w:pPr>
              <w:spacing w:after="0" w:line="201" w:lineRule="exact"/>
              <w:rPr>
                <w:sz w:val="20"/>
                <w:szCs w:val="20"/>
                <w:color w:val="auto"/>
              </w:rPr>
            </w:pPr>
            <w:r>
              <w:rPr>
                <w:rFonts w:ascii="Arial" w:cs="Arial" w:eastAsia="Arial" w:hAnsi="Arial"/>
                <w:sz w:val="18"/>
                <w:szCs w:val="18"/>
                <w:color w:val="auto"/>
              </w:rPr>
              <w:t>Other:</w:t>
            </w: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620" w:type="dxa"/>
            <w:vAlign w:val="bottom"/>
            <w:gridSpan w:val="2"/>
          </w:tcPr>
          <w:p>
            <w:pPr>
              <w:ind w:left="340"/>
              <w:spacing w:after="0"/>
              <w:rPr>
                <w:sz w:val="20"/>
                <w:szCs w:val="20"/>
                <w:color w:val="auto"/>
              </w:rPr>
            </w:pPr>
            <w:r>
              <w:rPr>
                <w:rFonts w:ascii="Arial" w:cs="Arial" w:eastAsia="Arial" w:hAnsi="Arial"/>
                <w:sz w:val="18"/>
                <w:szCs w:val="18"/>
                <w:color w:val="auto"/>
              </w:rPr>
              <w:t>Revenue</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572</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490</w:t>
            </w:r>
          </w:p>
        </w:tc>
        <w:tc>
          <w:tcPr>
            <w:tcW w:w="1300" w:type="dxa"/>
            <w:vAlign w:val="bottom"/>
          </w:tcPr>
          <w:p>
            <w:pPr>
              <w:jc w:val="right"/>
              <w:spacing w:after="0"/>
              <w:rPr>
                <w:sz w:val="20"/>
                <w:szCs w:val="20"/>
                <w:color w:val="auto"/>
              </w:rPr>
            </w:pPr>
            <w:r>
              <w:rPr>
                <w:rFonts w:ascii="Arial" w:cs="Arial" w:eastAsia="Arial" w:hAnsi="Arial"/>
                <w:sz w:val="18"/>
                <w:szCs w:val="18"/>
                <w:color w:val="auto"/>
              </w:rPr>
              <w:t>17%</w:t>
            </w:r>
          </w:p>
        </w:tc>
        <w:tc>
          <w:tcPr>
            <w:tcW w:w="5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628</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1260" w:type="dxa"/>
            <w:vAlign w:val="bottom"/>
            <w:gridSpan w:val="2"/>
          </w:tcPr>
          <w:p>
            <w:pPr>
              <w:jc w:val="right"/>
              <w:ind w:right="3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Operating profit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222</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272</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product categories in each segment are as follows:</w:t>
      </w:r>
    </w:p>
    <w:p>
      <w:pPr>
        <w:spacing w:after="0" w:line="252" w:lineRule="exact"/>
        <w:rPr>
          <w:sz w:val="20"/>
          <w:szCs w:val="20"/>
          <w:color w:val="auto"/>
        </w:rPr>
      </w:pPr>
    </w:p>
    <w:p>
      <w:pPr>
        <w:ind w:left="720" w:right="840"/>
        <w:spacing w:after="0" w:line="266" w:lineRule="auto"/>
        <w:rPr>
          <w:sz w:val="20"/>
          <w:szCs w:val="20"/>
          <w:color w:val="auto"/>
        </w:rPr>
      </w:pPr>
      <w:r>
        <w:rPr>
          <w:rFonts w:ascii="Arial" w:cs="Arial" w:eastAsia="Arial" w:hAnsi="Arial"/>
          <w:sz w:val="18"/>
          <w:szCs w:val="18"/>
          <w:i w:val="1"/>
          <w:iCs w:val="1"/>
          <w:color w:val="auto"/>
        </w:rPr>
        <w:t xml:space="preserve">Analog: high-volume analog </w:t>
      </w:r>
      <w:r>
        <w:rPr>
          <w:rFonts w:ascii="Arial" w:cs="Arial" w:eastAsia="Arial" w:hAnsi="Arial"/>
          <w:sz w:val="18"/>
          <w:szCs w:val="18"/>
          <w:color w:val="auto"/>
        </w:rPr>
        <w:t>&amp;</w:t>
      </w:r>
      <w:r>
        <w:rPr>
          <w:rFonts w:ascii="Arial" w:cs="Arial" w:eastAsia="Arial" w:hAnsi="Arial"/>
          <w:sz w:val="18"/>
          <w:szCs w:val="18"/>
          <w:i w:val="1"/>
          <w:iCs w:val="1"/>
          <w:color w:val="auto"/>
        </w:rPr>
        <w:t xml:space="preserve"> logic, high-performance analog (includes data converters, amplifiers and interface products) and power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-251460</wp:posOffset>
            </wp:positionV>
            <wp:extent cx="68580" cy="685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720"/>
        <w:spacing w:after="0"/>
        <w:rPr>
          <w:sz w:val="20"/>
          <w:szCs w:val="20"/>
          <w:color w:val="auto"/>
        </w:rPr>
      </w:pPr>
      <w:r>
        <w:rPr>
          <w:rFonts w:ascii="Arial" w:cs="Arial" w:eastAsia="Arial" w:hAnsi="Arial"/>
          <w:sz w:val="18"/>
          <w:szCs w:val="18"/>
          <w:i w:val="1"/>
          <w:iCs w:val="1"/>
          <w:color w:val="auto"/>
        </w:rPr>
        <w:t>Embedded Processing: DSPs and microcontrollers used in catalog, communications infrastructure and automotive applications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-91440</wp:posOffset>
            </wp:positionV>
            <wp:extent cx="68580" cy="68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0"/>
          <w:szCs w:val="20"/>
          <w:color w:val="auto"/>
        </w:rPr>
      </w:pPr>
    </w:p>
    <w:p>
      <w:pPr>
        <w:ind w:left="720"/>
        <w:spacing w:after="0"/>
        <w:rPr>
          <w:sz w:val="20"/>
          <w:szCs w:val="20"/>
          <w:color w:val="auto"/>
        </w:rPr>
      </w:pPr>
      <w:r>
        <w:rPr>
          <w:rFonts w:ascii="Arial" w:cs="Arial" w:eastAsia="Arial" w:hAnsi="Arial"/>
          <w:sz w:val="16"/>
          <w:szCs w:val="16"/>
          <w:i w:val="1"/>
          <w:iCs w:val="1"/>
          <w:color w:val="auto"/>
        </w:rPr>
        <w:t>Wireless: DSPs and analog used in basebands for handsets, OMAP™ applications processors and connectivity products for wireless applications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-76835</wp:posOffset>
            </wp:positionV>
            <wp:extent cx="68580"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39" w:lineRule="exact"/>
        <w:rPr>
          <w:sz w:val="20"/>
          <w:szCs w:val="20"/>
          <w:color w:val="auto"/>
        </w:rPr>
      </w:pPr>
    </w:p>
    <w:p>
      <w:pPr>
        <w:ind w:left="720"/>
        <w:spacing w:after="0"/>
        <w:rPr>
          <w:sz w:val="20"/>
          <w:szCs w:val="20"/>
          <w:color w:val="auto"/>
        </w:rPr>
      </w:pPr>
      <w:r>
        <w:rPr>
          <w:rFonts w:ascii="Arial" w:cs="Arial" w:eastAsia="Arial" w:hAnsi="Arial"/>
          <w:sz w:val="18"/>
          <w:szCs w:val="18"/>
          <w:i w:val="1"/>
          <w:iCs w:val="1"/>
          <w:color w:val="auto"/>
        </w:rPr>
        <w:t>Other: includes DLP</w:t>
      </w:r>
      <w:r>
        <w:rPr>
          <w:rFonts w:ascii="Arial" w:cs="Arial" w:eastAsia="Arial" w:hAnsi="Arial"/>
          <w:sz w:val="25"/>
          <w:szCs w:val="25"/>
          <w:i w:val="1"/>
          <w:iCs w:val="1"/>
          <w:color w:val="auto"/>
          <w:vertAlign w:val="superscript"/>
        </w:rPr>
        <w:t>®</w:t>
      </w:r>
      <w:r>
        <w:rPr>
          <w:rFonts w:ascii="Arial" w:cs="Arial" w:eastAsia="Arial" w:hAnsi="Arial"/>
          <w:sz w:val="18"/>
          <w:szCs w:val="18"/>
          <w:i w:val="1"/>
          <w:iCs w:val="1"/>
          <w:color w:val="auto"/>
        </w:rPr>
        <w:t xml:space="preserve"> products, calculators, ASIC products, RISC microprocessors and royalties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-142875</wp:posOffset>
            </wp:positionV>
            <wp:extent cx="68580"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25" w:lineRule="exact"/>
        <w:rPr>
          <w:sz w:val="20"/>
          <w:szCs w:val="20"/>
          <w:color w:val="auto"/>
        </w:rPr>
      </w:pPr>
    </w:p>
    <w:p>
      <w:pPr>
        <w:jc w:val="both"/>
        <w:ind w:left="340" w:hanging="308"/>
        <w:spacing w:after="0" w:line="264"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increase in Analog revenue from a year ago and from the prior quarter was primarily due to a combination of strength in power management and high-volume analog &amp; logic. High-performance analog revenue also increased, but to a lesser extent. The gains in operating profit for this segment, both from a year ago and sequentially, were primarily due to higher gross profit.</w:t>
      </w:r>
    </w:p>
    <w:p>
      <w:pPr>
        <w:spacing w:after="0" w:line="208" w:lineRule="exact"/>
        <w:rPr>
          <w:rFonts w:ascii="Arial" w:cs="Arial" w:eastAsia="Arial" w:hAnsi="Arial"/>
          <w:sz w:val="18"/>
          <w:szCs w:val="18"/>
          <w:color w:val="auto"/>
        </w:rPr>
      </w:pPr>
    </w:p>
    <w:p>
      <w:pPr>
        <w:jc w:val="both"/>
        <w:ind w:left="340" w:hanging="308"/>
        <w:spacing w:after="0" w:line="264"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increase in Embedded Processing revenue from a year ago and from the prior quarter was primarily due to a combination of higher catalog and automotive product revenue. Revenue from communications infrastructure products also increased, but to a lesser extent. The gains in operating profit for this segment, both from a year ago and sequentially, were primarily due to higher gross profit.</w:t>
      </w:r>
    </w:p>
    <w:p>
      <w:pPr>
        <w:spacing w:after="0" w:line="208" w:lineRule="exact"/>
        <w:rPr>
          <w:rFonts w:ascii="Arial" w:cs="Arial" w:eastAsia="Arial" w:hAnsi="Arial"/>
          <w:sz w:val="18"/>
          <w:szCs w:val="18"/>
          <w:color w:val="auto"/>
        </w:rPr>
      </w:pPr>
    </w:p>
    <w:p>
      <w:pPr>
        <w:jc w:val="both"/>
        <w:ind w:left="340" w:hanging="308"/>
        <w:spacing w:after="0" w:line="342" w:lineRule="auto"/>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increase in Wireless revenue from a year ago and from the prior quarter was primarily due to strength in connectivity products and applications processors. Baseband product revenue was about even with the year-ago quarter and increased sequentially. Operating profit in this segment increased</w:t>
      </w:r>
    </w:p>
    <w:p>
      <w:pPr>
        <w:sectPr>
          <w:pgSz w:w="11900" w:h="16838" w:orient="portrait"/>
          <w:cols w:equalWidth="0" w:num="1">
            <w:col w:w="11420"/>
          </w:cols>
          <w:pgMar w:left="240" w:top="125" w:right="239" w:bottom="0" w:gutter="0" w:footer="0" w:header="0"/>
        </w:sectPr>
      </w:pPr>
    </w:p>
    <w:bookmarkStart w:id="4" w:name="page5"/>
    <w:bookmarkEnd w:id="4"/>
    <w:p>
      <w:pPr>
        <w:spacing w:after="0" w:line="191" w:lineRule="exact"/>
        <w:rPr>
          <w:sz w:val="20"/>
          <w:szCs w:val="20"/>
          <w:color w:val="auto"/>
        </w:rPr>
      </w:pPr>
    </w:p>
    <w:p>
      <w:pPr>
        <w:ind w:left="340" w:right="20"/>
        <w:spacing w:after="0" w:line="277" w:lineRule="auto"/>
        <w:rPr>
          <w:sz w:val="20"/>
          <w:szCs w:val="20"/>
          <w:color w:val="auto"/>
        </w:rPr>
      </w:pPr>
      <w:r>
        <w:rPr>
          <w:rFonts w:ascii="Arial" w:cs="Arial" w:eastAsia="Arial" w:hAnsi="Arial"/>
          <w:sz w:val="18"/>
          <w:szCs w:val="18"/>
          <w:color w:val="auto"/>
        </w:rPr>
        <w:t>from a year ago primarily due to the combination of lower restructuring charges and higher gross profit, and increased from the prior quarter primarily due to higher gross profit.</w:t>
      </w:r>
    </w:p>
    <w:p>
      <w:pPr>
        <w:spacing w:after="0" w:line="197" w:lineRule="exact"/>
        <w:rPr>
          <w:sz w:val="20"/>
          <w:szCs w:val="20"/>
          <w:color w:val="auto"/>
        </w:rPr>
      </w:pPr>
    </w:p>
    <w:p>
      <w:pPr>
        <w:jc w:val="both"/>
        <w:ind w:left="340" w:hanging="308"/>
        <w:spacing w:after="0" w:line="259"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revenue increased from a year ago due to gains in DLP products, royalties and calculators. Revenue from RISC microprocessors declined from a year ago. Revenue in this segment decreased from the prior quarter due to the seasonal decline in calculator revenue. This was partially offset as revenue from DLP products and ASIC products increased. Operating profit in this segment increased from a year ago primarily due to higher gross profit and declined from the prior quarter due to seasonally lower gross profit.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Restructuring charges were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4Q09</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8"/>
                <w:szCs w:val="18"/>
                <w:color w:val="auto"/>
              </w:rPr>
              <w:t>4Q08</w:t>
            </w:r>
          </w:p>
        </w:tc>
        <w:tc>
          <w:tcPr>
            <w:tcW w:w="580" w:type="dxa"/>
            <w:vAlign w:val="bottom"/>
          </w:tcPr>
          <w:p>
            <w:pPr>
              <w:spacing w:after="0"/>
              <w:rPr>
                <w:sz w:val="20"/>
                <w:szCs w:val="20"/>
                <w:color w:val="auto"/>
              </w:rPr>
            </w:pPr>
          </w:p>
        </w:tc>
        <w:tc>
          <w:tcPr>
            <w:tcW w:w="4640" w:type="dxa"/>
            <w:vAlign w:val="bottom"/>
            <w:gridSpan w:val="2"/>
          </w:tcPr>
          <w:p>
            <w:pPr>
              <w:jc w:val="right"/>
              <w:ind w:right="3760"/>
              <w:spacing w:after="0"/>
              <w:rPr>
                <w:sz w:val="20"/>
                <w:szCs w:val="20"/>
                <w:color w:val="auto"/>
              </w:rPr>
            </w:pPr>
            <w:r>
              <w:rPr>
                <w:rFonts w:ascii="Arial" w:cs="Arial" w:eastAsia="Arial" w:hAnsi="Arial"/>
                <w:sz w:val="18"/>
                <w:szCs w:val="18"/>
                <w:color w:val="auto"/>
              </w:rPr>
              <w:t>3Q09</w:t>
            </w:r>
          </w:p>
        </w:tc>
      </w:tr>
      <w:tr>
        <w:trPr>
          <w:trHeight w:val="27"/>
        </w:trPr>
        <w:tc>
          <w:tcPr>
            <w:tcW w:w="2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760" w:type="dxa"/>
            <w:vAlign w:val="bottom"/>
          </w:tcPr>
          <w:p>
            <w:pPr>
              <w:spacing w:after="0"/>
              <w:rPr>
                <w:sz w:val="2"/>
                <w:szCs w:val="2"/>
                <w:color w:val="auto"/>
              </w:rPr>
            </w:pPr>
          </w:p>
        </w:tc>
      </w:tr>
      <w:tr>
        <w:trPr>
          <w:trHeight w:val="216"/>
        </w:trPr>
        <w:tc>
          <w:tcPr>
            <w:tcW w:w="23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Analog:</w:t>
            </w:r>
          </w:p>
        </w:tc>
        <w:tc>
          <w:tcPr>
            <w:tcW w:w="6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60</w:t>
            </w: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4640" w:type="dxa"/>
            <w:vAlign w:val="bottom"/>
            <w:gridSpan w:val="2"/>
            <w:shd w:val="clear" w:color="auto" w:fill="CCEEFF"/>
          </w:tcPr>
          <w:p>
            <w:pPr>
              <w:jc w:val="right"/>
              <w:ind w:right="3760"/>
              <w:spacing w:after="0"/>
              <w:rPr>
                <w:sz w:val="20"/>
                <w:szCs w:val="20"/>
                <w:color w:val="auto"/>
              </w:rPr>
            </w:pPr>
            <w:r>
              <w:rPr>
                <w:rFonts w:ascii="Arial" w:cs="Arial" w:eastAsia="Arial" w:hAnsi="Arial"/>
                <w:sz w:val="18"/>
                <w:szCs w:val="18"/>
                <w:color w:val="auto"/>
              </w:rPr>
              <w:t>4</w:t>
            </w:r>
          </w:p>
        </w:tc>
      </w:tr>
      <w:tr>
        <w:trPr>
          <w:trHeight w:val="202"/>
        </w:trPr>
        <w:tc>
          <w:tcPr>
            <w:tcW w:w="2300" w:type="dxa"/>
            <w:vAlign w:val="bottom"/>
          </w:tcPr>
          <w:p>
            <w:pPr>
              <w:jc w:val="right"/>
              <w:ind w:right="710"/>
              <w:spacing w:after="0" w:line="201" w:lineRule="exact"/>
              <w:rPr>
                <w:sz w:val="20"/>
                <w:szCs w:val="20"/>
                <w:color w:val="auto"/>
              </w:rPr>
            </w:pPr>
            <w:r>
              <w:rPr>
                <w:rFonts w:ascii="Arial" w:cs="Arial" w:eastAsia="Arial" w:hAnsi="Arial"/>
                <w:sz w:val="18"/>
                <w:szCs w:val="18"/>
                <w:color w:val="auto"/>
              </w:rPr>
              <w:t>Embedded</w:t>
            </w:r>
          </w:p>
        </w:tc>
        <w:tc>
          <w:tcPr>
            <w:tcW w:w="6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760" w:type="dxa"/>
            <w:vAlign w:val="bottom"/>
          </w:tcPr>
          <w:p>
            <w:pPr>
              <w:spacing w:after="0"/>
              <w:rPr>
                <w:sz w:val="17"/>
                <w:szCs w:val="17"/>
                <w:color w:val="auto"/>
              </w:rPr>
            </w:pPr>
          </w:p>
        </w:tc>
      </w:tr>
      <w:tr>
        <w:trPr>
          <w:trHeight w:val="230"/>
        </w:trPr>
        <w:tc>
          <w:tcPr>
            <w:tcW w:w="2300" w:type="dxa"/>
            <w:vAlign w:val="bottom"/>
          </w:tcPr>
          <w:p>
            <w:pPr>
              <w:jc w:val="right"/>
              <w:ind w:right="710"/>
              <w:spacing w:after="0"/>
              <w:rPr>
                <w:sz w:val="20"/>
                <w:szCs w:val="20"/>
                <w:color w:val="auto"/>
              </w:rPr>
            </w:pPr>
            <w:r>
              <w:rPr>
                <w:rFonts w:ascii="Arial" w:cs="Arial" w:eastAsia="Arial" w:hAnsi="Arial"/>
                <w:sz w:val="18"/>
                <w:szCs w:val="18"/>
                <w:color w:val="auto"/>
              </w:rPr>
              <w:t>Processing:</w:t>
            </w:r>
          </w:p>
        </w:tc>
        <w:tc>
          <w:tcPr>
            <w:tcW w:w="660" w:type="dxa"/>
            <w:vAlign w:val="bottom"/>
          </w:tcPr>
          <w:p>
            <w:pPr>
              <w:jc w:val="right"/>
              <w:ind w:right="47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7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60"/>
              <w:spacing w:after="0"/>
              <w:rPr>
                <w:sz w:val="20"/>
                <w:szCs w:val="20"/>
                <w:color w:val="auto"/>
              </w:rPr>
            </w:pPr>
            <w:r>
              <w:rPr>
                <w:rFonts w:ascii="Arial" w:cs="Arial" w:eastAsia="Arial" w:hAnsi="Arial"/>
                <w:sz w:val="18"/>
                <w:szCs w:val="18"/>
                <w:color w:val="auto"/>
              </w:rPr>
              <w:t>24</w:t>
            </w: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4640" w:type="dxa"/>
            <w:vAlign w:val="bottom"/>
            <w:gridSpan w:val="2"/>
          </w:tcPr>
          <w:p>
            <w:pPr>
              <w:jc w:val="right"/>
              <w:ind w:right="3760"/>
              <w:spacing w:after="0"/>
              <w:rPr>
                <w:sz w:val="20"/>
                <w:szCs w:val="20"/>
                <w:color w:val="auto"/>
              </w:rPr>
            </w:pPr>
            <w:r>
              <w:rPr>
                <w:rFonts w:ascii="Arial" w:cs="Arial" w:eastAsia="Arial" w:hAnsi="Arial"/>
                <w:sz w:val="18"/>
                <w:szCs w:val="18"/>
                <w:color w:val="auto"/>
              </w:rPr>
              <w:t>2</w:t>
            </w:r>
          </w:p>
        </w:tc>
      </w:tr>
      <w:tr>
        <w:trPr>
          <w:trHeight w:val="216"/>
        </w:trPr>
        <w:tc>
          <w:tcPr>
            <w:tcW w:w="23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Wireless:</w:t>
            </w:r>
          </w:p>
        </w:tc>
        <w:tc>
          <w:tcPr>
            <w:tcW w:w="6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7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130</w:t>
            </w: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4640" w:type="dxa"/>
            <w:vAlign w:val="bottom"/>
            <w:gridSpan w:val="2"/>
            <w:shd w:val="clear" w:color="auto" w:fill="CCEEFF"/>
          </w:tcPr>
          <w:p>
            <w:pPr>
              <w:jc w:val="right"/>
              <w:ind w:right="3760"/>
              <w:spacing w:after="0"/>
              <w:rPr>
                <w:sz w:val="20"/>
                <w:szCs w:val="20"/>
                <w:color w:val="auto"/>
              </w:rPr>
            </w:pPr>
            <w:r>
              <w:rPr>
                <w:rFonts w:ascii="Arial" w:cs="Arial" w:eastAsia="Arial" w:hAnsi="Arial"/>
                <w:sz w:val="18"/>
                <w:szCs w:val="18"/>
                <w:color w:val="auto"/>
              </w:rPr>
              <w:t>3</w:t>
            </w:r>
          </w:p>
        </w:tc>
      </w:tr>
      <w:tr>
        <w:trPr>
          <w:trHeight w:val="216"/>
        </w:trPr>
        <w:tc>
          <w:tcPr>
            <w:tcW w:w="2300" w:type="dxa"/>
            <w:vAlign w:val="bottom"/>
          </w:tcPr>
          <w:p>
            <w:pPr>
              <w:jc w:val="right"/>
              <w:ind w:right="710"/>
              <w:spacing w:after="0"/>
              <w:rPr>
                <w:sz w:val="20"/>
                <w:szCs w:val="20"/>
                <w:color w:val="auto"/>
              </w:rPr>
            </w:pPr>
            <w:r>
              <w:rPr>
                <w:rFonts w:ascii="Arial" w:cs="Arial" w:eastAsia="Arial" w:hAnsi="Arial"/>
                <w:sz w:val="18"/>
                <w:szCs w:val="18"/>
                <w:color w:val="auto"/>
              </w:rPr>
              <w:t>Other:</w:t>
            </w:r>
          </w:p>
        </w:tc>
        <w:tc>
          <w:tcPr>
            <w:tcW w:w="660" w:type="dxa"/>
            <w:vAlign w:val="bottom"/>
          </w:tcPr>
          <w:p>
            <w:pPr>
              <w:jc w:val="right"/>
              <w:ind w:right="47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7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60"/>
              <w:spacing w:after="0"/>
              <w:rPr>
                <w:sz w:val="20"/>
                <w:szCs w:val="20"/>
                <w:color w:val="auto"/>
              </w:rPr>
            </w:pPr>
            <w:r>
              <w:rPr>
                <w:rFonts w:ascii="Arial" w:cs="Arial" w:eastAsia="Arial" w:hAnsi="Arial"/>
                <w:sz w:val="18"/>
                <w:szCs w:val="18"/>
                <w:color w:val="auto"/>
              </w:rPr>
              <w:t>40</w:t>
            </w: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4640" w:type="dxa"/>
            <w:vAlign w:val="bottom"/>
            <w:gridSpan w:val="2"/>
          </w:tcPr>
          <w:p>
            <w:pPr>
              <w:jc w:val="right"/>
              <w:ind w:right="3760"/>
              <w:spacing w:after="0"/>
              <w:rPr>
                <w:sz w:val="20"/>
                <w:szCs w:val="20"/>
                <w:color w:val="auto"/>
              </w:rPr>
            </w:pPr>
            <w:r>
              <w:rPr>
                <w:rFonts w:ascii="Arial" w:cs="Arial" w:eastAsia="Arial" w:hAnsi="Arial"/>
                <w:sz w:val="18"/>
                <w:szCs w:val="18"/>
                <w:color w:val="auto"/>
              </w:rPr>
              <w:t>1</w:t>
            </w:r>
          </w:p>
        </w:tc>
      </w:tr>
      <w:tr>
        <w:trPr>
          <w:trHeight w:val="216"/>
        </w:trPr>
        <w:tc>
          <w:tcPr>
            <w:tcW w:w="23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Total:</w:t>
            </w:r>
          </w:p>
        </w:tc>
        <w:tc>
          <w:tcPr>
            <w:tcW w:w="6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254</w:t>
            </w: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4640" w:type="dxa"/>
            <w:vAlign w:val="bottom"/>
            <w:gridSpan w:val="2"/>
            <w:shd w:val="clear" w:color="auto" w:fill="CCEEFF"/>
          </w:tcPr>
          <w:p>
            <w:pPr>
              <w:jc w:val="right"/>
              <w:ind w:right="3760"/>
              <w:spacing w:after="0"/>
              <w:rPr>
                <w:sz w:val="20"/>
                <w:szCs w:val="20"/>
                <w:color w:val="auto"/>
              </w:rPr>
            </w:pPr>
            <w:r>
              <w:rPr>
                <w:rFonts w:ascii="Arial" w:cs="Arial" w:eastAsia="Arial" w:hAnsi="Arial"/>
                <w:sz w:val="18"/>
                <w:szCs w:val="18"/>
                <w:color w:val="auto"/>
              </w:rPr>
              <w:t>10</w:t>
            </w: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4Q09 additional financial information</w:t>
      </w:r>
    </w:p>
    <w:p>
      <w:pPr>
        <w:spacing w:after="0" w:line="256" w:lineRule="exact"/>
        <w:rPr>
          <w:sz w:val="20"/>
          <w:szCs w:val="20"/>
          <w:color w:val="auto"/>
        </w:rPr>
      </w:pPr>
    </w:p>
    <w:p>
      <w:pPr>
        <w:ind w:left="340" w:hanging="228"/>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Net income included $16 million in discrete tax benefits.</w:t>
      </w:r>
    </w:p>
    <w:p>
      <w:pPr>
        <w:spacing w:after="0" w:line="252" w:lineRule="exact"/>
        <w:rPr>
          <w:rFonts w:ascii="Arial" w:cs="Arial" w:eastAsia="Arial" w:hAnsi="Arial"/>
          <w:sz w:val="18"/>
          <w:szCs w:val="18"/>
          <w:color w:val="auto"/>
        </w:rPr>
      </w:pPr>
    </w:p>
    <w:p>
      <w:pPr>
        <w:ind w:left="340" w:hanging="228"/>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Orders were $3.26 billion, up 75 percent from a year ago and up 5 percent from the prior quarter.</w:t>
      </w:r>
    </w:p>
    <w:p>
      <w:pPr>
        <w:spacing w:after="0" w:line="252" w:lineRule="exact"/>
        <w:rPr>
          <w:rFonts w:ascii="Arial" w:cs="Arial" w:eastAsia="Arial" w:hAnsi="Arial"/>
          <w:sz w:val="18"/>
          <w:szCs w:val="18"/>
          <w:color w:val="auto"/>
        </w:rPr>
      </w:pPr>
    </w:p>
    <w:p>
      <w:pPr>
        <w:ind w:left="340" w:hanging="228"/>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Inventory was $1.20 billion at the end of the quarter, down $173 million from a year ago and up $86 million from the prior quarter.</w:t>
      </w:r>
    </w:p>
    <w:p>
      <w:pPr>
        <w:spacing w:after="0" w:line="252" w:lineRule="exact"/>
        <w:rPr>
          <w:rFonts w:ascii="Arial" w:cs="Arial" w:eastAsia="Arial" w:hAnsi="Arial"/>
          <w:sz w:val="18"/>
          <w:szCs w:val="18"/>
          <w:color w:val="auto"/>
        </w:rPr>
      </w:pPr>
    </w:p>
    <w:p>
      <w:pPr>
        <w:jc w:val="both"/>
        <w:ind w:left="340" w:hanging="228"/>
        <w:spacing w:after="0" w:line="264"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Capital expenditures were $436 million in the quarter compared with $76 million a year ago and $226 million in the prior quarter. Capital expenditures in the quarter included the purchase of 300-millimeter wafer manufacturing equipment as part of Qimonda AG's bankruptcy proceedings, as well as additional assembly/test manufacturing equipment.</w:t>
      </w:r>
    </w:p>
    <w:p>
      <w:pPr>
        <w:spacing w:after="0" w:line="208" w:lineRule="exact"/>
        <w:rPr>
          <w:rFonts w:ascii="Arial" w:cs="Arial" w:eastAsia="Arial" w:hAnsi="Arial"/>
          <w:sz w:val="18"/>
          <w:szCs w:val="18"/>
          <w:color w:val="auto"/>
        </w:rPr>
      </w:pPr>
    </w:p>
    <w:p>
      <w:pPr>
        <w:ind w:left="340" w:hanging="228"/>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used $351 million in the quarter to repurchase 14.8 million shares of its common stock and paid dividends of $149 million.</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00" w:type="dxa"/>
            <w:vAlign w:val="bottom"/>
            <w:gridSpan w:val="2"/>
          </w:tcPr>
          <w:p>
            <w:pPr>
              <w:spacing w:after="0"/>
              <w:rPr>
                <w:sz w:val="20"/>
                <w:szCs w:val="20"/>
                <w:color w:val="auto"/>
              </w:rPr>
            </w:pPr>
            <w:r>
              <w:rPr>
                <w:rFonts w:ascii="Arial" w:cs="Arial" w:eastAsia="Arial" w:hAnsi="Arial"/>
                <w:sz w:val="18"/>
                <w:szCs w:val="18"/>
                <w:b w:val="1"/>
                <w:bCs w:val="1"/>
                <w:color w:val="auto"/>
                <w:w w:val="92"/>
              </w:rPr>
              <w:t>Year 2009 financial summary</w:t>
            </w:r>
          </w:p>
        </w:tc>
        <w:tc>
          <w:tcPr>
            <w:tcW w:w="6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760" w:type="dxa"/>
            <w:vAlign w:val="bottom"/>
          </w:tcPr>
          <w:p>
            <w:pPr>
              <w:spacing w:after="0"/>
              <w:rPr>
                <w:sz w:val="18"/>
                <w:szCs w:val="18"/>
                <w:color w:val="auto"/>
              </w:rPr>
            </w:pPr>
          </w:p>
        </w:tc>
      </w:tr>
      <w:tr>
        <w:trPr>
          <w:trHeight w:val="480"/>
        </w:trPr>
        <w:tc>
          <w:tcPr>
            <w:tcW w:w="226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2009</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rPr>
              <w:t>2008</w:t>
            </w:r>
          </w:p>
        </w:tc>
        <w:tc>
          <w:tcPr>
            <w:tcW w:w="5220" w:type="dxa"/>
            <w:vAlign w:val="bottom"/>
            <w:gridSpan w:val="2"/>
          </w:tcPr>
          <w:p>
            <w:pPr>
              <w:jc w:val="right"/>
              <w:ind w:right="3760"/>
              <w:spacing w:after="0"/>
              <w:rPr>
                <w:sz w:val="20"/>
                <w:szCs w:val="20"/>
                <w:color w:val="auto"/>
              </w:rPr>
            </w:pPr>
            <w:r>
              <w:rPr>
                <w:rFonts w:ascii="Arial" w:cs="Arial" w:eastAsia="Arial" w:hAnsi="Arial"/>
                <w:sz w:val="18"/>
                <w:szCs w:val="18"/>
                <w:color w:val="auto"/>
              </w:rPr>
              <w:t>vs. 2008</w:t>
            </w:r>
          </w:p>
        </w:tc>
      </w:tr>
      <w:tr>
        <w:trPr>
          <w:trHeight w:val="27"/>
        </w:trPr>
        <w:tc>
          <w:tcPr>
            <w:tcW w:w="22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3760" w:type="dxa"/>
            <w:vAlign w:val="bottom"/>
          </w:tcPr>
          <w:p>
            <w:pPr>
              <w:spacing w:after="0"/>
              <w:rPr>
                <w:sz w:val="2"/>
                <w:szCs w:val="2"/>
                <w:color w:val="auto"/>
              </w:rPr>
            </w:pPr>
          </w:p>
        </w:tc>
      </w:tr>
      <w:tr>
        <w:trPr>
          <w:trHeight w:val="216"/>
        </w:trPr>
        <w:tc>
          <w:tcPr>
            <w:tcW w:w="2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Revenue:</w:t>
            </w: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10,427</w:t>
            </w: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12,501</w:t>
            </w:r>
          </w:p>
        </w:tc>
        <w:tc>
          <w:tcPr>
            <w:tcW w:w="5220" w:type="dxa"/>
            <w:vAlign w:val="bottom"/>
            <w:gridSpan w:val="2"/>
            <w:shd w:val="clear" w:color="auto" w:fill="CCEEFF"/>
          </w:tcPr>
          <w:p>
            <w:pPr>
              <w:jc w:val="right"/>
              <w:ind w:right="3600"/>
              <w:spacing w:after="0"/>
              <w:rPr>
                <w:sz w:val="20"/>
                <w:szCs w:val="20"/>
                <w:color w:val="auto"/>
              </w:rPr>
            </w:pPr>
            <w:r>
              <w:rPr>
                <w:rFonts w:ascii="Arial" w:cs="Arial" w:eastAsia="Arial" w:hAnsi="Arial"/>
                <w:sz w:val="18"/>
                <w:szCs w:val="18"/>
                <w:color w:val="auto"/>
              </w:rPr>
              <w:t>-17%</w:t>
            </w:r>
          </w:p>
        </w:tc>
      </w:tr>
      <w:tr>
        <w:trPr>
          <w:trHeight w:val="216"/>
        </w:trPr>
        <w:tc>
          <w:tcPr>
            <w:tcW w:w="2300" w:type="dxa"/>
            <w:vAlign w:val="bottom"/>
            <w:gridSpan w:val="2"/>
          </w:tcPr>
          <w:p>
            <w:pPr>
              <w:jc w:val="right"/>
              <w:ind w:right="580"/>
              <w:spacing w:after="0"/>
              <w:rPr>
                <w:sz w:val="20"/>
                <w:szCs w:val="20"/>
                <w:color w:val="auto"/>
              </w:rPr>
            </w:pPr>
            <w:r>
              <w:rPr>
                <w:rFonts w:ascii="Arial" w:cs="Arial" w:eastAsia="Arial" w:hAnsi="Arial"/>
                <w:sz w:val="18"/>
                <w:szCs w:val="18"/>
                <w:color w:val="auto"/>
              </w:rPr>
              <w:t>Operating profit:</w:t>
            </w: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1,991</w:t>
            </w:r>
          </w:p>
        </w:tc>
        <w:tc>
          <w:tcPr>
            <w:tcW w:w="7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rPr>
              <w:t>2,437</w:t>
            </w:r>
          </w:p>
        </w:tc>
        <w:tc>
          <w:tcPr>
            <w:tcW w:w="5220" w:type="dxa"/>
            <w:vAlign w:val="bottom"/>
            <w:gridSpan w:val="2"/>
          </w:tcPr>
          <w:p>
            <w:pPr>
              <w:jc w:val="right"/>
              <w:ind w:right="3600"/>
              <w:spacing w:after="0"/>
              <w:rPr>
                <w:sz w:val="20"/>
                <w:szCs w:val="20"/>
                <w:color w:val="auto"/>
              </w:rPr>
            </w:pPr>
            <w:r>
              <w:rPr>
                <w:rFonts w:ascii="Arial" w:cs="Arial" w:eastAsia="Arial" w:hAnsi="Arial"/>
                <w:sz w:val="18"/>
                <w:szCs w:val="18"/>
                <w:color w:val="auto"/>
              </w:rPr>
              <w:t>-18%</w:t>
            </w:r>
          </w:p>
        </w:tc>
      </w:tr>
      <w:tr>
        <w:trPr>
          <w:trHeight w:val="216"/>
        </w:trPr>
        <w:tc>
          <w:tcPr>
            <w:tcW w:w="2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Net income:</w:t>
            </w: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1,470</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1,920</w:t>
            </w:r>
          </w:p>
        </w:tc>
        <w:tc>
          <w:tcPr>
            <w:tcW w:w="5220" w:type="dxa"/>
            <w:vAlign w:val="bottom"/>
            <w:gridSpan w:val="2"/>
            <w:shd w:val="clear" w:color="auto" w:fill="CCEEFF"/>
          </w:tcPr>
          <w:p>
            <w:pPr>
              <w:jc w:val="right"/>
              <w:ind w:right="3600"/>
              <w:spacing w:after="0"/>
              <w:rPr>
                <w:sz w:val="20"/>
                <w:szCs w:val="20"/>
                <w:color w:val="auto"/>
              </w:rPr>
            </w:pPr>
            <w:r>
              <w:rPr>
                <w:rFonts w:ascii="Arial" w:cs="Arial" w:eastAsia="Arial" w:hAnsi="Arial"/>
                <w:sz w:val="18"/>
                <w:szCs w:val="18"/>
                <w:color w:val="auto"/>
              </w:rPr>
              <w:t>-23%</w:t>
            </w:r>
          </w:p>
        </w:tc>
      </w:tr>
      <w:tr>
        <w:trPr>
          <w:trHeight w:val="216"/>
        </w:trPr>
        <w:tc>
          <w:tcPr>
            <w:tcW w:w="2300" w:type="dxa"/>
            <w:vAlign w:val="bottom"/>
            <w:gridSpan w:val="2"/>
          </w:tcPr>
          <w:p>
            <w:pPr>
              <w:jc w:val="right"/>
              <w:ind w:right="580"/>
              <w:spacing w:after="0"/>
              <w:rPr>
                <w:sz w:val="20"/>
                <w:szCs w:val="20"/>
                <w:color w:val="auto"/>
              </w:rPr>
            </w:pPr>
            <w:r>
              <w:rPr>
                <w:rFonts w:ascii="Arial" w:cs="Arial" w:eastAsia="Arial" w:hAnsi="Arial"/>
                <w:sz w:val="18"/>
                <w:szCs w:val="18"/>
                <w:color w:val="auto"/>
              </w:rPr>
              <w:t>Earnings per share:</w:t>
            </w: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1.15</w:t>
            </w:r>
          </w:p>
        </w:tc>
        <w:tc>
          <w:tcPr>
            <w:tcW w:w="7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rPr>
              <w:t>1.44</w:t>
            </w:r>
          </w:p>
        </w:tc>
        <w:tc>
          <w:tcPr>
            <w:tcW w:w="5220" w:type="dxa"/>
            <w:vAlign w:val="bottom"/>
            <w:gridSpan w:val="2"/>
          </w:tcPr>
          <w:p>
            <w:pPr>
              <w:jc w:val="right"/>
              <w:ind w:right="3600"/>
              <w:spacing w:after="0"/>
              <w:rPr>
                <w:sz w:val="20"/>
                <w:szCs w:val="20"/>
                <w:color w:val="auto"/>
              </w:rPr>
            </w:pPr>
            <w:r>
              <w:rPr>
                <w:rFonts w:ascii="Arial" w:cs="Arial" w:eastAsia="Arial" w:hAnsi="Arial"/>
                <w:sz w:val="18"/>
                <w:szCs w:val="18"/>
                <w:color w:val="auto"/>
              </w:rPr>
              <w:t>-20%</w:t>
            </w:r>
          </w:p>
        </w:tc>
      </w:tr>
      <w:tr>
        <w:trPr>
          <w:trHeight w:val="202"/>
        </w:trPr>
        <w:tc>
          <w:tcPr>
            <w:tcW w:w="2300" w:type="dxa"/>
            <w:vAlign w:val="bottom"/>
            <w:gridSpan w:val="2"/>
            <w:shd w:val="clear" w:color="auto" w:fill="CCEEFF"/>
          </w:tcPr>
          <w:p>
            <w:pPr>
              <w:jc w:val="right"/>
              <w:ind w:right="580"/>
              <w:spacing w:after="0" w:line="201" w:lineRule="exact"/>
              <w:rPr>
                <w:sz w:val="20"/>
                <w:szCs w:val="20"/>
                <w:color w:val="auto"/>
              </w:rPr>
            </w:pPr>
            <w:r>
              <w:rPr>
                <w:rFonts w:ascii="Arial" w:cs="Arial" w:eastAsia="Arial" w:hAnsi="Arial"/>
                <w:sz w:val="18"/>
                <w:szCs w:val="18"/>
                <w:color w:val="auto"/>
              </w:rPr>
              <w:t>Cash flow from</w:t>
            </w:r>
          </w:p>
        </w:tc>
        <w:tc>
          <w:tcPr>
            <w:tcW w:w="6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3760" w:type="dxa"/>
            <w:vAlign w:val="bottom"/>
            <w:shd w:val="clear" w:color="auto" w:fill="CCEEFF"/>
          </w:tcPr>
          <w:p>
            <w:pPr>
              <w:spacing w:after="0"/>
              <w:rPr>
                <w:sz w:val="17"/>
                <w:szCs w:val="17"/>
                <w:color w:val="auto"/>
              </w:rPr>
            </w:pPr>
          </w:p>
        </w:tc>
      </w:tr>
      <w:tr>
        <w:trPr>
          <w:trHeight w:val="230"/>
        </w:trPr>
        <w:tc>
          <w:tcPr>
            <w:tcW w:w="2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operations:</w:t>
            </w: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2,643</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3,330</w:t>
            </w:r>
          </w:p>
        </w:tc>
        <w:tc>
          <w:tcPr>
            <w:tcW w:w="5220" w:type="dxa"/>
            <w:vAlign w:val="bottom"/>
            <w:gridSpan w:val="2"/>
            <w:shd w:val="clear" w:color="auto" w:fill="CCEEFF"/>
          </w:tcPr>
          <w:p>
            <w:pPr>
              <w:jc w:val="right"/>
              <w:ind w:right="3600"/>
              <w:spacing w:after="0"/>
              <w:rPr>
                <w:sz w:val="20"/>
                <w:szCs w:val="20"/>
                <w:color w:val="auto"/>
              </w:rPr>
            </w:pPr>
            <w:r>
              <w:rPr>
                <w:rFonts w:ascii="Arial" w:cs="Arial" w:eastAsia="Arial" w:hAnsi="Arial"/>
                <w:sz w:val="18"/>
                <w:szCs w:val="18"/>
                <w:color w:val="auto"/>
              </w:rPr>
              <w:t>-21%</w:t>
            </w:r>
          </w:p>
        </w:tc>
      </w:tr>
    </w:tbl>
    <w:p>
      <w:pPr>
        <w:spacing w:after="0" w:line="229" w:lineRule="exact"/>
        <w:rPr>
          <w:sz w:val="20"/>
          <w:szCs w:val="20"/>
          <w:color w:val="auto"/>
        </w:rPr>
      </w:pPr>
    </w:p>
    <w:p>
      <w:pPr>
        <w:ind w:right="680"/>
        <w:spacing w:after="0" w:line="342" w:lineRule="auto"/>
        <w:rPr>
          <w:sz w:val="20"/>
          <w:szCs w:val="20"/>
          <w:color w:val="auto"/>
        </w:rPr>
      </w:pPr>
      <w:r>
        <w:rPr>
          <w:rFonts w:ascii="Arial" w:cs="Arial" w:eastAsia="Arial" w:hAnsi="Arial"/>
          <w:sz w:val="16"/>
          <w:szCs w:val="16"/>
          <w:color w:val="auto"/>
        </w:rPr>
        <w:t>TI’s operating profit decreased 18 percent in 2009 due to lower revenue. The impact of lower revenue was partially offset by reductions in operating expenses. Operating profit included the negative impact of $212 million in restructuring charges, which were down $42 million from 2008.</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20" w:type="dxa"/>
            <w:vAlign w:val="bottom"/>
            <w:gridSpan w:val="3"/>
          </w:tcPr>
          <w:p>
            <w:pPr>
              <w:spacing w:after="0"/>
              <w:rPr>
                <w:sz w:val="20"/>
                <w:szCs w:val="20"/>
                <w:color w:val="auto"/>
              </w:rPr>
            </w:pPr>
            <w:r>
              <w:rPr>
                <w:rFonts w:ascii="Arial" w:cs="Arial" w:eastAsia="Arial" w:hAnsi="Arial"/>
                <w:sz w:val="18"/>
                <w:szCs w:val="18"/>
                <w:b w:val="1"/>
                <w:bCs w:val="1"/>
                <w:color w:val="auto"/>
              </w:rPr>
              <w:t>Year 2009 segment results</w:t>
            </w:r>
          </w:p>
        </w:tc>
        <w:tc>
          <w:tcPr>
            <w:tcW w:w="1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64"/>
        </w:trPr>
        <w:tc>
          <w:tcPr>
            <w:tcW w:w="20" w:type="dxa"/>
            <w:vAlign w:val="bottom"/>
          </w:tcPr>
          <w:p>
            <w:pPr>
              <w:spacing w:after="0"/>
              <w:rPr>
                <w:sz w:val="22"/>
                <w:szCs w:val="22"/>
                <w:color w:val="auto"/>
              </w:rPr>
            </w:pPr>
          </w:p>
        </w:tc>
        <w:tc>
          <w:tcPr>
            <w:tcW w:w="1980" w:type="dxa"/>
            <w:vAlign w:val="bottom"/>
            <w:tcBorders>
              <w:top w:val="single" w:sz="8" w:color="auto"/>
            </w:tcBorders>
          </w:tcPr>
          <w:p>
            <w:pPr>
              <w:spacing w:after="0"/>
              <w:rPr>
                <w:sz w:val="22"/>
                <w:szCs w:val="22"/>
                <w:color w:val="auto"/>
              </w:rPr>
            </w:pPr>
          </w:p>
        </w:tc>
        <w:tc>
          <w:tcPr>
            <w:tcW w:w="12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23"/>
        </w:trPr>
        <w:tc>
          <w:tcPr>
            <w:tcW w:w="20" w:type="dxa"/>
            <w:vAlign w:val="bottom"/>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2009</w:t>
            </w: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2008</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vs. 2008</w:t>
            </w:r>
          </w:p>
        </w:tc>
        <w:tc>
          <w:tcPr>
            <w:tcW w:w="1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Note</w:t>
            </w:r>
          </w:p>
        </w:tc>
      </w:tr>
      <w:tr>
        <w:trPr>
          <w:trHeight w:val="202"/>
        </w:trPr>
        <w:tc>
          <w:tcPr>
            <w:tcW w:w="20" w:type="dxa"/>
            <w:vAlign w:val="bottom"/>
          </w:tcPr>
          <w:p>
            <w:pPr>
              <w:spacing w:after="0"/>
              <w:rPr>
                <w:sz w:val="17"/>
                <w:szCs w:val="17"/>
                <w:color w:val="auto"/>
              </w:rPr>
            </w:pPr>
          </w:p>
        </w:tc>
        <w:tc>
          <w:tcPr>
            <w:tcW w:w="3200" w:type="dxa"/>
            <w:vAlign w:val="bottom"/>
            <w:tcBorders>
              <w:top w:val="single" w:sz="8" w:color="CCEEFF"/>
            </w:tcBorders>
            <w:gridSpan w:val="2"/>
          </w:tcPr>
          <w:p>
            <w:pPr>
              <w:spacing w:after="0" w:line="201" w:lineRule="exact"/>
              <w:rPr>
                <w:sz w:val="20"/>
                <w:szCs w:val="20"/>
                <w:color w:val="auto"/>
              </w:rPr>
            </w:pPr>
            <w:r>
              <w:rPr>
                <w:rFonts w:ascii="Arial" w:cs="Arial" w:eastAsia="Arial" w:hAnsi="Arial"/>
                <w:sz w:val="18"/>
                <w:szCs w:val="18"/>
                <w:color w:val="auto"/>
              </w:rPr>
              <w:t>Analog:</w:t>
            </w:r>
          </w:p>
        </w:tc>
        <w:tc>
          <w:tcPr>
            <w:tcW w:w="1200" w:type="dxa"/>
            <w:vAlign w:val="bottom"/>
            <w:tcBorders>
              <w:top w:val="single" w:sz="8" w:color="CCEEFF"/>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6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r>
      <w:tr>
        <w:trPr>
          <w:trHeight w:val="230"/>
        </w:trPr>
        <w:tc>
          <w:tcPr>
            <w:tcW w:w="3220" w:type="dxa"/>
            <w:vAlign w:val="bottom"/>
            <w:gridSpan w:val="3"/>
          </w:tcPr>
          <w:p>
            <w:pPr>
              <w:spacing w:after="0"/>
              <w:rPr>
                <w:sz w:val="20"/>
                <w:szCs w:val="20"/>
                <w:color w:val="auto"/>
              </w:rPr>
            </w:pPr>
            <w:r>
              <w:rPr>
                <w:rFonts w:ascii="Arial" w:cs="Arial" w:eastAsia="Arial" w:hAnsi="Arial"/>
                <w:sz w:val="18"/>
                <w:szCs w:val="18"/>
                <w:color w:val="auto"/>
              </w:rPr>
              <w:t>Revenue</w:t>
            </w:r>
          </w:p>
        </w:tc>
        <w:tc>
          <w:tcPr>
            <w:tcW w:w="18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4,270</w:t>
            </w:r>
          </w:p>
        </w:tc>
        <w:tc>
          <w:tcPr>
            <w:tcW w:w="8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4,857</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1640" w:type="dxa"/>
            <w:vAlign w:val="bottom"/>
            <w:gridSpan w:val="2"/>
          </w:tcPr>
          <w:p>
            <w:pPr>
              <w:jc w:val="right"/>
              <w:ind w:right="53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profit</w:t>
            </w:r>
          </w:p>
        </w:tc>
        <w:tc>
          <w:tcPr>
            <w:tcW w:w="18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753</w:t>
            </w:r>
          </w:p>
        </w:tc>
        <w:tc>
          <w:tcPr>
            <w:tcW w:w="8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1,050</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3200" w:type="dxa"/>
            <w:vAlign w:val="bottom"/>
            <w:gridSpan w:val="2"/>
          </w:tcPr>
          <w:p>
            <w:pPr>
              <w:spacing w:after="0" w:line="201" w:lineRule="exact"/>
              <w:rPr>
                <w:sz w:val="20"/>
                <w:szCs w:val="20"/>
                <w:color w:val="auto"/>
              </w:rPr>
            </w:pPr>
            <w:r>
              <w:rPr>
                <w:rFonts w:ascii="Arial" w:cs="Arial" w:eastAsia="Arial" w:hAnsi="Arial"/>
                <w:sz w:val="18"/>
                <w:szCs w:val="18"/>
                <w:color w:val="auto"/>
              </w:rPr>
              <w:t>Embedded Processing:</w:t>
            </w:r>
          </w:p>
        </w:tc>
        <w:tc>
          <w:tcPr>
            <w:tcW w:w="1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3220" w:type="dxa"/>
            <w:vAlign w:val="bottom"/>
            <w:gridSpan w:val="3"/>
          </w:tcPr>
          <w:p>
            <w:pPr>
              <w:spacing w:after="0"/>
              <w:rPr>
                <w:sz w:val="20"/>
                <w:szCs w:val="20"/>
                <w:color w:val="auto"/>
              </w:rPr>
            </w:pPr>
            <w:r>
              <w:rPr>
                <w:rFonts w:ascii="Arial" w:cs="Arial" w:eastAsia="Arial" w:hAnsi="Arial"/>
                <w:sz w:val="18"/>
                <w:szCs w:val="18"/>
                <w:color w:val="auto"/>
              </w:rPr>
              <w:t>Revenue</w:t>
            </w:r>
          </w:p>
        </w:tc>
        <w:tc>
          <w:tcPr>
            <w:tcW w:w="18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1,471</w:t>
            </w:r>
          </w:p>
        </w:tc>
        <w:tc>
          <w:tcPr>
            <w:tcW w:w="8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1,631</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1640" w:type="dxa"/>
            <w:vAlign w:val="bottom"/>
            <w:gridSpan w:val="2"/>
          </w:tcPr>
          <w:p>
            <w:pPr>
              <w:jc w:val="right"/>
              <w:ind w:right="53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profit</w:t>
            </w:r>
          </w:p>
        </w:tc>
        <w:tc>
          <w:tcPr>
            <w:tcW w:w="18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194</w:t>
            </w:r>
          </w:p>
        </w:tc>
        <w:tc>
          <w:tcPr>
            <w:tcW w:w="8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268</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3200" w:type="dxa"/>
            <w:vAlign w:val="bottom"/>
            <w:gridSpan w:val="2"/>
          </w:tcPr>
          <w:p>
            <w:pPr>
              <w:spacing w:after="0" w:line="201" w:lineRule="exact"/>
              <w:rPr>
                <w:sz w:val="20"/>
                <w:szCs w:val="20"/>
                <w:color w:val="auto"/>
              </w:rPr>
            </w:pPr>
            <w:r>
              <w:rPr>
                <w:rFonts w:ascii="Arial" w:cs="Arial" w:eastAsia="Arial" w:hAnsi="Arial"/>
                <w:sz w:val="18"/>
                <w:szCs w:val="18"/>
                <w:color w:val="auto"/>
              </w:rPr>
              <w:t>Wireless:</w:t>
            </w:r>
          </w:p>
        </w:tc>
        <w:tc>
          <w:tcPr>
            <w:tcW w:w="1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3220" w:type="dxa"/>
            <w:vAlign w:val="bottom"/>
            <w:gridSpan w:val="3"/>
          </w:tcPr>
          <w:p>
            <w:pPr>
              <w:spacing w:after="0"/>
              <w:rPr>
                <w:sz w:val="20"/>
                <w:szCs w:val="20"/>
                <w:color w:val="auto"/>
              </w:rPr>
            </w:pPr>
            <w:r>
              <w:rPr>
                <w:rFonts w:ascii="Arial" w:cs="Arial" w:eastAsia="Arial" w:hAnsi="Arial"/>
                <w:sz w:val="18"/>
                <w:szCs w:val="18"/>
                <w:color w:val="auto"/>
              </w:rPr>
              <w:t>Revenue</w:t>
            </w:r>
          </w:p>
        </w:tc>
        <w:tc>
          <w:tcPr>
            <w:tcW w:w="18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2,558</w:t>
            </w:r>
          </w:p>
        </w:tc>
        <w:tc>
          <w:tcPr>
            <w:tcW w:w="8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3,383</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1640" w:type="dxa"/>
            <w:vAlign w:val="bottom"/>
            <w:gridSpan w:val="2"/>
          </w:tcPr>
          <w:p>
            <w:pPr>
              <w:jc w:val="right"/>
              <w:ind w:right="53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profit</w:t>
            </w:r>
          </w:p>
        </w:tc>
        <w:tc>
          <w:tcPr>
            <w:tcW w:w="18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332</w:t>
            </w:r>
          </w:p>
        </w:tc>
        <w:tc>
          <w:tcPr>
            <w:tcW w:w="8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347</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3200" w:type="dxa"/>
            <w:vAlign w:val="bottom"/>
            <w:gridSpan w:val="2"/>
          </w:tcPr>
          <w:p>
            <w:pPr>
              <w:spacing w:after="0" w:line="201" w:lineRule="exact"/>
              <w:rPr>
                <w:sz w:val="20"/>
                <w:szCs w:val="20"/>
                <w:color w:val="auto"/>
              </w:rPr>
            </w:pPr>
            <w:r>
              <w:rPr>
                <w:rFonts w:ascii="Arial" w:cs="Arial" w:eastAsia="Arial" w:hAnsi="Arial"/>
                <w:sz w:val="18"/>
                <w:szCs w:val="18"/>
                <w:color w:val="auto"/>
              </w:rPr>
              <w:t>Other:</w:t>
            </w:r>
          </w:p>
        </w:tc>
        <w:tc>
          <w:tcPr>
            <w:tcW w:w="1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3220" w:type="dxa"/>
            <w:vAlign w:val="bottom"/>
            <w:gridSpan w:val="3"/>
          </w:tcPr>
          <w:p>
            <w:pPr>
              <w:spacing w:after="0"/>
              <w:rPr>
                <w:sz w:val="20"/>
                <w:szCs w:val="20"/>
                <w:color w:val="auto"/>
              </w:rPr>
            </w:pPr>
            <w:r>
              <w:rPr>
                <w:rFonts w:ascii="Arial" w:cs="Arial" w:eastAsia="Arial" w:hAnsi="Arial"/>
                <w:sz w:val="18"/>
                <w:szCs w:val="18"/>
                <w:color w:val="auto"/>
              </w:rPr>
              <w:t>Revenue</w:t>
            </w:r>
          </w:p>
        </w:tc>
        <w:tc>
          <w:tcPr>
            <w:tcW w:w="18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2,128</w:t>
            </w:r>
          </w:p>
        </w:tc>
        <w:tc>
          <w:tcPr>
            <w:tcW w:w="8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2,630</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1640" w:type="dxa"/>
            <w:vAlign w:val="bottom"/>
            <w:gridSpan w:val="2"/>
          </w:tcPr>
          <w:p>
            <w:pPr>
              <w:jc w:val="right"/>
              <w:ind w:right="53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profit</w:t>
            </w:r>
          </w:p>
        </w:tc>
        <w:tc>
          <w:tcPr>
            <w:tcW w:w="18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712</w:t>
            </w:r>
          </w:p>
        </w:tc>
        <w:tc>
          <w:tcPr>
            <w:tcW w:w="8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772</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bl>
    <w:p>
      <w:pPr>
        <w:spacing w:after="0" w:line="229" w:lineRule="exact"/>
        <w:rPr>
          <w:sz w:val="20"/>
          <w:szCs w:val="20"/>
          <w:color w:val="auto"/>
        </w:rPr>
      </w:pPr>
    </w:p>
    <w:p>
      <w:pPr>
        <w:ind w:left="340" w:hanging="308"/>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Analog revenue declined primarily due to lower high-volume analog &amp; logic revenue.</w:t>
      </w:r>
    </w:p>
    <w:p>
      <w:pPr>
        <w:spacing w:after="0" w:line="252" w:lineRule="exact"/>
        <w:rPr>
          <w:rFonts w:ascii="Arial" w:cs="Arial" w:eastAsia="Arial" w:hAnsi="Arial"/>
          <w:sz w:val="18"/>
          <w:szCs w:val="18"/>
          <w:color w:val="auto"/>
        </w:rPr>
      </w:pPr>
    </w:p>
    <w:p>
      <w:pPr>
        <w:ind w:left="340" w:hanging="308"/>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Embedded Processing revenue declined primarily due to lower catalog product revenue.</w:t>
      </w:r>
    </w:p>
    <w:p>
      <w:pPr>
        <w:spacing w:after="0" w:line="252" w:lineRule="exact"/>
        <w:rPr>
          <w:rFonts w:ascii="Arial" w:cs="Arial" w:eastAsia="Arial" w:hAnsi="Arial"/>
          <w:sz w:val="18"/>
          <w:szCs w:val="18"/>
          <w:color w:val="auto"/>
        </w:rPr>
      </w:pPr>
    </w:p>
    <w:p>
      <w:pPr>
        <w:ind w:left="340" w:hanging="308"/>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Wireless revenue declined due to lower baseband revenue.</w:t>
      </w:r>
    </w:p>
    <w:p>
      <w:pPr>
        <w:spacing w:after="0" w:line="252" w:lineRule="exact"/>
        <w:rPr>
          <w:rFonts w:ascii="Arial" w:cs="Arial" w:eastAsia="Arial" w:hAnsi="Arial"/>
          <w:sz w:val="18"/>
          <w:szCs w:val="18"/>
          <w:color w:val="auto"/>
        </w:rPr>
      </w:pPr>
    </w:p>
    <w:p>
      <w:pPr>
        <w:ind w:right="4500" w:firstLine="32"/>
        <w:spacing w:after="0" w:line="659" w:lineRule="auto"/>
        <w:tabs>
          <w:tab w:leader="none" w:pos="324" w:val="left"/>
        </w:tabs>
        <w:numPr>
          <w:ilvl w:val="0"/>
          <w:numId w:val="6"/>
        </w:numPr>
        <w:rPr>
          <w:rFonts w:ascii="Arial" w:cs="Arial" w:eastAsia="Arial" w:hAnsi="Arial"/>
          <w:sz w:val="16"/>
          <w:szCs w:val="16"/>
          <w:color w:val="auto"/>
        </w:rPr>
      </w:pPr>
      <w:r>
        <w:rPr>
          <w:rFonts w:ascii="Arial" w:cs="Arial" w:eastAsia="Arial" w:hAnsi="Arial"/>
          <w:sz w:val="16"/>
          <w:szCs w:val="16"/>
          <w:color w:val="auto"/>
        </w:rPr>
        <w:t>Other revenue declined across a broad range of products, especially RISC microprocessors. Restructuring charges negatively impacted each segment’s operating profit as follows:</w:t>
      </w:r>
    </w:p>
    <w:p>
      <w:pPr>
        <w:sectPr>
          <w:pgSz w:w="11900" w:h="17029" w:orient="portrait"/>
          <w:cols w:equalWidth="0" w:num="1">
            <w:col w:w="11420"/>
          </w:cols>
          <w:pgMar w:left="240" w:top="125" w:right="239" w:bottom="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0"/>
        </w:trPr>
        <w:tc>
          <w:tcPr>
            <w:tcW w:w="28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2009</w:t>
            </w: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0" w:type="dxa"/>
            <w:vAlign w:val="bottom"/>
            <w:gridSpan w:val="2"/>
          </w:tcPr>
          <w:p>
            <w:pPr>
              <w:jc w:val="right"/>
              <w:ind w:right="5140"/>
              <w:spacing w:after="0"/>
              <w:rPr>
                <w:sz w:val="20"/>
                <w:szCs w:val="20"/>
                <w:color w:val="auto"/>
              </w:rPr>
            </w:pPr>
            <w:r>
              <w:rPr>
                <w:rFonts w:ascii="Arial" w:cs="Arial" w:eastAsia="Arial" w:hAnsi="Arial"/>
                <w:sz w:val="18"/>
                <w:szCs w:val="18"/>
                <w:color w:val="auto"/>
              </w:rPr>
              <w:t>2008</w:t>
            </w:r>
          </w:p>
        </w:tc>
      </w:tr>
      <w:tr>
        <w:trPr>
          <w:trHeight w:val="27"/>
        </w:trPr>
        <w:tc>
          <w:tcPr>
            <w:tcW w:w="28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140" w:type="dxa"/>
            <w:vAlign w:val="bottom"/>
          </w:tcPr>
          <w:p>
            <w:pPr>
              <w:spacing w:after="0"/>
              <w:rPr>
                <w:sz w:val="2"/>
                <w:szCs w:val="2"/>
                <w:color w:val="auto"/>
              </w:rPr>
            </w:pPr>
          </w:p>
        </w:tc>
      </w:tr>
      <w:tr>
        <w:trPr>
          <w:trHeight w:val="216"/>
        </w:trPr>
        <w:tc>
          <w:tcPr>
            <w:tcW w:w="2880" w:type="dxa"/>
            <w:vAlign w:val="bottom"/>
            <w:shd w:val="clear" w:color="auto" w:fill="CCEEFF"/>
          </w:tcPr>
          <w:p>
            <w:pPr>
              <w:jc w:val="right"/>
              <w:ind w:right="1290"/>
              <w:spacing w:after="0"/>
              <w:rPr>
                <w:sz w:val="20"/>
                <w:szCs w:val="20"/>
                <w:color w:val="auto"/>
              </w:rPr>
            </w:pPr>
            <w:r>
              <w:rPr>
                <w:rFonts w:ascii="Arial" w:cs="Arial" w:eastAsia="Arial" w:hAnsi="Arial"/>
                <w:sz w:val="18"/>
                <w:szCs w:val="18"/>
                <w:color w:val="auto"/>
              </w:rPr>
              <w:t>Analog:</w:t>
            </w:r>
          </w:p>
        </w:tc>
        <w:tc>
          <w:tcPr>
            <w:tcW w:w="600" w:type="dxa"/>
            <w:vAlign w:val="bottom"/>
            <w:shd w:val="clear" w:color="auto" w:fill="CCEEFF"/>
          </w:tcPr>
          <w:p>
            <w:pPr>
              <w:jc w:val="right"/>
              <w:ind w:right="44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4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445"/>
              <w:spacing w:after="0"/>
              <w:rPr>
                <w:sz w:val="20"/>
                <w:szCs w:val="20"/>
                <w:color w:val="auto"/>
              </w:rPr>
            </w:pPr>
            <w:r>
              <w:rPr>
                <w:rFonts w:ascii="Arial" w:cs="Arial" w:eastAsia="Arial" w:hAnsi="Arial"/>
                <w:sz w:val="15"/>
                <w:szCs w:val="15"/>
                <w:color w:val="auto"/>
                <w:w w:val="71"/>
              </w:rPr>
              <w:t>$</w:t>
            </w:r>
          </w:p>
        </w:tc>
        <w:tc>
          <w:tcPr>
            <w:tcW w:w="6000" w:type="dxa"/>
            <w:vAlign w:val="bottom"/>
            <w:gridSpan w:val="2"/>
            <w:shd w:val="clear" w:color="auto" w:fill="CCEEFF"/>
          </w:tcPr>
          <w:p>
            <w:pPr>
              <w:jc w:val="right"/>
              <w:ind w:right="5140"/>
              <w:spacing w:after="0"/>
              <w:rPr>
                <w:sz w:val="20"/>
                <w:szCs w:val="20"/>
                <w:color w:val="auto"/>
              </w:rPr>
            </w:pPr>
            <w:r>
              <w:rPr>
                <w:rFonts w:ascii="Arial" w:cs="Arial" w:eastAsia="Arial" w:hAnsi="Arial"/>
                <w:sz w:val="18"/>
                <w:szCs w:val="18"/>
                <w:color w:val="auto"/>
              </w:rPr>
              <w:t>60</w:t>
            </w:r>
          </w:p>
        </w:tc>
      </w:tr>
      <w:tr>
        <w:trPr>
          <w:trHeight w:val="202"/>
        </w:trPr>
        <w:tc>
          <w:tcPr>
            <w:tcW w:w="2880" w:type="dxa"/>
            <w:vAlign w:val="bottom"/>
          </w:tcPr>
          <w:p>
            <w:pPr>
              <w:jc w:val="right"/>
              <w:ind w:right="1290"/>
              <w:spacing w:after="0" w:line="201" w:lineRule="exact"/>
              <w:rPr>
                <w:sz w:val="20"/>
                <w:szCs w:val="20"/>
                <w:color w:val="auto"/>
              </w:rPr>
            </w:pPr>
            <w:r>
              <w:rPr>
                <w:rFonts w:ascii="Arial" w:cs="Arial" w:eastAsia="Arial" w:hAnsi="Arial"/>
                <w:sz w:val="18"/>
                <w:szCs w:val="18"/>
                <w:color w:val="auto"/>
              </w:rPr>
              <w:t>Embedded</w:t>
            </w:r>
          </w:p>
        </w:tc>
        <w:tc>
          <w:tcPr>
            <w:tcW w:w="6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140" w:type="dxa"/>
            <w:vAlign w:val="bottom"/>
          </w:tcPr>
          <w:p>
            <w:pPr>
              <w:spacing w:after="0"/>
              <w:rPr>
                <w:sz w:val="17"/>
                <w:szCs w:val="17"/>
                <w:color w:val="auto"/>
              </w:rPr>
            </w:pPr>
          </w:p>
        </w:tc>
      </w:tr>
      <w:tr>
        <w:trPr>
          <w:trHeight w:val="230"/>
        </w:trPr>
        <w:tc>
          <w:tcPr>
            <w:tcW w:w="2880" w:type="dxa"/>
            <w:vAlign w:val="bottom"/>
          </w:tcPr>
          <w:p>
            <w:pPr>
              <w:jc w:val="right"/>
              <w:ind w:right="1290"/>
              <w:spacing w:after="0"/>
              <w:rPr>
                <w:sz w:val="20"/>
                <w:szCs w:val="20"/>
                <w:color w:val="auto"/>
              </w:rPr>
            </w:pPr>
            <w:r>
              <w:rPr>
                <w:rFonts w:ascii="Arial" w:cs="Arial" w:eastAsia="Arial" w:hAnsi="Arial"/>
                <w:sz w:val="18"/>
                <w:szCs w:val="18"/>
                <w:color w:val="auto"/>
              </w:rPr>
              <w:t>Processing:</w:t>
            </w:r>
          </w:p>
        </w:tc>
        <w:tc>
          <w:tcPr>
            <w:tcW w:w="600" w:type="dxa"/>
            <w:vAlign w:val="bottom"/>
          </w:tcPr>
          <w:p>
            <w:pPr>
              <w:jc w:val="right"/>
              <w:ind w:right="44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43</w:t>
            </w:r>
          </w:p>
        </w:tc>
        <w:tc>
          <w:tcPr>
            <w:tcW w:w="440" w:type="dxa"/>
            <w:vAlign w:val="bottom"/>
          </w:tcPr>
          <w:p>
            <w:pPr>
              <w:spacing w:after="0"/>
              <w:rPr>
                <w:sz w:val="20"/>
                <w:szCs w:val="20"/>
                <w:color w:val="auto"/>
              </w:rPr>
            </w:pPr>
          </w:p>
        </w:tc>
        <w:tc>
          <w:tcPr>
            <w:tcW w:w="600" w:type="dxa"/>
            <w:vAlign w:val="bottom"/>
          </w:tcPr>
          <w:p>
            <w:pPr>
              <w:jc w:val="right"/>
              <w:ind w:right="445"/>
              <w:spacing w:after="0"/>
              <w:rPr>
                <w:sz w:val="20"/>
                <w:szCs w:val="20"/>
                <w:color w:val="auto"/>
              </w:rPr>
            </w:pPr>
            <w:r>
              <w:rPr>
                <w:rFonts w:ascii="Arial" w:cs="Arial" w:eastAsia="Arial" w:hAnsi="Arial"/>
                <w:sz w:val="15"/>
                <w:szCs w:val="15"/>
                <w:color w:val="auto"/>
                <w:w w:val="71"/>
              </w:rPr>
              <w:t>$</w:t>
            </w:r>
          </w:p>
        </w:tc>
        <w:tc>
          <w:tcPr>
            <w:tcW w:w="6000" w:type="dxa"/>
            <w:vAlign w:val="bottom"/>
            <w:gridSpan w:val="2"/>
          </w:tcPr>
          <w:p>
            <w:pPr>
              <w:jc w:val="right"/>
              <w:ind w:right="5140"/>
              <w:spacing w:after="0"/>
              <w:rPr>
                <w:sz w:val="20"/>
                <w:szCs w:val="20"/>
                <w:color w:val="auto"/>
              </w:rPr>
            </w:pPr>
            <w:r>
              <w:rPr>
                <w:rFonts w:ascii="Arial" w:cs="Arial" w:eastAsia="Arial" w:hAnsi="Arial"/>
                <w:sz w:val="18"/>
                <w:szCs w:val="18"/>
                <w:color w:val="auto"/>
              </w:rPr>
              <w:t>24</w:t>
            </w:r>
          </w:p>
        </w:tc>
      </w:tr>
      <w:tr>
        <w:trPr>
          <w:trHeight w:val="216"/>
        </w:trPr>
        <w:tc>
          <w:tcPr>
            <w:tcW w:w="2880" w:type="dxa"/>
            <w:vAlign w:val="bottom"/>
            <w:shd w:val="clear" w:color="auto" w:fill="CCEEFF"/>
          </w:tcPr>
          <w:p>
            <w:pPr>
              <w:jc w:val="right"/>
              <w:ind w:right="1290"/>
              <w:spacing w:after="0"/>
              <w:rPr>
                <w:sz w:val="20"/>
                <w:szCs w:val="20"/>
                <w:color w:val="auto"/>
              </w:rPr>
            </w:pPr>
            <w:r>
              <w:rPr>
                <w:rFonts w:ascii="Arial" w:cs="Arial" w:eastAsia="Arial" w:hAnsi="Arial"/>
                <w:sz w:val="18"/>
                <w:szCs w:val="18"/>
                <w:color w:val="auto"/>
              </w:rPr>
              <w:t>Wireless:</w:t>
            </w:r>
          </w:p>
        </w:tc>
        <w:tc>
          <w:tcPr>
            <w:tcW w:w="600" w:type="dxa"/>
            <w:vAlign w:val="bottom"/>
            <w:shd w:val="clear" w:color="auto" w:fill="CCEEFF"/>
          </w:tcPr>
          <w:p>
            <w:pPr>
              <w:jc w:val="right"/>
              <w:ind w:right="44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4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445"/>
              <w:spacing w:after="0"/>
              <w:rPr>
                <w:sz w:val="20"/>
                <w:szCs w:val="20"/>
                <w:color w:val="auto"/>
              </w:rPr>
            </w:pPr>
            <w:r>
              <w:rPr>
                <w:rFonts w:ascii="Arial" w:cs="Arial" w:eastAsia="Arial" w:hAnsi="Arial"/>
                <w:sz w:val="15"/>
                <w:szCs w:val="15"/>
                <w:color w:val="auto"/>
                <w:w w:val="71"/>
              </w:rPr>
              <w:t>$</w:t>
            </w:r>
          </w:p>
        </w:tc>
        <w:tc>
          <w:tcPr>
            <w:tcW w:w="6000" w:type="dxa"/>
            <w:vAlign w:val="bottom"/>
            <w:gridSpan w:val="2"/>
            <w:shd w:val="clear" w:color="auto" w:fill="CCEEFF"/>
          </w:tcPr>
          <w:p>
            <w:pPr>
              <w:jc w:val="right"/>
              <w:ind w:right="5140"/>
              <w:spacing w:after="0"/>
              <w:rPr>
                <w:sz w:val="20"/>
                <w:szCs w:val="20"/>
                <w:color w:val="auto"/>
              </w:rPr>
            </w:pPr>
            <w:r>
              <w:rPr>
                <w:rFonts w:ascii="Arial" w:cs="Arial" w:eastAsia="Arial" w:hAnsi="Arial"/>
                <w:sz w:val="18"/>
                <w:szCs w:val="18"/>
                <w:color w:val="auto"/>
              </w:rPr>
              <w:t>130</w:t>
            </w:r>
          </w:p>
        </w:tc>
      </w:tr>
      <w:tr>
        <w:trPr>
          <w:trHeight w:val="216"/>
        </w:trPr>
        <w:tc>
          <w:tcPr>
            <w:tcW w:w="2880" w:type="dxa"/>
            <w:vAlign w:val="bottom"/>
          </w:tcPr>
          <w:p>
            <w:pPr>
              <w:jc w:val="right"/>
              <w:ind w:right="1290"/>
              <w:spacing w:after="0"/>
              <w:rPr>
                <w:sz w:val="20"/>
                <w:szCs w:val="20"/>
                <w:color w:val="auto"/>
              </w:rPr>
            </w:pPr>
            <w:r>
              <w:rPr>
                <w:rFonts w:ascii="Arial" w:cs="Arial" w:eastAsia="Arial" w:hAnsi="Arial"/>
                <w:sz w:val="18"/>
                <w:szCs w:val="18"/>
                <w:color w:val="auto"/>
              </w:rPr>
              <w:t>Other:</w:t>
            </w:r>
          </w:p>
        </w:tc>
        <w:tc>
          <w:tcPr>
            <w:tcW w:w="600" w:type="dxa"/>
            <w:vAlign w:val="bottom"/>
          </w:tcPr>
          <w:p>
            <w:pPr>
              <w:jc w:val="right"/>
              <w:ind w:right="44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23</w:t>
            </w:r>
          </w:p>
        </w:tc>
        <w:tc>
          <w:tcPr>
            <w:tcW w:w="440" w:type="dxa"/>
            <w:vAlign w:val="bottom"/>
          </w:tcPr>
          <w:p>
            <w:pPr>
              <w:spacing w:after="0"/>
              <w:rPr>
                <w:sz w:val="18"/>
                <w:szCs w:val="18"/>
                <w:color w:val="auto"/>
              </w:rPr>
            </w:pPr>
          </w:p>
        </w:tc>
        <w:tc>
          <w:tcPr>
            <w:tcW w:w="600" w:type="dxa"/>
            <w:vAlign w:val="bottom"/>
          </w:tcPr>
          <w:p>
            <w:pPr>
              <w:jc w:val="right"/>
              <w:ind w:right="445"/>
              <w:spacing w:after="0"/>
              <w:rPr>
                <w:sz w:val="20"/>
                <w:szCs w:val="20"/>
                <w:color w:val="auto"/>
              </w:rPr>
            </w:pPr>
            <w:r>
              <w:rPr>
                <w:rFonts w:ascii="Arial" w:cs="Arial" w:eastAsia="Arial" w:hAnsi="Arial"/>
                <w:sz w:val="15"/>
                <w:szCs w:val="15"/>
                <w:color w:val="auto"/>
                <w:w w:val="71"/>
              </w:rPr>
              <w:t>$</w:t>
            </w:r>
          </w:p>
        </w:tc>
        <w:tc>
          <w:tcPr>
            <w:tcW w:w="6000" w:type="dxa"/>
            <w:vAlign w:val="bottom"/>
            <w:gridSpan w:val="2"/>
          </w:tcPr>
          <w:p>
            <w:pPr>
              <w:jc w:val="right"/>
              <w:ind w:right="5140"/>
              <w:spacing w:after="0"/>
              <w:rPr>
                <w:sz w:val="20"/>
                <w:szCs w:val="20"/>
                <w:color w:val="auto"/>
              </w:rPr>
            </w:pPr>
            <w:r>
              <w:rPr>
                <w:rFonts w:ascii="Arial" w:cs="Arial" w:eastAsia="Arial" w:hAnsi="Arial"/>
                <w:sz w:val="18"/>
                <w:szCs w:val="18"/>
                <w:color w:val="auto"/>
              </w:rPr>
              <w:t>40</w:t>
            </w:r>
          </w:p>
        </w:tc>
      </w:tr>
      <w:tr>
        <w:trPr>
          <w:trHeight w:val="216"/>
        </w:trPr>
        <w:tc>
          <w:tcPr>
            <w:tcW w:w="2880" w:type="dxa"/>
            <w:vAlign w:val="bottom"/>
            <w:shd w:val="clear" w:color="auto" w:fill="CCEEFF"/>
          </w:tcPr>
          <w:p>
            <w:pPr>
              <w:jc w:val="right"/>
              <w:ind w:right="1290"/>
              <w:spacing w:after="0"/>
              <w:rPr>
                <w:sz w:val="20"/>
                <w:szCs w:val="20"/>
                <w:color w:val="auto"/>
              </w:rPr>
            </w:pPr>
            <w:r>
              <w:rPr>
                <w:rFonts w:ascii="Arial" w:cs="Arial" w:eastAsia="Arial" w:hAnsi="Arial"/>
                <w:sz w:val="18"/>
                <w:szCs w:val="18"/>
                <w:color w:val="auto"/>
              </w:rPr>
              <w:t>Total:</w:t>
            </w:r>
          </w:p>
        </w:tc>
        <w:tc>
          <w:tcPr>
            <w:tcW w:w="600" w:type="dxa"/>
            <w:vAlign w:val="bottom"/>
            <w:shd w:val="clear" w:color="auto" w:fill="CCEEFF"/>
          </w:tcPr>
          <w:p>
            <w:pPr>
              <w:jc w:val="right"/>
              <w:ind w:right="445"/>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212</w:t>
            </w:r>
          </w:p>
        </w:tc>
        <w:tc>
          <w:tcPr>
            <w:tcW w:w="600" w:type="dxa"/>
            <w:vAlign w:val="bottom"/>
            <w:shd w:val="clear" w:color="auto" w:fill="CCEEFF"/>
          </w:tcPr>
          <w:p>
            <w:pPr>
              <w:jc w:val="right"/>
              <w:ind w:right="445"/>
              <w:spacing w:after="0"/>
              <w:rPr>
                <w:sz w:val="20"/>
                <w:szCs w:val="20"/>
                <w:color w:val="auto"/>
              </w:rPr>
            </w:pPr>
            <w:r>
              <w:rPr>
                <w:rFonts w:ascii="Arial" w:cs="Arial" w:eastAsia="Arial" w:hAnsi="Arial"/>
                <w:sz w:val="15"/>
                <w:szCs w:val="15"/>
                <w:color w:val="auto"/>
                <w:w w:val="71"/>
              </w:rPr>
              <w:t>$</w:t>
            </w:r>
          </w:p>
        </w:tc>
        <w:tc>
          <w:tcPr>
            <w:tcW w:w="6000" w:type="dxa"/>
            <w:vAlign w:val="bottom"/>
            <w:gridSpan w:val="2"/>
            <w:shd w:val="clear" w:color="auto" w:fill="CCEEFF"/>
          </w:tcPr>
          <w:p>
            <w:pPr>
              <w:jc w:val="right"/>
              <w:ind w:right="5140"/>
              <w:spacing w:after="0"/>
              <w:rPr>
                <w:sz w:val="20"/>
                <w:szCs w:val="20"/>
                <w:color w:val="auto"/>
              </w:rPr>
            </w:pPr>
            <w:r>
              <w:rPr>
                <w:rFonts w:ascii="Arial" w:cs="Arial" w:eastAsia="Arial" w:hAnsi="Arial"/>
                <w:sz w:val="18"/>
                <w:szCs w:val="18"/>
                <w:color w:val="auto"/>
              </w:rPr>
              <w:t>254</w:t>
            </w: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2009 additional financial information</w:t>
      </w:r>
    </w:p>
    <w:p>
      <w:pPr>
        <w:spacing w:after="0" w:line="25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Capital expenditures were $753 million in 2009, down $10 million from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-91440</wp:posOffset>
            </wp:positionV>
            <wp:extent cx="68580" cy="68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9"/>
          <w:szCs w:val="19"/>
          <w:color w:val="auto"/>
        </w:rPr>
        <w:t>The company used $954 million to repurchase 45.3 million shares of its common stock and paid dividends of $567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-88265</wp:posOffset>
            </wp:positionV>
            <wp:extent cx="68580" cy="685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Outlook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For the first quarter of 2010, TI expects:</w:t>
      </w:r>
    </w:p>
    <w:p>
      <w:pPr>
        <w:spacing w:after="0" w:line="218" w:lineRule="exact"/>
        <w:rPr>
          <w:sz w:val="20"/>
          <w:szCs w:val="20"/>
          <w:color w:val="auto"/>
        </w:rPr>
      </w:pPr>
    </w:p>
    <w:p>
      <w:pPr>
        <w:ind w:left="540"/>
        <w:spacing w:after="0"/>
        <w:rPr>
          <w:sz w:val="20"/>
          <w:szCs w:val="20"/>
          <w:color w:val="auto"/>
        </w:rPr>
      </w:pPr>
      <w:r>
        <w:rPr>
          <w:rFonts w:ascii="Arial" w:cs="Arial" w:eastAsia="Arial" w:hAnsi="Arial"/>
          <w:sz w:val="22"/>
          <w:szCs w:val="22"/>
          <w:color w:val="auto"/>
        </w:rPr>
        <w:t>Revenue: $2.95 - 3.19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Arial" w:cs="Arial" w:eastAsia="Arial" w:hAnsi="Arial"/>
          <w:sz w:val="22"/>
          <w:szCs w:val="22"/>
          <w:color w:val="auto"/>
        </w:rPr>
        <w:t>Earnings per share: $0.44 - 0.52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-110490</wp:posOffset>
            </wp:positionV>
            <wp:extent cx="68580" cy="685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TI will update its first-quarter outlook on March 8, 2010.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For the full year of 2010, TI expects approximately the following:</w:t>
      </w:r>
    </w:p>
    <w:p>
      <w:pPr>
        <w:spacing w:after="0" w:line="25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R&amp;D expense: $1.5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-91440</wp:posOffset>
            </wp:positionV>
            <wp:extent cx="68580" cy="685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Capital expenditures: $0.9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-91440</wp:posOffset>
            </wp:positionV>
            <wp:extent cx="68580" cy="685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Depreciation: $0.9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-91440</wp:posOffset>
            </wp:positionV>
            <wp:extent cx="68580" cy="685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Annual effective tax rate: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-91440</wp:posOffset>
            </wp:positionV>
            <wp:extent cx="68580" cy="685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The tax rate estimate is based on current tax law and does not assume reinstatement of the federal R&amp;D tax credit, which expired at the end of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491490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 except share and per-share amounts)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45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2840" w:type="dxa"/>
            <w:vAlign w:val="bottom"/>
            <w:tcBorders>
              <w:bottom w:val="single" w:sz="8" w:color="auto"/>
            </w:tcBorders>
            <w:gridSpan w:val="6"/>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For Three Months Ended</w:t>
            </w:r>
          </w:p>
        </w:tc>
        <w:tc>
          <w:tcPr>
            <w:tcW w:w="68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For Years Ended</w:t>
            </w:r>
          </w:p>
        </w:tc>
        <w:tc>
          <w:tcPr>
            <w:tcW w:w="56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142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w w:val="91"/>
              </w:rPr>
              <w:t>Dec. 31, 2009</w:t>
            </w:r>
          </w:p>
        </w:tc>
        <w:tc>
          <w:tcPr>
            <w:tcW w:w="138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w w:val="91"/>
              </w:rPr>
              <w:t>Dec. 31, 2008</w:t>
            </w:r>
          </w:p>
        </w:tc>
        <w:tc>
          <w:tcPr>
            <w:tcW w:w="140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90"/>
              </w:rPr>
              <w:t>Sept. 30, 2009</w:t>
            </w:r>
          </w:p>
        </w:tc>
        <w:tc>
          <w:tcPr>
            <w:tcW w:w="142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w w:val="91"/>
              </w:rPr>
              <w:t>Dec. 31, 2009</w:t>
            </w:r>
          </w:p>
        </w:tc>
        <w:tc>
          <w:tcPr>
            <w:tcW w:w="128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1"/>
              </w:rPr>
              <w:t>Dec. 31, 2008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0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Revenue</w:t>
            </w:r>
          </w:p>
        </w:tc>
        <w:tc>
          <w:tcPr>
            <w:tcW w:w="400" w:type="dxa"/>
            <w:vAlign w:val="bottom"/>
          </w:tcPr>
          <w:p>
            <w:pPr>
              <w:jc w:val="right"/>
              <w:ind w:right="242"/>
              <w:spacing w:after="0"/>
              <w:rPr>
                <w:sz w:val="20"/>
                <w:szCs w:val="20"/>
                <w:color w:val="auto"/>
              </w:rPr>
            </w:pPr>
            <w:r>
              <w:rPr>
                <w:rFonts w:ascii="Arial" w:cs="Arial" w:eastAsia="Arial" w:hAnsi="Arial"/>
                <w:sz w:val="15"/>
                <w:szCs w:val="15"/>
                <w:b w:val="1"/>
                <w:bCs w:val="1"/>
                <w:color w:val="auto"/>
                <w:w w:val="71"/>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3,005</w:t>
            </w:r>
          </w:p>
        </w:tc>
        <w:tc>
          <w:tcPr>
            <w:tcW w:w="400" w:type="dxa"/>
            <w:vAlign w:val="bottom"/>
          </w:tcPr>
          <w:p>
            <w:pPr>
              <w:jc w:val="right"/>
              <w:ind w:right="242"/>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2,491</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2,880</w:t>
            </w:r>
          </w:p>
        </w:tc>
        <w:tc>
          <w:tcPr>
            <w:tcW w:w="280" w:type="dxa"/>
            <w:vAlign w:val="bottom"/>
          </w:tcPr>
          <w:p>
            <w:pPr>
              <w:spacing w:after="0"/>
              <w:rPr>
                <w:sz w:val="18"/>
                <w:szCs w:val="18"/>
                <w:color w:val="auto"/>
              </w:rPr>
            </w:pPr>
          </w:p>
        </w:tc>
        <w:tc>
          <w:tcPr>
            <w:tcW w:w="360" w:type="dxa"/>
            <w:vAlign w:val="bottom"/>
          </w:tcPr>
          <w:p>
            <w:pPr>
              <w:jc w:val="right"/>
              <w:ind w:right="202"/>
              <w:spacing w:after="0"/>
              <w:rPr>
                <w:sz w:val="20"/>
                <w:szCs w:val="20"/>
                <w:color w:val="auto"/>
              </w:rPr>
            </w:pPr>
            <w:r>
              <w:rPr>
                <w:rFonts w:ascii="Arial" w:cs="Arial" w:eastAsia="Arial" w:hAnsi="Arial"/>
                <w:sz w:val="15"/>
                <w:szCs w:val="15"/>
                <w:b w:val="1"/>
                <w:bCs w:val="1"/>
                <w:color w:val="auto"/>
                <w:w w:val="71"/>
              </w:rPr>
              <w:t>$</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10,427</w:t>
            </w:r>
          </w:p>
        </w:tc>
        <w:tc>
          <w:tcPr>
            <w:tcW w:w="560" w:type="dxa"/>
            <w:vAlign w:val="bottom"/>
          </w:tcPr>
          <w:p>
            <w:pPr>
              <w:jc w:val="right"/>
              <w:ind w:right="402"/>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12,501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4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1,416</w:t>
            </w:r>
          </w:p>
        </w:tc>
        <w:tc>
          <w:tcPr>
            <w:tcW w:w="300" w:type="dxa"/>
            <w:vAlign w:val="bottom"/>
            <w:tcBorders>
              <w:bottom w:val="single" w:sz="8" w:color="CCEEFF"/>
              <w:right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1,394</w:t>
            </w:r>
          </w:p>
        </w:tc>
        <w:tc>
          <w:tcPr>
            <w:tcW w:w="260" w:type="dxa"/>
            <w:vAlign w:val="bottom"/>
            <w:tcBorders>
              <w:bottom w:val="single" w:sz="8" w:color="CCEEFF"/>
              <w:right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1,399</w:t>
            </w:r>
          </w:p>
        </w:tc>
        <w:tc>
          <w:tcPr>
            <w:tcW w:w="2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5,428</w:t>
            </w:r>
          </w:p>
        </w:tc>
        <w:tc>
          <w:tcPr>
            <w:tcW w:w="3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6,256</w:t>
            </w: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Gross profit</w:t>
            </w:r>
          </w:p>
        </w:tc>
        <w:tc>
          <w:tcPr>
            <w:tcW w:w="4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1,589</w:t>
            </w:r>
          </w:p>
        </w:tc>
        <w:tc>
          <w:tcPr>
            <w:tcW w:w="4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1,097</w:t>
            </w:r>
          </w:p>
        </w:tc>
        <w:tc>
          <w:tcPr>
            <w:tcW w:w="4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1,481</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4,999</w:t>
            </w:r>
          </w:p>
        </w:tc>
        <w:tc>
          <w:tcPr>
            <w:tcW w:w="5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6,245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(R&amp;D)</w:t>
            </w:r>
          </w:p>
        </w:tc>
        <w:tc>
          <w:tcPr>
            <w:tcW w:w="40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355</w:t>
            </w:r>
          </w:p>
        </w:tc>
        <w:tc>
          <w:tcPr>
            <w:tcW w:w="40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431</w:t>
            </w: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368</w:t>
            </w:r>
          </w:p>
        </w:tc>
        <w:tc>
          <w:tcPr>
            <w:tcW w:w="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1,476</w:t>
            </w:r>
          </w:p>
        </w:tc>
        <w:tc>
          <w:tcPr>
            <w:tcW w:w="5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Selling, general and administrative (SG&amp;A)</w:t>
            </w:r>
          </w:p>
        </w:tc>
        <w:tc>
          <w:tcPr>
            <w:tcW w:w="4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347</w:t>
            </w:r>
          </w:p>
        </w:tc>
        <w:tc>
          <w:tcPr>
            <w:tcW w:w="4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361</w:t>
            </w:r>
          </w:p>
        </w:tc>
        <w:tc>
          <w:tcPr>
            <w:tcW w:w="44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340</w:t>
            </w:r>
          </w:p>
        </w:tc>
        <w:tc>
          <w:tcPr>
            <w:tcW w:w="36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1,320</w:t>
            </w:r>
          </w:p>
        </w:tc>
        <w:tc>
          <w:tcPr>
            <w:tcW w:w="5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1,614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Restructuring expense</w:t>
            </w:r>
          </w:p>
        </w:tc>
        <w:tc>
          <w:tcPr>
            <w:tcW w:w="4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300" w:type="dxa"/>
            <w:vAlign w:val="bottom"/>
            <w:tcBorders>
              <w:bottom w:val="single" w:sz="8" w:color="CCEEFF"/>
              <w:right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260" w:type="dxa"/>
            <w:vAlign w:val="bottom"/>
            <w:tcBorders>
              <w:bottom w:val="single" w:sz="8" w:color="CCEEFF"/>
              <w:right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212</w:t>
            </w:r>
          </w:p>
        </w:tc>
        <w:tc>
          <w:tcPr>
            <w:tcW w:w="3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Operating profit</w:t>
            </w:r>
          </w:p>
        </w:tc>
        <w:tc>
          <w:tcPr>
            <w:tcW w:w="4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875</w:t>
            </w:r>
          </w:p>
        </w:tc>
        <w:tc>
          <w:tcPr>
            <w:tcW w:w="4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51</w:t>
            </w:r>
          </w:p>
        </w:tc>
        <w:tc>
          <w:tcPr>
            <w:tcW w:w="44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763</w:t>
            </w:r>
          </w:p>
        </w:tc>
        <w:tc>
          <w:tcPr>
            <w:tcW w:w="36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1,991</w:t>
            </w:r>
          </w:p>
        </w:tc>
        <w:tc>
          <w:tcPr>
            <w:tcW w:w="5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2,437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30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w:t>
            </w: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w:t>
            </w: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0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Borders>
              <w:right w:val="single" w:sz="8" w:color="CCEEFF"/>
            </w:tcBorders>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881</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765</w:t>
            </w:r>
          </w:p>
        </w:tc>
        <w:tc>
          <w:tcPr>
            <w:tcW w:w="36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2,017</w:t>
            </w:r>
          </w:p>
        </w:tc>
        <w:tc>
          <w:tcPr>
            <w:tcW w:w="5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2,481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226</w:t>
            </w:r>
          </w:p>
        </w:tc>
        <w:tc>
          <w:tcPr>
            <w:tcW w:w="30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w:t>
            </w: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227</w:t>
            </w:r>
          </w:p>
        </w:tc>
        <w:tc>
          <w:tcPr>
            <w:tcW w:w="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547</w:t>
            </w:r>
          </w:p>
        </w:tc>
        <w:tc>
          <w:tcPr>
            <w:tcW w:w="5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0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Borders>
              <w:right w:val="single" w:sz="8" w:color="CCEEFF"/>
            </w:tcBorders>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Net income</w:t>
            </w:r>
          </w:p>
        </w:tc>
        <w:tc>
          <w:tcPr>
            <w:tcW w:w="400" w:type="dxa"/>
            <w:vAlign w:val="bottom"/>
          </w:tcPr>
          <w:p>
            <w:pPr>
              <w:jc w:val="right"/>
              <w:ind w:right="242"/>
              <w:spacing w:after="0"/>
              <w:rPr>
                <w:sz w:val="20"/>
                <w:szCs w:val="20"/>
                <w:color w:val="auto"/>
              </w:rPr>
            </w:pPr>
            <w:r>
              <w:rPr>
                <w:rFonts w:ascii="Arial" w:cs="Arial" w:eastAsia="Arial" w:hAnsi="Arial"/>
                <w:sz w:val="15"/>
                <w:szCs w:val="15"/>
                <w:b w:val="1"/>
                <w:bCs w:val="1"/>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655</w:t>
            </w:r>
          </w:p>
        </w:tc>
        <w:tc>
          <w:tcPr>
            <w:tcW w:w="300" w:type="dxa"/>
            <w:vAlign w:val="bottom"/>
          </w:tcPr>
          <w:p>
            <w:pPr>
              <w:spacing w:after="0"/>
              <w:rPr>
                <w:sz w:val="18"/>
                <w:szCs w:val="18"/>
                <w:color w:val="auto"/>
              </w:rPr>
            </w:pPr>
          </w:p>
        </w:tc>
        <w:tc>
          <w:tcPr>
            <w:tcW w:w="400" w:type="dxa"/>
            <w:vAlign w:val="bottom"/>
          </w:tcPr>
          <w:p>
            <w:pPr>
              <w:jc w:val="right"/>
              <w:ind w:right="242"/>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107</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538</w:t>
            </w:r>
          </w:p>
        </w:tc>
        <w:tc>
          <w:tcPr>
            <w:tcW w:w="360" w:type="dxa"/>
            <w:vAlign w:val="bottom"/>
          </w:tcPr>
          <w:p>
            <w:pPr>
              <w:jc w:val="right"/>
              <w:ind w:right="202"/>
              <w:spacing w:after="0"/>
              <w:rPr>
                <w:sz w:val="20"/>
                <w:szCs w:val="20"/>
                <w:color w:val="auto"/>
              </w:rPr>
            </w:pPr>
            <w:r>
              <w:rPr>
                <w:rFonts w:ascii="Arial" w:cs="Arial" w:eastAsia="Arial" w:hAnsi="Arial"/>
                <w:sz w:val="15"/>
                <w:szCs w:val="15"/>
                <w:b w:val="1"/>
                <w:bCs w:val="1"/>
                <w:color w:val="auto"/>
                <w:w w:val="71"/>
              </w:rPr>
              <w:t>$</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1,470</w:t>
            </w:r>
          </w:p>
        </w:tc>
        <w:tc>
          <w:tcPr>
            <w:tcW w:w="560" w:type="dxa"/>
            <w:vAlign w:val="bottom"/>
          </w:tcPr>
          <w:p>
            <w:pPr>
              <w:jc w:val="right"/>
              <w:ind w:right="402"/>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1,920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Earnings per common share:</w:t>
            </w: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00" w:type="dxa"/>
            <w:vAlign w:val="bottom"/>
            <w:shd w:val="clear" w:color="auto" w:fill="CCEEFF"/>
          </w:tcPr>
          <w:p>
            <w:pPr>
              <w:ind w:left="80"/>
              <w:spacing w:after="0"/>
              <w:rPr>
                <w:sz w:val="20"/>
                <w:szCs w:val="20"/>
                <w:color w:val="auto"/>
              </w:rPr>
            </w:pPr>
            <w:r>
              <w:rPr>
                <w:rFonts w:ascii="Arial" w:cs="Arial" w:eastAsia="Arial" w:hAnsi="Arial"/>
                <w:sz w:val="18"/>
                <w:szCs w:val="18"/>
                <w:color w:val="auto"/>
              </w:rPr>
              <w:t>Basic</w:t>
            </w:r>
          </w:p>
        </w:tc>
        <w:tc>
          <w:tcPr>
            <w:tcW w:w="400" w:type="dxa"/>
            <w:vAlign w:val="bottom"/>
            <w:shd w:val="clear" w:color="auto" w:fill="CCEEFF"/>
          </w:tcPr>
          <w:p>
            <w:pPr>
              <w:jc w:val="right"/>
              <w:ind w:right="242"/>
              <w:spacing w:after="0"/>
              <w:rPr>
                <w:sz w:val="20"/>
                <w:szCs w:val="20"/>
                <w:color w:val="auto"/>
              </w:rPr>
            </w:pPr>
            <w:r>
              <w:rPr>
                <w:rFonts w:ascii="Arial" w:cs="Arial" w:eastAsia="Arial" w:hAnsi="Arial"/>
                <w:sz w:val="15"/>
                <w:szCs w:val="15"/>
                <w:b w:val="1"/>
                <w:bCs w:val="1"/>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w:t>
            </w:r>
          </w:p>
        </w:tc>
        <w:tc>
          <w:tcPr>
            <w:tcW w:w="300" w:type="dxa"/>
            <w:vAlign w:val="bottom"/>
            <w:tcBorders>
              <w:right w:val="single" w:sz="8" w:color="CCEEFF"/>
            </w:tcBorders>
            <w:shd w:val="clear" w:color="auto" w:fill="CCEEFF"/>
          </w:tcPr>
          <w:p>
            <w:pPr>
              <w:spacing w:after="0"/>
              <w:rPr>
                <w:sz w:val="20"/>
                <w:szCs w:val="20"/>
                <w:color w:val="auto"/>
              </w:rPr>
            </w:pPr>
          </w:p>
        </w:tc>
        <w:tc>
          <w:tcPr>
            <w:tcW w:w="400" w:type="dxa"/>
            <w:vAlign w:val="bottom"/>
            <w:shd w:val="clear" w:color="auto" w:fill="CCEEFF"/>
          </w:tcPr>
          <w:p>
            <w:pPr>
              <w:jc w:val="right"/>
              <w:ind w:right="242"/>
              <w:spacing w:after="0"/>
              <w:rPr>
                <w:sz w:val="20"/>
                <w:szCs w:val="20"/>
                <w:color w:val="auto"/>
              </w:rPr>
            </w:pPr>
            <w:r>
              <w:rPr>
                <w:rFonts w:ascii="Arial" w:cs="Arial" w:eastAsia="Arial" w:hAnsi="Arial"/>
                <w:sz w:val="15"/>
                <w:szCs w:val="15"/>
                <w:color w:val="auto"/>
                <w:w w:val="71"/>
              </w:rPr>
              <w:t>$</w:t>
            </w:r>
          </w:p>
        </w:tc>
        <w:tc>
          <w:tcPr>
            <w:tcW w:w="9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.08</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8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202"/>
              <w:spacing w:after="0"/>
              <w:rPr>
                <w:sz w:val="20"/>
                <w:szCs w:val="20"/>
                <w:color w:val="auto"/>
              </w:rPr>
            </w:pPr>
            <w:r>
              <w:rPr>
                <w:rFonts w:ascii="Arial" w:cs="Arial" w:eastAsia="Arial" w:hAnsi="Arial"/>
                <w:sz w:val="15"/>
                <w:szCs w:val="15"/>
                <w:b w:val="1"/>
                <w:bCs w:val="1"/>
                <w:color w:val="auto"/>
                <w:w w:val="71"/>
              </w:rPr>
              <w:t>$</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1.16</w:t>
            </w:r>
          </w:p>
        </w:tc>
        <w:tc>
          <w:tcPr>
            <w:tcW w:w="560" w:type="dxa"/>
            <w:vAlign w:val="bottom"/>
            <w:shd w:val="clear" w:color="auto" w:fill="CCEEFF"/>
          </w:tcPr>
          <w:p>
            <w:pPr>
              <w:jc w:val="right"/>
              <w:ind w:right="402"/>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tcPr>
          <w:p>
            <w:pPr>
              <w:ind w:left="80"/>
              <w:spacing w:after="0"/>
              <w:rPr>
                <w:sz w:val="20"/>
                <w:szCs w:val="20"/>
                <w:color w:val="auto"/>
              </w:rPr>
            </w:pPr>
            <w:r>
              <w:rPr>
                <w:rFonts w:ascii="Arial" w:cs="Arial" w:eastAsia="Arial" w:hAnsi="Arial"/>
                <w:sz w:val="18"/>
                <w:szCs w:val="18"/>
                <w:color w:val="auto"/>
              </w:rPr>
              <w:t>Diluted</w:t>
            </w:r>
          </w:p>
        </w:tc>
        <w:tc>
          <w:tcPr>
            <w:tcW w:w="400" w:type="dxa"/>
            <w:vAlign w:val="bottom"/>
          </w:tcPr>
          <w:p>
            <w:pPr>
              <w:jc w:val="right"/>
              <w:ind w:right="242"/>
              <w:spacing w:after="0"/>
              <w:rPr>
                <w:sz w:val="20"/>
                <w:szCs w:val="20"/>
                <w:color w:val="auto"/>
              </w:rPr>
            </w:pPr>
            <w:r>
              <w:rPr>
                <w:rFonts w:ascii="Arial" w:cs="Arial" w:eastAsia="Arial" w:hAnsi="Arial"/>
                <w:sz w:val="15"/>
                <w:szCs w:val="15"/>
                <w:b w:val="1"/>
                <w:bCs w:val="1"/>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.52</w:t>
            </w:r>
          </w:p>
        </w:tc>
        <w:tc>
          <w:tcPr>
            <w:tcW w:w="300" w:type="dxa"/>
            <w:vAlign w:val="bottom"/>
          </w:tcPr>
          <w:p>
            <w:pPr>
              <w:spacing w:after="0"/>
              <w:rPr>
                <w:sz w:val="18"/>
                <w:szCs w:val="18"/>
                <w:color w:val="auto"/>
              </w:rPr>
            </w:pPr>
          </w:p>
        </w:tc>
        <w:tc>
          <w:tcPr>
            <w:tcW w:w="400" w:type="dxa"/>
            <w:vAlign w:val="bottom"/>
          </w:tcPr>
          <w:p>
            <w:pPr>
              <w:jc w:val="right"/>
              <w:ind w:right="242"/>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.08</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.42</w:t>
            </w:r>
          </w:p>
        </w:tc>
        <w:tc>
          <w:tcPr>
            <w:tcW w:w="280" w:type="dxa"/>
            <w:vAlign w:val="bottom"/>
          </w:tcPr>
          <w:p>
            <w:pPr>
              <w:spacing w:after="0"/>
              <w:rPr>
                <w:sz w:val="18"/>
                <w:szCs w:val="18"/>
                <w:color w:val="auto"/>
              </w:rPr>
            </w:pPr>
          </w:p>
        </w:tc>
        <w:tc>
          <w:tcPr>
            <w:tcW w:w="360" w:type="dxa"/>
            <w:vAlign w:val="bottom"/>
          </w:tcPr>
          <w:p>
            <w:pPr>
              <w:jc w:val="right"/>
              <w:ind w:right="202"/>
              <w:spacing w:after="0"/>
              <w:rPr>
                <w:sz w:val="20"/>
                <w:szCs w:val="20"/>
                <w:color w:val="auto"/>
              </w:rPr>
            </w:pPr>
            <w:r>
              <w:rPr>
                <w:rFonts w:ascii="Arial" w:cs="Arial" w:eastAsia="Arial" w:hAnsi="Arial"/>
                <w:sz w:val="15"/>
                <w:szCs w:val="15"/>
                <w:b w:val="1"/>
                <w:bCs w:val="1"/>
                <w:color w:val="auto"/>
                <w:w w:val="71"/>
              </w:rPr>
              <w:t>$</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1.15</w:t>
            </w:r>
          </w:p>
        </w:tc>
        <w:tc>
          <w:tcPr>
            <w:tcW w:w="560" w:type="dxa"/>
            <w:vAlign w:val="bottom"/>
          </w:tcPr>
          <w:p>
            <w:pPr>
              <w:jc w:val="right"/>
              <w:ind w:right="402"/>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Average shares outstanding (millions):</w:t>
            </w: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Basic</w:t>
            </w:r>
          </w:p>
        </w:tc>
        <w:tc>
          <w:tcPr>
            <w:tcW w:w="40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1,243</w:t>
            </w:r>
          </w:p>
        </w:tc>
        <w:tc>
          <w:tcPr>
            <w:tcW w:w="300" w:type="dxa"/>
            <w:vAlign w:val="bottom"/>
            <w:tcBorders>
              <w:bottom w:val="single" w:sz="8" w:color="CCEEFF"/>
              <w:right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1,283</w:t>
            </w:r>
          </w:p>
        </w:tc>
        <w:tc>
          <w:tcPr>
            <w:tcW w:w="260" w:type="dxa"/>
            <w:vAlign w:val="bottom"/>
            <w:tcBorders>
              <w:bottom w:val="single" w:sz="8" w:color="CCEEFF"/>
              <w:right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1,255</w:t>
            </w:r>
          </w:p>
        </w:tc>
        <w:tc>
          <w:tcPr>
            <w:tcW w:w="2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1,260</w:t>
            </w:r>
          </w:p>
        </w:tc>
        <w:tc>
          <w:tcPr>
            <w:tcW w:w="3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1,308</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tcPr>
          <w:p>
            <w:pPr>
              <w:ind w:left="80"/>
              <w:spacing w:after="0"/>
              <w:rPr>
                <w:sz w:val="20"/>
                <w:szCs w:val="20"/>
                <w:color w:val="auto"/>
              </w:rPr>
            </w:pPr>
            <w:r>
              <w:rPr>
                <w:rFonts w:ascii="Arial" w:cs="Arial" w:eastAsia="Arial" w:hAnsi="Arial"/>
                <w:sz w:val="18"/>
                <w:szCs w:val="18"/>
                <w:color w:val="auto"/>
              </w:rPr>
              <w:t>Diluted</w:t>
            </w:r>
          </w:p>
        </w:tc>
        <w:tc>
          <w:tcPr>
            <w:tcW w:w="4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1,257</w:t>
            </w:r>
          </w:p>
        </w:tc>
        <w:tc>
          <w:tcPr>
            <w:tcW w:w="4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1,287</w:t>
            </w:r>
          </w:p>
        </w:tc>
        <w:tc>
          <w:tcPr>
            <w:tcW w:w="4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1,268</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1,269</w:t>
            </w:r>
          </w:p>
        </w:tc>
        <w:tc>
          <w:tcPr>
            <w:tcW w:w="5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1,321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Cash dividends declared per share of common stock</w:t>
            </w:r>
          </w:p>
        </w:tc>
        <w:tc>
          <w:tcPr>
            <w:tcW w:w="400" w:type="dxa"/>
            <w:vAlign w:val="bottom"/>
          </w:tcPr>
          <w:p>
            <w:pPr>
              <w:jc w:val="right"/>
              <w:ind w:right="242"/>
              <w:spacing w:after="0"/>
              <w:rPr>
                <w:sz w:val="20"/>
                <w:szCs w:val="20"/>
                <w:color w:val="auto"/>
              </w:rPr>
            </w:pPr>
            <w:r>
              <w:rPr>
                <w:rFonts w:ascii="Arial" w:cs="Arial" w:eastAsia="Arial" w:hAnsi="Arial"/>
                <w:sz w:val="15"/>
                <w:szCs w:val="15"/>
                <w:b w:val="1"/>
                <w:bCs w:val="1"/>
                <w:color w:val="auto"/>
                <w:w w:val="71"/>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.12</w:t>
            </w:r>
          </w:p>
        </w:tc>
        <w:tc>
          <w:tcPr>
            <w:tcW w:w="400" w:type="dxa"/>
            <w:vAlign w:val="bottom"/>
          </w:tcPr>
          <w:p>
            <w:pPr>
              <w:jc w:val="right"/>
              <w:ind w:right="242"/>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.11</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.11</w:t>
            </w:r>
          </w:p>
        </w:tc>
        <w:tc>
          <w:tcPr>
            <w:tcW w:w="360" w:type="dxa"/>
            <w:vAlign w:val="bottom"/>
          </w:tcPr>
          <w:p>
            <w:pPr>
              <w:jc w:val="right"/>
              <w:ind w:right="202"/>
              <w:spacing w:after="0"/>
              <w:rPr>
                <w:sz w:val="20"/>
                <w:szCs w:val="20"/>
                <w:color w:val="auto"/>
              </w:rPr>
            </w:pPr>
            <w:r>
              <w:rPr>
                <w:rFonts w:ascii="Arial" w:cs="Arial" w:eastAsia="Arial" w:hAnsi="Arial"/>
                <w:sz w:val="15"/>
                <w:szCs w:val="15"/>
                <w:b w:val="1"/>
                <w:bCs w:val="1"/>
                <w:color w:val="auto"/>
                <w:w w:val="71"/>
              </w:rPr>
              <w:t>$</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.45</w:t>
            </w:r>
          </w:p>
        </w:tc>
        <w:tc>
          <w:tcPr>
            <w:tcW w:w="560" w:type="dxa"/>
            <w:vAlign w:val="bottom"/>
          </w:tcPr>
          <w:p>
            <w:pPr>
              <w:jc w:val="right"/>
              <w:ind w:right="402"/>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Percentage of revenue:</w:t>
            </w: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40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52.9%</w:t>
            </w:r>
          </w:p>
        </w:tc>
        <w:tc>
          <w:tcPr>
            <w:tcW w:w="40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44.0%</w:t>
            </w: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51.4%</w:t>
            </w:r>
          </w:p>
        </w:tc>
        <w:tc>
          <w:tcPr>
            <w:tcW w:w="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47.9%</w:t>
            </w:r>
          </w:p>
        </w:tc>
        <w:tc>
          <w:tcPr>
            <w:tcW w:w="5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R&amp;D</w:t>
            </w:r>
          </w:p>
        </w:tc>
        <w:tc>
          <w:tcPr>
            <w:tcW w:w="4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11.8%</w:t>
            </w:r>
          </w:p>
        </w:tc>
        <w:tc>
          <w:tcPr>
            <w:tcW w:w="4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17.3%</w:t>
            </w:r>
          </w:p>
        </w:tc>
        <w:tc>
          <w:tcPr>
            <w:tcW w:w="4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12.7%</w:t>
            </w:r>
          </w:p>
        </w:tc>
        <w:tc>
          <w:tcPr>
            <w:tcW w:w="36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14.2%</w:t>
            </w:r>
          </w:p>
        </w:tc>
        <w:tc>
          <w:tcPr>
            <w:tcW w:w="56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SG&amp;A</w:t>
            </w:r>
          </w:p>
        </w:tc>
        <w:tc>
          <w:tcPr>
            <w:tcW w:w="40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11.5%</w:t>
            </w:r>
          </w:p>
        </w:tc>
        <w:tc>
          <w:tcPr>
            <w:tcW w:w="40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14.5%</w:t>
            </w: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11.8%</w:t>
            </w:r>
          </w:p>
        </w:tc>
        <w:tc>
          <w:tcPr>
            <w:tcW w:w="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12.6%</w:t>
            </w:r>
          </w:p>
        </w:tc>
        <w:tc>
          <w:tcPr>
            <w:tcW w:w="5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Operating profit</w:t>
            </w:r>
          </w:p>
        </w:tc>
        <w:tc>
          <w:tcPr>
            <w:tcW w:w="40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29.1%</w:t>
            </w:r>
          </w:p>
        </w:tc>
        <w:tc>
          <w:tcPr>
            <w:tcW w:w="40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2.0%</w:t>
            </w:r>
          </w:p>
        </w:tc>
        <w:tc>
          <w:tcPr>
            <w:tcW w:w="44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26.5%</w:t>
            </w:r>
          </w:p>
        </w:tc>
        <w:tc>
          <w:tcPr>
            <w:tcW w:w="36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19.1%</w:t>
            </w:r>
          </w:p>
        </w:tc>
        <w:tc>
          <w:tcPr>
            <w:tcW w:w="56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978"/>
        </w:trPr>
        <w:tc>
          <w:tcPr>
            <w:tcW w:w="20" w:type="dxa"/>
            <w:vAlign w:val="bottom"/>
            <w:tcBorders>
              <w:bottom w:val="single" w:sz="8" w:color="808080"/>
            </w:tcBorders>
          </w:tcPr>
          <w:p>
            <w:pPr>
              <w:spacing w:after="0"/>
              <w:rPr>
                <w:sz w:val="24"/>
                <w:szCs w:val="24"/>
                <w:color w:val="auto"/>
              </w:rPr>
            </w:pPr>
          </w:p>
        </w:tc>
        <w:tc>
          <w:tcPr>
            <w:tcW w:w="450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850"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 except share amounts)</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w w:val="99"/>
              </w:rPr>
              <w:t>Dec. 31,</w:t>
            </w: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b w:val="1"/>
                <w:bCs w:val="1"/>
                <w:color w:val="auto"/>
                <w:w w:val="88"/>
              </w:rPr>
              <w:t>Dec. 31,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w w:val="97"/>
              </w:rPr>
              <w:t>Sept. 30,</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4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2008</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1,182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1,046</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Short-term investments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1,743</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1,494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Accounts receivable, net of allowances of ($23), ($30) and ($22)</w:t>
            </w: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1,277</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913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Raw materials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93</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Work in process</w:t>
            </w: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758</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837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Finished goods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Inventories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1,202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1,375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1,116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income taxes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164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267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6,114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5,790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6,138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Property, plant and equipment at cost</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6,705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7,321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Less accumulated depreciation</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(3,547)</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(4,017)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(3,654)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Property, plant and equipment, net</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3,158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3,304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2,945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Long-term investments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926</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840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Acquisition-related intangibles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124</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Deferred income taxes</w:t>
            </w: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926</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990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Capitalized software licenses, net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119</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Overfunded retirement plans</w:t>
            </w: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64</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Total assets</w:t>
            </w:r>
          </w:p>
        </w:tc>
        <w:tc>
          <w:tcPr>
            <w:tcW w:w="180" w:type="dxa"/>
            <w:vAlign w:val="bottom"/>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12,119</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11,923</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11,903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180" w:type="dxa"/>
            <w:vAlign w:val="bottom"/>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503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324</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expenses and other liabilities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841</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1,034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Income taxes payable</w:t>
            </w: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128</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profit sharing and retirement</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Total current liabilities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1,587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1,532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1,662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Underfunded retirement plans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Deferred income taxes</w:t>
            </w: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67</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Deferred credits and other liabilities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Total liabilities</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2,397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2,597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20" w:type="dxa"/>
            <w:vAlign w:val="bottom"/>
          </w:tcPr>
          <w:p>
            <w:pPr>
              <w:ind w:left="160"/>
              <w:spacing w:after="0" w:line="201" w:lineRule="exact"/>
              <w:rPr>
                <w:sz w:val="20"/>
                <w:szCs w:val="20"/>
                <w:color w:val="auto"/>
              </w:rPr>
            </w:pPr>
            <w:r>
              <w:rPr>
                <w:rFonts w:ascii="Arial" w:cs="Arial" w:eastAsia="Arial" w:hAnsi="Arial"/>
                <w:sz w:val="18"/>
                <w:szCs w:val="18"/>
                <w:color w:val="auto"/>
              </w:rPr>
              <w:t>Preferred stock, $25 par value. Authorized -- 10,000,000 shares. Participating cumulative</w:t>
            </w:r>
          </w:p>
        </w:tc>
        <w:tc>
          <w:tcPr>
            <w:tcW w:w="180" w:type="dxa"/>
            <w:vAlign w:val="bottom"/>
          </w:tcPr>
          <w:p>
            <w:pPr>
              <w:spacing w:after="0"/>
              <w:rPr>
                <w:sz w:val="17"/>
                <w:szCs w:val="17"/>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preferred. None issued.</w:t>
            </w:r>
          </w:p>
        </w:tc>
        <w:tc>
          <w:tcPr>
            <w:tcW w:w="180" w:type="dxa"/>
            <w:vAlign w:val="bottom"/>
          </w:tcPr>
          <w:p>
            <w:pPr>
              <w:spacing w:after="0"/>
              <w:rPr>
                <w:sz w:val="20"/>
                <w:szCs w:val="20"/>
                <w:color w:val="auto"/>
              </w:rPr>
            </w:pPr>
          </w:p>
        </w:tc>
        <w:tc>
          <w:tcPr>
            <w:tcW w:w="120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3"/>
              </w:rPr>
              <w:t>Common stock, $1 par value. Authorized -- 2,400,000,000 shares. Shares issued: Dec. 31, 2009 -</w:t>
            </w:r>
          </w:p>
        </w:tc>
        <w:tc>
          <w:tcPr>
            <w:tcW w:w="180" w:type="dxa"/>
            <w:vAlign w:val="bottom"/>
            <w:shd w:val="clear" w:color="auto" w:fill="CCEEFF"/>
          </w:tcPr>
          <w:p>
            <w:pPr>
              <w:spacing w:after="0"/>
              <w:rPr>
                <w:sz w:val="17"/>
                <w:szCs w:val="17"/>
                <w:color w:val="auto"/>
              </w:rPr>
            </w:pPr>
          </w:p>
        </w:tc>
        <w:tc>
          <w:tcPr>
            <w:tcW w:w="12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1,740</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- 1,739,811,721; Dec. 31, 2008 -- 1,739,718,073; Sept. 30, 2009 -- 1,739,770,537</w:t>
            </w:r>
          </w:p>
        </w:tc>
        <w:tc>
          <w:tcPr>
            <w:tcW w:w="180" w:type="dxa"/>
            <w:vAlign w:val="bottom"/>
            <w:shd w:val="clear" w:color="auto" w:fill="CCEEFF"/>
          </w:tcPr>
          <w:p>
            <w:pPr>
              <w:spacing w:after="0"/>
              <w:rPr>
                <w:sz w:val="20"/>
                <w:szCs w:val="20"/>
                <w:color w:val="auto"/>
              </w:rPr>
            </w:pPr>
          </w:p>
        </w:tc>
        <w:tc>
          <w:tcPr>
            <w:tcW w:w="1200" w:type="dxa"/>
            <w:vAlign w:val="bottom"/>
            <w:gridSpan w:val="2"/>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1,740</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Paid-in capital</w:t>
            </w: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1,086</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1,022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Retained earnings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22,066</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21,168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21,562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20" w:type="dxa"/>
            <w:vAlign w:val="bottom"/>
          </w:tcPr>
          <w:p>
            <w:pPr>
              <w:ind w:left="160"/>
              <w:spacing w:after="0" w:line="201" w:lineRule="exact"/>
              <w:rPr>
                <w:sz w:val="20"/>
                <w:szCs w:val="20"/>
                <w:color w:val="auto"/>
              </w:rPr>
            </w:pPr>
            <w:r>
              <w:rPr>
                <w:rFonts w:ascii="Arial" w:cs="Arial" w:eastAsia="Arial" w:hAnsi="Arial"/>
                <w:sz w:val="18"/>
                <w:szCs w:val="18"/>
                <w:color w:val="auto"/>
              </w:rPr>
              <w:t>Less treasury common stock at cost:</w:t>
            </w: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w w:val="98"/>
              </w:rPr>
              <w:t>Shares: Dec. 31, 2009 -- 499,693,704; Dec. 31, 2008 -- 461,822,215; Sept. 30, 2009 -- 486,-</w:t>
            </w:r>
          </w:p>
        </w:tc>
        <w:tc>
          <w:tcPr>
            <w:tcW w:w="180" w:type="dxa"/>
            <w:vAlign w:val="bottom"/>
          </w:tcPr>
          <w:p>
            <w:pPr>
              <w:spacing w:after="0"/>
              <w:rPr>
                <w:sz w:val="18"/>
                <w:szCs w:val="18"/>
                <w:color w:val="auto"/>
              </w:rPr>
            </w:pPr>
          </w:p>
        </w:tc>
        <w:tc>
          <w:tcPr>
            <w:tcW w:w="1200" w:type="dxa"/>
            <w:vAlign w:val="bottom"/>
            <w:gridSpan w:val="2"/>
            <w:vMerge w:val="restart"/>
          </w:tcPr>
          <w:p>
            <w:pPr>
              <w:jc w:val="right"/>
              <w:ind w:right="160"/>
              <w:spacing w:after="0"/>
              <w:rPr>
                <w:sz w:val="20"/>
                <w:szCs w:val="20"/>
                <w:color w:val="auto"/>
              </w:rPr>
            </w:pPr>
            <w:r>
              <w:rPr>
                <w:rFonts w:ascii="Arial" w:cs="Arial" w:eastAsia="Arial" w:hAnsi="Arial"/>
                <w:sz w:val="18"/>
                <w:szCs w:val="18"/>
                <w:b w:val="1"/>
                <w:bCs w:val="1"/>
                <w:color w:val="auto"/>
              </w:rPr>
              <w:t>(14,549)</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40" w:type="dxa"/>
            <w:vAlign w:val="bottom"/>
            <w:gridSpan w:val="2"/>
          </w:tcPr>
          <w:p>
            <w:pPr>
              <w:ind w:left="340"/>
              <w:spacing w:after="0"/>
              <w:rPr>
                <w:sz w:val="20"/>
                <w:szCs w:val="20"/>
                <w:color w:val="auto"/>
              </w:rPr>
            </w:pPr>
            <w:r>
              <w:rPr>
                <w:rFonts w:ascii="Arial" w:cs="Arial" w:eastAsia="Arial" w:hAnsi="Arial"/>
                <w:sz w:val="18"/>
                <w:szCs w:val="18"/>
                <w:color w:val="auto"/>
              </w:rPr>
              <w:t>-897,139</w:t>
            </w:r>
          </w:p>
        </w:tc>
        <w:tc>
          <w:tcPr>
            <w:tcW w:w="180" w:type="dxa"/>
            <w:vAlign w:val="bottom"/>
          </w:tcPr>
          <w:p>
            <w:pPr>
              <w:spacing w:after="0"/>
              <w:rPr>
                <w:sz w:val="20"/>
                <w:szCs w:val="20"/>
                <w:color w:val="auto"/>
              </w:rPr>
            </w:pPr>
          </w:p>
        </w:tc>
        <w:tc>
          <w:tcPr>
            <w:tcW w:w="120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(13,814)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(14,257)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income (loss), net of taxes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(621)</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(790)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Total stockholders’ equity</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9,722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9,326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9,438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12,119</w:t>
            </w:r>
          </w:p>
        </w:tc>
        <w:tc>
          <w:tcPr>
            <w:tcW w:w="2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11,923</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11,903</w:t>
            </w:r>
          </w:p>
        </w:tc>
        <w:tc>
          <w:tcPr>
            <w:tcW w:w="0" w:type="dxa"/>
            <w:vAlign w:val="bottom"/>
          </w:tcPr>
          <w:p>
            <w:pPr>
              <w:spacing w:after="0"/>
              <w:rPr>
                <w:sz w:val="1"/>
                <w:szCs w:val="1"/>
                <w:color w:val="auto"/>
              </w:rPr>
            </w:pPr>
          </w:p>
        </w:tc>
      </w:tr>
      <w:tr>
        <w:trPr>
          <w:trHeight w:val="1449"/>
        </w:trPr>
        <w:tc>
          <w:tcPr>
            <w:tcW w:w="20" w:type="dxa"/>
            <w:vAlign w:val="bottom"/>
          </w:tcPr>
          <w:p>
            <w:pPr>
              <w:spacing w:after="0"/>
              <w:rPr>
                <w:sz w:val="24"/>
                <w:szCs w:val="24"/>
                <w:color w:val="auto"/>
              </w:rPr>
            </w:pPr>
          </w:p>
        </w:tc>
        <w:tc>
          <w:tcPr>
            <w:tcW w:w="7420" w:type="dxa"/>
            <w:vAlign w:val="bottom"/>
            <w:tcBorders>
              <w:top w:val="single" w:sz="8" w:color="CCEEFF"/>
              <w:bottom w:val="single" w:sz="8" w:color="808080"/>
            </w:tcBorders>
          </w:tcPr>
          <w:p>
            <w:pPr>
              <w:spacing w:after="0"/>
              <w:rPr>
                <w:sz w:val="24"/>
                <w:szCs w:val="24"/>
                <w:color w:val="auto"/>
              </w:rPr>
            </w:pPr>
          </w:p>
        </w:tc>
        <w:tc>
          <w:tcPr>
            <w:tcW w:w="180" w:type="dxa"/>
            <w:vAlign w:val="bottom"/>
            <w:tcBorders>
              <w:top w:val="single" w:sz="8" w:color="auto"/>
              <w:bottom w:val="single" w:sz="8" w:color="808080"/>
            </w:tcBorders>
          </w:tcPr>
          <w:p>
            <w:pPr>
              <w:spacing w:after="0"/>
              <w:rPr>
                <w:sz w:val="24"/>
                <w:szCs w:val="24"/>
                <w:color w:val="auto"/>
              </w:rPr>
            </w:pPr>
          </w:p>
        </w:tc>
        <w:tc>
          <w:tcPr>
            <w:tcW w:w="980" w:type="dxa"/>
            <w:vAlign w:val="bottom"/>
            <w:tcBorders>
              <w:top w:val="single" w:sz="8" w:color="auto"/>
              <w:bottom w:val="single" w:sz="8" w:color="808080"/>
            </w:tcBorders>
          </w:tcPr>
          <w:p>
            <w:pPr>
              <w:spacing w:after="0"/>
              <w:rPr>
                <w:sz w:val="24"/>
                <w:szCs w:val="24"/>
                <w:color w:val="auto"/>
              </w:rPr>
            </w:pPr>
          </w:p>
        </w:tc>
        <w:tc>
          <w:tcPr>
            <w:tcW w:w="220" w:type="dxa"/>
            <w:vAlign w:val="bottom"/>
            <w:tcBorders>
              <w:top w:val="single" w:sz="8" w:color="CCEEFF"/>
              <w:bottom w:val="single" w:sz="8" w:color="808080"/>
            </w:tcBorders>
          </w:tcPr>
          <w:p>
            <w:pPr>
              <w:spacing w:after="0"/>
              <w:rPr>
                <w:sz w:val="24"/>
                <w:szCs w:val="24"/>
                <w:color w:val="auto"/>
              </w:rPr>
            </w:pPr>
          </w:p>
        </w:tc>
        <w:tc>
          <w:tcPr>
            <w:tcW w:w="180" w:type="dxa"/>
            <w:vAlign w:val="bottom"/>
            <w:tcBorders>
              <w:top w:val="single" w:sz="8" w:color="auto"/>
              <w:bottom w:val="single" w:sz="8" w:color="808080"/>
            </w:tcBorders>
          </w:tcPr>
          <w:p>
            <w:pPr>
              <w:spacing w:after="0"/>
              <w:rPr>
                <w:sz w:val="24"/>
                <w:szCs w:val="24"/>
                <w:color w:val="auto"/>
              </w:rPr>
            </w:pPr>
          </w:p>
        </w:tc>
        <w:tc>
          <w:tcPr>
            <w:tcW w:w="960" w:type="dxa"/>
            <w:vAlign w:val="bottom"/>
            <w:tcBorders>
              <w:top w:val="single" w:sz="8" w:color="auto"/>
              <w:bottom w:val="single" w:sz="8" w:color="808080"/>
            </w:tcBorders>
          </w:tcPr>
          <w:p>
            <w:pPr>
              <w:spacing w:after="0"/>
              <w:rPr>
                <w:sz w:val="24"/>
                <w:szCs w:val="24"/>
                <w:color w:val="auto"/>
              </w:rPr>
            </w:pPr>
          </w:p>
        </w:tc>
        <w:tc>
          <w:tcPr>
            <w:tcW w:w="140" w:type="dxa"/>
            <w:vAlign w:val="bottom"/>
            <w:tcBorders>
              <w:top w:val="single" w:sz="8" w:color="CCEEFF"/>
              <w:bottom w:val="single" w:sz="8" w:color="808080"/>
            </w:tcBorders>
          </w:tcPr>
          <w:p>
            <w:pPr>
              <w:spacing w:after="0"/>
              <w:rPr>
                <w:sz w:val="24"/>
                <w:szCs w:val="24"/>
                <w:color w:val="auto"/>
              </w:rPr>
            </w:pPr>
          </w:p>
        </w:tc>
        <w:tc>
          <w:tcPr>
            <w:tcW w:w="80" w:type="dxa"/>
            <w:vAlign w:val="bottom"/>
            <w:tcBorders>
              <w:top w:val="single" w:sz="8" w:color="CCEEFF"/>
              <w:bottom w:val="single" w:sz="8" w:color="808080"/>
            </w:tcBorders>
          </w:tcPr>
          <w:p>
            <w:pPr>
              <w:spacing w:after="0"/>
              <w:rPr>
                <w:sz w:val="24"/>
                <w:szCs w:val="24"/>
                <w:color w:val="auto"/>
              </w:rPr>
            </w:pPr>
          </w:p>
        </w:tc>
        <w:tc>
          <w:tcPr>
            <w:tcW w:w="160" w:type="dxa"/>
            <w:vAlign w:val="bottom"/>
            <w:tcBorders>
              <w:top w:val="single" w:sz="8" w:color="auto"/>
              <w:bottom w:val="single" w:sz="8" w:color="808080"/>
            </w:tcBorders>
          </w:tcPr>
          <w:p>
            <w:pPr>
              <w:spacing w:after="0"/>
              <w:rPr>
                <w:sz w:val="24"/>
                <w:szCs w:val="24"/>
                <w:color w:val="auto"/>
              </w:rPr>
            </w:pPr>
          </w:p>
        </w:tc>
        <w:tc>
          <w:tcPr>
            <w:tcW w:w="980" w:type="dxa"/>
            <w:vAlign w:val="bottom"/>
            <w:tcBorders>
              <w:top w:val="single" w:sz="8" w:color="auto"/>
              <w:bottom w:val="single" w:sz="8" w:color="808080"/>
            </w:tcBorders>
          </w:tcPr>
          <w:p>
            <w:pPr>
              <w:spacing w:after="0"/>
              <w:rPr>
                <w:sz w:val="24"/>
                <w:szCs w:val="24"/>
                <w:color w:val="auto"/>
              </w:rPr>
            </w:pPr>
          </w:p>
        </w:tc>
        <w:tc>
          <w:tcPr>
            <w:tcW w:w="100" w:type="dxa"/>
            <w:vAlign w:val="bottom"/>
            <w:tcBorders>
              <w:top w:val="single" w:sz="8" w:color="CCEEFF"/>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850"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42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2780" w:type="dxa"/>
            <w:vAlign w:val="bottom"/>
            <w:tcBorders>
              <w:bottom w:val="single" w:sz="8" w:color="auto"/>
            </w:tcBorders>
            <w:gridSpan w:val="8"/>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For Three Months Ended</w:t>
            </w:r>
          </w:p>
        </w:tc>
        <w:tc>
          <w:tcPr>
            <w:tcW w:w="7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For Years Ended</w:t>
            </w:r>
          </w:p>
        </w:tc>
        <w:tc>
          <w:tcPr>
            <w:tcW w:w="5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2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5"/>
              </w:rPr>
              <w:t>Dec. 31, 2009</w:t>
            </w:r>
          </w:p>
        </w:tc>
        <w:tc>
          <w:tcPr>
            <w:tcW w:w="100" w:type="dxa"/>
            <w:vAlign w:val="bottom"/>
          </w:tcPr>
          <w:p>
            <w:pPr>
              <w:spacing w:after="0"/>
              <w:rPr>
                <w:sz w:val="19"/>
                <w:szCs w:val="19"/>
                <w:color w:val="auto"/>
              </w:rPr>
            </w:pPr>
          </w:p>
        </w:tc>
        <w:tc>
          <w:tcPr>
            <w:tcW w:w="128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3"/>
              </w:rPr>
              <w:t>Dec. 31, 2008</w:t>
            </w:r>
          </w:p>
        </w:tc>
        <w:tc>
          <w:tcPr>
            <w:tcW w:w="80" w:type="dxa"/>
            <w:vAlign w:val="bottom"/>
          </w:tcPr>
          <w:p>
            <w:pPr>
              <w:spacing w:after="0"/>
              <w:rPr>
                <w:sz w:val="19"/>
                <w:szCs w:val="19"/>
                <w:color w:val="auto"/>
              </w:rPr>
            </w:pPr>
          </w:p>
        </w:tc>
        <w:tc>
          <w:tcPr>
            <w:tcW w:w="134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0"/>
              </w:rPr>
              <w:t>Sept. 30, 2009</w:t>
            </w:r>
          </w:p>
        </w:tc>
        <w:tc>
          <w:tcPr>
            <w:tcW w:w="128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3"/>
              </w:rPr>
              <w:t>Dec. 31, 2009</w:t>
            </w:r>
          </w:p>
        </w:tc>
        <w:tc>
          <w:tcPr>
            <w:tcW w:w="80" w:type="dxa"/>
            <w:vAlign w:val="bottom"/>
          </w:tcPr>
          <w:p>
            <w:pPr>
              <w:spacing w:after="0"/>
              <w:rPr>
                <w:sz w:val="19"/>
                <w:szCs w:val="19"/>
                <w:color w:val="auto"/>
              </w:rPr>
            </w:pPr>
          </w:p>
        </w:tc>
        <w:tc>
          <w:tcPr>
            <w:tcW w:w="124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1"/>
              </w:rPr>
              <w:t>Dec. 31, 2008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46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90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655</w:t>
            </w:r>
          </w:p>
        </w:tc>
        <w:tc>
          <w:tcPr>
            <w:tcW w:w="48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107</w:t>
            </w:r>
          </w:p>
        </w:tc>
        <w:tc>
          <w:tcPr>
            <w:tcW w:w="52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538</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1,470</w:t>
            </w:r>
          </w:p>
        </w:tc>
        <w:tc>
          <w:tcPr>
            <w:tcW w:w="680" w:type="dxa"/>
            <w:vAlign w:val="bottom"/>
            <w:gridSpan w:val="2"/>
          </w:tcPr>
          <w:p>
            <w:pPr>
              <w:jc w:val="right"/>
              <w:ind w:right="43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1,920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net income:</w:t>
            </w: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320"/>
              <w:spacing w:after="0"/>
              <w:rPr>
                <w:sz w:val="20"/>
                <w:szCs w:val="20"/>
                <w:color w:val="auto"/>
              </w:rPr>
            </w:pPr>
            <w:r>
              <w:rPr>
                <w:rFonts w:ascii="Arial" w:cs="Arial" w:eastAsia="Arial" w:hAnsi="Arial"/>
                <w:sz w:val="18"/>
                <w:szCs w:val="18"/>
                <w:color w:val="auto"/>
              </w:rPr>
              <w:t>Depreciation</w:t>
            </w: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210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283</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217</w:t>
            </w: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877</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Stock-based compensation</w:t>
            </w: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186</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320"/>
              <w:spacing w:after="0"/>
              <w:rPr>
                <w:sz w:val="20"/>
                <w:szCs w:val="20"/>
                <w:color w:val="auto"/>
              </w:rPr>
            </w:pPr>
            <w:r>
              <w:rPr>
                <w:rFonts w:ascii="Arial" w:cs="Arial" w:eastAsia="Arial" w:hAnsi="Arial"/>
                <w:sz w:val="18"/>
                <w:szCs w:val="18"/>
                <w:color w:val="auto"/>
              </w:rPr>
              <w:t>Amortization of acquisition-related intangibles</w:t>
            </w: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48</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Deferred income taxes</w:t>
            </w: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66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146</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Increase (decrease) from changes in:</w:t>
            </w: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Accounts receivable</w:t>
            </w: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156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889</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(186)</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(364)</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320"/>
              <w:spacing w:after="0"/>
              <w:rPr>
                <w:sz w:val="20"/>
                <w:szCs w:val="20"/>
                <w:color w:val="auto"/>
              </w:rPr>
            </w:pPr>
            <w:r>
              <w:rPr>
                <w:rFonts w:ascii="Arial" w:cs="Arial" w:eastAsia="Arial" w:hAnsi="Arial"/>
                <w:sz w:val="18"/>
                <w:szCs w:val="18"/>
                <w:color w:val="auto"/>
              </w:rPr>
              <w:t>Inventories</w:t>
            </w: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200</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(53)</w:t>
            </w: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177</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Prepaid expenses and other current assets</w:t>
            </w: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35</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320"/>
              <w:spacing w:after="0"/>
              <w:rPr>
                <w:sz w:val="20"/>
                <w:szCs w:val="20"/>
                <w:color w:val="auto"/>
              </w:rPr>
            </w:pPr>
            <w:r>
              <w:rPr>
                <w:rFonts w:ascii="Arial" w:cs="Arial" w:eastAsia="Arial" w:hAnsi="Arial"/>
                <w:sz w:val="18"/>
                <w:szCs w:val="18"/>
                <w:color w:val="auto"/>
              </w:rPr>
              <w:t>Accounts payable and accrued expenses</w:t>
            </w: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(211)</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(17)</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taxes payable</w:t>
            </w: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73</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320"/>
              <w:spacing w:after="0"/>
              <w:rPr>
                <w:sz w:val="20"/>
                <w:szCs w:val="20"/>
                <w:color w:val="auto"/>
              </w:rPr>
            </w:pPr>
            <w:r>
              <w:rPr>
                <w:rFonts w:ascii="Arial" w:cs="Arial" w:eastAsia="Arial" w:hAnsi="Arial"/>
                <w:sz w:val="18"/>
                <w:szCs w:val="18"/>
                <w:color w:val="auto"/>
              </w:rPr>
              <w:t>Accrued profit sharing and retirement</w:t>
            </w: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(16)</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(94)</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28</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1,000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1,113</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834</w:t>
            </w:r>
          </w:p>
        </w:tc>
        <w:tc>
          <w:tcPr>
            <w:tcW w:w="34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2,643</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3,330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Additions to property, plant and equipment</w:t>
            </w: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(436)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(226)</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(753)</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Purchases of short-term investments</w:t>
            </w: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(831)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(1,384)</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(879)</w:t>
            </w:r>
          </w:p>
        </w:tc>
        <w:tc>
          <w:tcPr>
            <w:tcW w:w="3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(2,273)</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(1,746)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Sales and maturities of short-term investments</w:t>
            </w: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618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182</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139</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2,030</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Purchases of long-term investments</w:t>
            </w: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(9)</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Redemptions and sales of long-term investments</w:t>
            </w: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64</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Acquisitions, net of cash acquired</w:t>
            </w: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(155)</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4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(651)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(1,272)</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(950)</w:t>
            </w:r>
          </w:p>
        </w:tc>
        <w:tc>
          <w:tcPr>
            <w:tcW w:w="3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(1,096)</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(1,182)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Dividends paid</w:t>
            </w: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(149)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(141)</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(138)</w:t>
            </w:r>
          </w:p>
        </w:tc>
        <w:tc>
          <w:tcPr>
            <w:tcW w:w="3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(567)</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Sales and other common stock transactions</w:t>
            </w: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109</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Excess tax benefit from share-based payments</w:t>
            </w: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 repurchases</w:t>
            </w: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(351)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(386)</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(251)</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(954)</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(2,122)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Net cash used in financing activities</w:t>
            </w: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(461)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(510)</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(355)</w:t>
            </w:r>
          </w:p>
        </w:tc>
        <w:tc>
          <w:tcPr>
            <w:tcW w:w="34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(1,411)</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w w:val="98"/>
              </w:rPr>
              <w:t>Net (decrease) increase in cash and cash equivalents</w:t>
            </w:r>
          </w:p>
        </w:tc>
        <w:tc>
          <w:tcPr>
            <w:tcW w:w="46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20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1,294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1,715</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1,765</w:t>
            </w: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1,046</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1,328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46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79"/>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1,182</w:t>
            </w:r>
          </w:p>
        </w:tc>
        <w:tc>
          <w:tcPr>
            <w:tcW w:w="48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1,046</w:t>
            </w:r>
          </w:p>
        </w:tc>
        <w:tc>
          <w:tcPr>
            <w:tcW w:w="52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1,294</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1,182</w:t>
            </w:r>
          </w:p>
        </w:tc>
        <w:tc>
          <w:tcPr>
            <w:tcW w:w="680" w:type="dxa"/>
            <w:vAlign w:val="bottom"/>
            <w:gridSpan w:val="2"/>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Certain amounts in prior periods’ financial statements have been reclassified to conform to the current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484505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50" w:right="239" w:bottom="1440" w:gutter="0" w:footer="0" w:header="0"/>
        </w:sectPr>
      </w:pPr>
    </w:p>
    <w:bookmarkStart w:id="9" w:name="page10"/>
    <w:bookmarkEnd w:id="9"/>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  #</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“Safe Harbor” Statement under the Private Securities Litigation Reform Act of 1995:</w:t>
      </w:r>
    </w:p>
    <w:p>
      <w:pPr>
        <w:spacing w:after="0" w:line="252"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This release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the Company's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200"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its management:</w:t>
      </w:r>
    </w:p>
    <w:p>
      <w:pPr>
        <w:spacing w:after="0" w:line="197" w:lineRule="exact"/>
        <w:rPr>
          <w:sz w:val="20"/>
          <w:szCs w:val="20"/>
          <w:color w:val="auto"/>
        </w:rPr>
      </w:pPr>
    </w:p>
    <w:p>
      <w:pPr>
        <w:ind w:left="500" w:hanging="141"/>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Market demand for semiconductors, particularly in key markets such as communications, entertainment electronics and computing;</w:t>
      </w:r>
    </w:p>
    <w:p>
      <w:pPr>
        <w:spacing w:after="0" w:line="252" w:lineRule="exact"/>
        <w:rPr>
          <w:rFonts w:ascii="Arial" w:cs="Arial" w:eastAsia="Arial" w:hAnsi="Arial"/>
          <w:sz w:val="18"/>
          <w:szCs w:val="18"/>
          <w:color w:val="auto"/>
        </w:rPr>
      </w:pPr>
    </w:p>
    <w:p>
      <w:pPr>
        <w:ind w:left="500" w:hanging="141"/>
        <w:spacing w:after="0" w:line="277"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spacing w:after="0" w:line="197" w:lineRule="exact"/>
        <w:rPr>
          <w:rFonts w:ascii="Arial" w:cs="Arial" w:eastAsia="Arial" w:hAnsi="Arial"/>
          <w:sz w:val="18"/>
          <w:szCs w:val="18"/>
          <w:color w:val="auto"/>
        </w:rPr>
      </w:pPr>
    </w:p>
    <w:p>
      <w:pPr>
        <w:ind w:left="500" w:hanging="141"/>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252" w:lineRule="exact"/>
        <w:rPr>
          <w:rFonts w:ascii="Arial" w:cs="Arial" w:eastAsia="Arial" w:hAnsi="Arial"/>
          <w:sz w:val="18"/>
          <w:szCs w:val="18"/>
          <w:color w:val="auto"/>
        </w:rPr>
      </w:pPr>
    </w:p>
    <w:p>
      <w:pPr>
        <w:ind w:left="500" w:hanging="141"/>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252" w:lineRule="exact"/>
        <w:rPr>
          <w:rFonts w:ascii="Arial" w:cs="Arial" w:eastAsia="Arial" w:hAnsi="Arial"/>
          <w:sz w:val="18"/>
          <w:szCs w:val="18"/>
          <w:color w:val="auto"/>
        </w:rPr>
      </w:pPr>
    </w:p>
    <w:p>
      <w:pPr>
        <w:ind w:left="500" w:hanging="141"/>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252" w:lineRule="exact"/>
        <w:rPr>
          <w:rFonts w:ascii="Arial" w:cs="Arial" w:eastAsia="Arial" w:hAnsi="Arial"/>
          <w:sz w:val="18"/>
          <w:szCs w:val="18"/>
          <w:color w:val="auto"/>
        </w:rPr>
      </w:pPr>
    </w:p>
    <w:p>
      <w:pPr>
        <w:ind w:left="500" w:hanging="141"/>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252" w:lineRule="exact"/>
        <w:rPr>
          <w:rFonts w:ascii="Arial" w:cs="Arial" w:eastAsia="Arial" w:hAnsi="Arial"/>
          <w:sz w:val="18"/>
          <w:szCs w:val="18"/>
          <w:color w:val="auto"/>
        </w:rPr>
      </w:pPr>
    </w:p>
    <w:p>
      <w:pPr>
        <w:ind w:left="500" w:hanging="141"/>
        <w:spacing w:after="0" w:line="277"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spacing w:after="0" w:line="197" w:lineRule="exact"/>
        <w:rPr>
          <w:rFonts w:ascii="Arial" w:cs="Arial" w:eastAsia="Arial" w:hAnsi="Arial"/>
          <w:sz w:val="18"/>
          <w:szCs w:val="18"/>
          <w:color w:val="auto"/>
        </w:rPr>
      </w:pPr>
    </w:p>
    <w:p>
      <w:pPr>
        <w:ind w:left="500" w:hanging="141"/>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its suppliers operate;</w:t>
      </w:r>
    </w:p>
    <w:p>
      <w:pPr>
        <w:spacing w:after="0" w:line="252" w:lineRule="exact"/>
        <w:rPr>
          <w:rFonts w:ascii="Arial" w:cs="Arial" w:eastAsia="Arial" w:hAnsi="Arial"/>
          <w:sz w:val="18"/>
          <w:szCs w:val="18"/>
          <w:color w:val="auto"/>
        </w:rPr>
      </w:pPr>
    </w:p>
    <w:p>
      <w:pPr>
        <w:ind w:left="500" w:hanging="141"/>
        <w:spacing w:after="0"/>
        <w:tabs>
          <w:tab w:leader="none" w:pos="500" w:val="left"/>
        </w:tabs>
        <w:numPr>
          <w:ilvl w:val="0"/>
          <w:numId w:val="7"/>
        </w:numPr>
        <w:rPr>
          <w:rFonts w:ascii="Arial" w:cs="Arial" w:eastAsia="Arial" w:hAnsi="Arial"/>
          <w:sz w:val="17"/>
          <w:szCs w:val="17"/>
          <w:color w:val="auto"/>
        </w:rPr>
      </w:pPr>
      <w:r>
        <w:rPr>
          <w:rFonts w:ascii="Arial" w:cs="Arial" w:eastAsia="Arial" w:hAnsi="Arial"/>
          <w:sz w:val="17"/>
          <w:szCs w:val="17"/>
          <w:color w:val="auto"/>
        </w:rPr>
        <w:t>Availability and cost of raw materials, utilities, manufacturing equipment, third-party manufacturing services and manufacturing technology;</w:t>
      </w:r>
    </w:p>
    <w:p>
      <w:pPr>
        <w:spacing w:after="0" w:line="263" w:lineRule="exact"/>
        <w:rPr>
          <w:rFonts w:ascii="Arial" w:cs="Arial" w:eastAsia="Arial" w:hAnsi="Arial"/>
          <w:sz w:val="17"/>
          <w:szCs w:val="17"/>
          <w:color w:val="auto"/>
        </w:rPr>
      </w:pPr>
    </w:p>
    <w:p>
      <w:pPr>
        <w:ind w:left="500" w:hanging="141"/>
        <w:spacing w:after="0" w:line="277"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spacing w:after="0" w:line="197" w:lineRule="exact"/>
        <w:rPr>
          <w:rFonts w:ascii="Arial" w:cs="Arial" w:eastAsia="Arial" w:hAnsi="Arial"/>
          <w:sz w:val="18"/>
          <w:szCs w:val="18"/>
          <w:color w:val="auto"/>
        </w:rPr>
      </w:pPr>
    </w:p>
    <w:p>
      <w:pPr>
        <w:ind w:left="500" w:hanging="141"/>
        <w:spacing w:after="0" w:line="308" w:lineRule="auto"/>
        <w:tabs>
          <w:tab w:leader="none" w:pos="500" w:val="left"/>
        </w:tabs>
        <w:numPr>
          <w:ilvl w:val="0"/>
          <w:numId w:val="7"/>
        </w:numPr>
        <w:rPr>
          <w:rFonts w:ascii="Arial" w:cs="Arial" w:eastAsia="Arial" w:hAnsi="Arial"/>
          <w:sz w:val="17"/>
          <w:szCs w:val="17"/>
          <w:color w:val="auto"/>
        </w:rPr>
      </w:pPr>
      <w:r>
        <w:rPr>
          <w:rFonts w:ascii="Arial" w:cs="Arial" w:eastAsia="Arial" w:hAnsi="Arial"/>
          <w:sz w:val="17"/>
          <w:szCs w:val="17"/>
          <w:color w:val="auto"/>
        </w:rPr>
        <w:t>Changes in laws and regulations to which TI or its suppliers are or may become subject, such as those imposing fees or reporting or substitution costs relating to the discharge of emissions into the environment or the use of certain raw materials in our manufacturing processes;</w:t>
      </w:r>
    </w:p>
    <w:p>
      <w:pPr>
        <w:spacing w:after="0" w:line="173" w:lineRule="exact"/>
        <w:rPr>
          <w:rFonts w:ascii="Arial" w:cs="Arial" w:eastAsia="Arial" w:hAnsi="Arial"/>
          <w:sz w:val="17"/>
          <w:szCs w:val="17"/>
          <w:color w:val="auto"/>
        </w:rPr>
      </w:pPr>
    </w:p>
    <w:p>
      <w:pPr>
        <w:ind w:left="500" w:hanging="141"/>
        <w:spacing w:after="0"/>
        <w:tabs>
          <w:tab w:leader="none" w:pos="500" w:val="left"/>
        </w:tabs>
        <w:numPr>
          <w:ilvl w:val="0"/>
          <w:numId w:val="7"/>
        </w:numPr>
        <w:rPr>
          <w:rFonts w:ascii="Arial" w:cs="Arial" w:eastAsia="Arial" w:hAnsi="Arial"/>
          <w:sz w:val="17"/>
          <w:szCs w:val="17"/>
          <w:color w:val="auto"/>
        </w:rPr>
      </w:pPr>
      <w:r>
        <w:rPr>
          <w:rFonts w:ascii="Arial" w:cs="Arial" w:eastAsia="Arial" w:hAnsi="Arial"/>
          <w:sz w:val="17"/>
          <w:szCs w:val="17"/>
          <w:color w:val="auto"/>
        </w:rPr>
        <w:t>Losses or curtailments of purchases from key customers and the timing and amount of distributor and other customer inventory adjustments;</w:t>
      </w:r>
    </w:p>
    <w:p>
      <w:pPr>
        <w:spacing w:after="0" w:line="263" w:lineRule="exact"/>
        <w:rPr>
          <w:rFonts w:ascii="Arial" w:cs="Arial" w:eastAsia="Arial" w:hAnsi="Arial"/>
          <w:sz w:val="17"/>
          <w:szCs w:val="17"/>
          <w:color w:val="auto"/>
        </w:rPr>
      </w:pPr>
    </w:p>
    <w:p>
      <w:pPr>
        <w:ind w:left="500" w:hanging="141"/>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Customer demand that differs from our forecasts;</w:t>
      </w:r>
    </w:p>
    <w:p>
      <w:pPr>
        <w:spacing w:after="0" w:line="252" w:lineRule="exact"/>
        <w:rPr>
          <w:rFonts w:ascii="Arial" w:cs="Arial" w:eastAsia="Arial" w:hAnsi="Arial"/>
          <w:sz w:val="18"/>
          <w:szCs w:val="18"/>
          <w:color w:val="auto"/>
        </w:rPr>
      </w:pPr>
    </w:p>
    <w:p>
      <w:pPr>
        <w:ind w:left="500" w:hanging="141"/>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inventory that results from demand that differs from projections;</w:t>
      </w:r>
    </w:p>
    <w:p>
      <w:pPr>
        <w:spacing w:after="0" w:line="252" w:lineRule="exact"/>
        <w:rPr>
          <w:rFonts w:ascii="Arial" w:cs="Arial" w:eastAsia="Arial" w:hAnsi="Arial"/>
          <w:sz w:val="18"/>
          <w:szCs w:val="18"/>
          <w:color w:val="auto"/>
        </w:rPr>
      </w:pPr>
    </w:p>
    <w:p>
      <w:pPr>
        <w:ind w:left="500" w:hanging="141"/>
        <w:spacing w:after="0"/>
        <w:tabs>
          <w:tab w:leader="none" w:pos="50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ability of TI and its customers and suppliers to access their bank accounts and lines of credit or otherwise access the capital markets;</w:t>
      </w:r>
    </w:p>
    <w:p>
      <w:pPr>
        <w:spacing w:after="0" w:line="263" w:lineRule="exact"/>
        <w:rPr>
          <w:rFonts w:ascii="Arial" w:cs="Arial" w:eastAsia="Arial" w:hAnsi="Arial"/>
          <w:sz w:val="17"/>
          <w:szCs w:val="17"/>
          <w:color w:val="auto"/>
        </w:rPr>
      </w:pPr>
    </w:p>
    <w:p>
      <w:pPr>
        <w:ind w:left="500" w:hanging="141"/>
        <w:spacing w:after="0"/>
        <w:tabs>
          <w:tab w:leader="none" w:pos="500" w:val="left"/>
        </w:tabs>
        <w:numPr>
          <w:ilvl w:val="0"/>
          <w:numId w:val="7"/>
        </w:numPr>
        <w:rPr>
          <w:rFonts w:ascii="Arial" w:cs="Arial" w:eastAsia="Arial" w:hAnsi="Arial"/>
          <w:sz w:val="17"/>
          <w:szCs w:val="17"/>
          <w:color w:val="auto"/>
        </w:rPr>
      </w:pPr>
      <w:r>
        <w:rPr>
          <w:rFonts w:ascii="Arial" w:cs="Arial" w:eastAsia="Arial" w:hAnsi="Arial"/>
          <w:sz w:val="17"/>
          <w:szCs w:val="17"/>
          <w:color w:val="auto"/>
        </w:rPr>
        <w:t>Product liability or warranty claims, claims based on epidemic or delivery failure or recalls by TI customers for a product containing a TI part;</w:t>
      </w:r>
    </w:p>
    <w:p>
      <w:pPr>
        <w:spacing w:after="0" w:line="263" w:lineRule="exact"/>
        <w:rPr>
          <w:rFonts w:ascii="Arial" w:cs="Arial" w:eastAsia="Arial" w:hAnsi="Arial"/>
          <w:sz w:val="17"/>
          <w:szCs w:val="17"/>
          <w:color w:val="auto"/>
        </w:rPr>
      </w:pPr>
    </w:p>
    <w:p>
      <w:pPr>
        <w:ind w:left="500" w:hanging="141"/>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 and</w:t>
      </w:r>
    </w:p>
    <w:p>
      <w:pPr>
        <w:spacing w:after="0" w:line="252" w:lineRule="exact"/>
        <w:rPr>
          <w:rFonts w:ascii="Arial" w:cs="Arial" w:eastAsia="Arial" w:hAnsi="Arial"/>
          <w:sz w:val="18"/>
          <w:szCs w:val="18"/>
          <w:color w:val="auto"/>
        </w:rPr>
      </w:pPr>
    </w:p>
    <w:p>
      <w:pPr>
        <w:ind w:left="500" w:hanging="141"/>
        <w:spacing w:after="0" w:line="277"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installation of manufacturing equipment and the ability to obtain needed third-party foundry and assembly/test subcontract services.</w:t>
      </w:r>
    </w:p>
    <w:p>
      <w:pPr>
        <w:spacing w:after="0" w:line="197"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For a more detailed discussion of these factors, see the Risk Factors discussion in Item 1A of the Company's most recent Form 10-K. The forward-looking statements included in this release are made only as of the date of this release, and the Company undertakes no obligation to update the forward-looking statements to reflect subsequent events or circumstances.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Texas Instruments</w:t>
      </w:r>
    </w:p>
    <w:p>
      <w:pPr>
        <w:spacing w:after="0" w:line="25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Texas Instruments (NYSE: TXN) helps customers solve problems and develop new electronics that make the world smarter, healthier, safer, greener and more fun. A global semiconductor company, TI innovates through design, sales and manufacturing operations in more than 30 countries. For more information, go to www.ti.com.</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TI trademarks: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OMAP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DLP</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Other trademarks are the property of their respective owners.</w:t>
      </w:r>
    </w:p>
    <w:p>
      <w:pPr>
        <w:sectPr>
          <w:pgSz w:w="11900" w:h="16874" w:orient="portrait"/>
          <w:cols w:equalWidth="0" w:num="1">
            <w:col w:w="11420"/>
          </w:cols>
          <w:pgMar w:left="240" w:top="607" w:right="239" w:bottom="0" w:gutter="0" w:footer="0" w:header="0"/>
        </w:sectPr>
      </w:pPr>
    </w:p>
    <w:bookmarkStart w:id="10" w:name="page11"/>
    <w:bookmarkEnd w:id="1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1)"/>
      <w:numFmt w:val="decimal"/>
      <w:start w:val="4"/>
    </w:lvl>
  </w:abstractNum>
  <w:abstractNum w:abstractNumId="4">
    <w:nsid w:val="507ED7AB"/>
    <w:multiLevelType w:val="hybridMultilevel"/>
    <w:lvl w:ilvl="0">
      <w:lvlJc w:val="left"/>
      <w:lvlText w:val="Ÿ"/>
      <w:numFmt w:val="bullet"/>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2019-12-10T03:36:29Z</dcterms:created>
  <dcterms:modified xsi:type="dcterms:W3CDTF">2019-12-10T03:36:29Z</dcterms:modified>
</cp:coreProperties>
</file>