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210820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October 25,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247650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223520</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Registrant’s news release dated October 25, 2010, regarding its third-quarter 2010 results of operations and financial condition is attached hereto as Exhibit 99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October 25, 2010 (furnished pursuant to Item 2.02)</w:t>
            </w: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entertainment electronics;</w:t>
      </w:r>
    </w:p>
    <w:p>
      <w:pPr>
        <w:spacing w:after="0" w:line="263" w:lineRule="exact"/>
        <w:rPr>
          <w:rFonts w:ascii="Arial" w:cs="Arial" w:eastAsia="Arial" w:hAnsi="Arial"/>
          <w:sz w:val="17"/>
          <w:szCs w:val="17"/>
          <w:color w:val="auto"/>
        </w:rPr>
      </w:pPr>
    </w:p>
    <w:p>
      <w:pPr>
        <w:ind w:left="720" w:right="38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720" w:right="68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720" w:right="14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720" w:right="340" w:hanging="334"/>
        <w:spacing w:after="0" w:line="342"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720" w:right="32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report on Form 8-K are made only as of the date of this report, and TI undertakes no obligation to update the forward-looking statements to reflect subsequent events or circumstances.</w:t>
      </w:r>
    </w:p>
    <w:p>
      <w:pPr>
        <w:sectPr>
          <w:pgSz w:w="11900" w:h="16838" w:orient="portrait"/>
          <w:cols w:equalWidth="0" w:num="1">
            <w:col w:w="11420"/>
          </w:cols>
          <w:pgMar w:left="240" w:top="517" w:right="239" w:bottom="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October 25,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12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3Q10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www.ti.com/ir</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DALLAS (Oct. 25, 2010) – Texas Instruments Incorporated (TI) (NYSE: TXN) today announced third-quarter revenue of $3.74 billion, net income of $859 million and earnings per share of 71 cents.</w:t>
      </w:r>
    </w:p>
    <w:p>
      <w:pPr>
        <w:spacing w:after="0" w:line="19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strong performance was driven by growth in all of our segments</w:t>
      </w:r>
      <w:r>
        <w:rPr>
          <w:rFonts w:ascii="Arial" w:cs="Arial" w:eastAsia="Arial" w:hAnsi="Arial"/>
          <w:sz w:val="16"/>
          <w:szCs w:val="16"/>
          <w:i w:val="1"/>
          <w:iCs w:val="1"/>
          <w:color w:val="auto"/>
        </w:rPr>
        <w:t>,</w:t>
      </w:r>
      <w:r>
        <w:rPr>
          <w:rFonts w:ascii="Arial" w:cs="Arial" w:eastAsia="Arial" w:hAnsi="Arial"/>
          <w:sz w:val="16"/>
          <w:szCs w:val="16"/>
          <w:color w:val="auto"/>
        </w:rPr>
        <w:t>” said Rich Templeton, TI chairman, president and chief executive officer. “TI’s continuing transformation to a company focused on Analog and Embedded Processing delivered new highs for both gross and operating margins. Strong earnings per share demonstrate the combined impact of solid profits and our diligence to return excess capital to our shareholders through stock repurchases.</w:t>
      </w:r>
    </w:p>
    <w:p>
      <w:pPr>
        <w:spacing w:after="0" w:line="17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“Demand from industrial markets was especially strong, while consumer demand cooled, impacting markets such as computing and televisions. Across a wide array of markets, our Analog and Embedded Processing products and Wireless smartphone chips continued to gain share. These products are broadly needed in today’s electronic equipment, and our market share gains reflect the focused investments we’ve made in our portfolio, applications support and manufacturing capacity.</w:t>
      </w:r>
    </w:p>
    <w:p>
      <w:pPr>
        <w:spacing w:after="0" w:line="21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“Importantly, we soon will begin initial shipments from RFAB, the world’s first 300-millimeter manufacturing facility for analog semiconductors. In the quarter, we also purchased a 200-millimeter analog manufacturing facility in Aizu, Japan, and this month we began our first semiconductor manufacturing operations in China with the purchase of a facility in the high-tech region of Chengdu. These purchases have been made at substantial discounts, and they support our plans to continue gaining market share over the long term.</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we move into the fourth quarter, we expect sequentially lower revenue reflecting a combination of seasonal patterns, continued soft demand in computing and consumer markets, and slowing growth in the industrial market,” Templeton concluded.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3Q10 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vs.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vs.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3Q10</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3Q09</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3Q09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2Q10</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2Q10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3,740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2,880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859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769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flow from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1,318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834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562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TI’s operating profit increased compared with the third quarter of 2009 and the prior quarter of 2010 due to higher gross profit, which reflects higher revenue.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3Q10 segment results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vs.</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vs.</w:t>
            </w:r>
          </w:p>
        </w:tc>
      </w:tr>
      <w:tr>
        <w:trPr>
          <w:trHeight w:val="237"/>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3Q10</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3Q09</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3Q09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2Q10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2Q10</w:t>
            </w:r>
          </w:p>
        </w:tc>
      </w:tr>
      <w:tr>
        <w:trPr>
          <w:trHeight w:val="216"/>
        </w:trPr>
        <w:tc>
          <w:tcPr>
            <w:tcW w:w="20" w:type="dxa"/>
            <w:vAlign w:val="bottom"/>
          </w:tcPr>
          <w:p>
            <w:pPr>
              <w:spacing w:after="0"/>
              <w:rPr>
                <w:sz w:val="18"/>
                <w:szCs w:val="18"/>
                <w:color w:val="auto"/>
              </w:rPr>
            </w:pPr>
          </w:p>
        </w:tc>
        <w:tc>
          <w:tcPr>
            <w:tcW w:w="3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Processing:</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579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516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Wireless: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628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741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Note: 3Q09 has been restated to reflect the 1Q10 transfer of a low-power wireless product line from the Analog segment to the Wireless segment. For 2009, revenue from this product line was $68 million, and it operated at a loss of $17 million.</w:t>
      </w:r>
    </w:p>
    <w:p>
      <w:pPr>
        <w:sectPr>
          <w:pgSz w:w="11900" w:h="16838" w:orient="portrait"/>
          <w:cols w:equalWidth="0" w:num="1">
            <w:col w:w="11420"/>
          </w:cols>
          <w:pgMar w:left="240" w:top="11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high-volume analog &amp; logic, high-performance analog and power management products)</w:t>
      </w:r>
    </w:p>
    <w:p>
      <w:pPr>
        <w:spacing w:after="0" w:line="27" w:lineRule="exact"/>
        <w:rPr>
          <w:sz w:val="20"/>
          <w:szCs w:val="20"/>
          <w:color w:val="auto"/>
        </w:rPr>
      </w:pPr>
    </w:p>
    <w:p>
      <w:pPr>
        <w:ind w:left="340" w:hanging="22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Compared with a year ago, the increase in revenue was due to growth in all three major product areas.</w:t>
      </w:r>
    </w:p>
    <w:p>
      <w:pPr>
        <w:spacing w:after="0" w:line="9" w:lineRule="exact"/>
        <w:rPr>
          <w:rFonts w:ascii="Arial" w:cs="Arial" w:eastAsia="Arial" w:hAnsi="Arial"/>
          <w:sz w:val="18"/>
          <w:szCs w:val="18"/>
          <w:color w:val="auto"/>
        </w:rPr>
      </w:pPr>
    </w:p>
    <w:p>
      <w:pPr>
        <w:ind w:left="340" w:hanging="228"/>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Compared with the prior quarter, the increase in revenue was primarily due to growth in high-performance analog products. Revenue from high-volume analog &amp; logic and power management products increased to a lesser extent.</w:t>
      </w:r>
    </w:p>
    <w:p>
      <w:pPr>
        <w:ind w:left="340" w:hanging="22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profit increased both from a year ago and the prior quarter due to higher gross profit.</w:t>
      </w:r>
    </w:p>
    <w:p>
      <w:pPr>
        <w:spacing w:after="0" w:line="23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digital signal processor and microcontroller catalog products that are sold across a wide variety of markets, as well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application-specific products that are used in communications infrastructure and automotive electronics)</w:t>
      </w:r>
    </w:p>
    <w:p>
      <w:pPr>
        <w:ind w:left="340" w:hanging="228"/>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Compared with a year ago, revenue grew primarily due to catalog products, as well as due to products sold into communications infrastructure. Revenue from automotive applications increased to a lesser extent.</w:t>
      </w:r>
    </w:p>
    <w:p>
      <w:pPr>
        <w:ind w:left="340" w:hanging="228"/>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Compared with the prior quarter, revenue grew due to strength in both communications infrastructure and catalog products. Revenue from automotive applications was even.</w:t>
      </w:r>
    </w:p>
    <w:p>
      <w:pPr>
        <w:ind w:left="340" w:hanging="22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increased both from a year ago and the prior quarter due to higher gross profit.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Wireless: </w:t>
      </w:r>
      <w:r>
        <w:rPr>
          <w:rFonts w:ascii="Arial" w:cs="Arial" w:eastAsia="Arial" w:hAnsi="Arial"/>
          <w:sz w:val="18"/>
          <w:szCs w:val="18"/>
          <w:i w:val="1"/>
          <w:iCs w:val="1"/>
          <w:color w:val="auto"/>
        </w:rPr>
        <w:t>(includes connectivity products, OMAP™ applications processors and baseband products)</w:t>
      </w:r>
    </w:p>
    <w:p>
      <w:pPr>
        <w:spacing w:after="0" w:line="27" w:lineRule="exact"/>
        <w:rPr>
          <w:sz w:val="20"/>
          <w:szCs w:val="20"/>
          <w:color w:val="auto"/>
        </w:rPr>
      </w:pPr>
    </w:p>
    <w:p>
      <w:pPr>
        <w:ind w:left="340" w:right="2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a year ago, revenue grew due to strength in connectivity products and applications processors. Revenue from baseband products declined.</w:t>
      </w:r>
    </w:p>
    <w:p>
      <w:pPr>
        <w:ind w:left="34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the prior quarter, revenue grew due to baseband and connectivity products. Revenue from applications processors increased to a lesser extent.</w:t>
      </w: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both from a year ago and from the prior quarter due to higher gross profit.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and royalties)</w:t>
      </w:r>
    </w:p>
    <w:p>
      <w:pPr>
        <w:ind w:left="340" w:hanging="228"/>
        <w:spacing w:after="0" w:line="24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a year ago, revenue grew primarily due to DLP and custom ASIC products. Royalties also increased, while revenue from calculators declined.</w:t>
      </w:r>
    </w:p>
    <w:p>
      <w:pPr>
        <w:ind w:left="340" w:hanging="228"/>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prior quarter, revenue grew primarily due to strength across custom ASIC products, DLP products and calculators. Royalties were lower.</w:t>
      </w:r>
    </w:p>
    <w:p>
      <w:pPr>
        <w:ind w:left="340" w:hanging="22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increased both from a year ago and from the prior quarter due to higher gross profit.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3Q10</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3Q09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2Q10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Embedded Processing</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3Q10 additional financial information</w:t>
      </w:r>
    </w:p>
    <w:p>
      <w:pPr>
        <w:spacing w:after="0" w:line="256" w:lineRule="exact"/>
        <w:rPr>
          <w:sz w:val="20"/>
          <w:szCs w:val="20"/>
          <w:color w:val="auto"/>
        </w:rPr>
      </w:pP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Orders were $3.43 billion, up 10 percent from a year ago and down 8 percent from the prior quarter.</w:t>
      </w:r>
    </w:p>
    <w:p>
      <w:pPr>
        <w:spacing w:after="0" w:line="23" w:lineRule="exact"/>
        <w:rPr>
          <w:rFonts w:ascii="Arial" w:cs="Arial" w:eastAsia="Arial" w:hAnsi="Arial"/>
          <w:sz w:val="18"/>
          <w:szCs w:val="18"/>
          <w:color w:val="auto"/>
        </w:rPr>
      </w:pP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was $1.42 billion at the end of the quarter, up $308 million from a year ago and up $75 million from the prior quarter. Days of inventory were 75 at the end of the quarter, compared with 72 a year ago and 76 at the end of the prior quarter.</w:t>
      </w: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were $396 million in the quarter compared with $226 million a year ago and $283 million in the prior quarter. Capital expenditures in the quarter were primarily for assembly/test manufacturing equipment, as well as analog wafer manufacturing equipment.</w:t>
      </w: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used $600 million in the quarter to repurchase 24.0 million shares of its common stock and paid dividends of $143 million.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2010, TI expects:</w:t>
      </w:r>
    </w:p>
    <w:p>
      <w:pPr>
        <w:spacing w:after="0" w:line="252" w:lineRule="exact"/>
        <w:rPr>
          <w:sz w:val="20"/>
          <w:szCs w:val="20"/>
          <w:color w:val="auto"/>
        </w:rPr>
      </w:pPr>
    </w:p>
    <w:p>
      <w:pPr>
        <w:ind w:left="500" w:hanging="22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$3.36 – 3.64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per share: $0.59 – 0.67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fourth-quarter outlook on December 7,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2010, TI expects approximately the following:</w:t>
      </w:r>
    </w:p>
    <w:p>
      <w:pPr>
        <w:spacing w:after="0" w:line="23" w:lineRule="exact"/>
        <w:rPr>
          <w:sz w:val="20"/>
          <w:szCs w:val="20"/>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R&amp;D expense: $1.6 billion, up from the prior expectation of $1.5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$1.2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Depreciation: $0.9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effective tax rate: 31%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tax rate estimate is based on current tax law and does not assume reinstatement of the federal R&amp;D tax credit, which expired at the end of 2009.</w:t>
      </w:r>
    </w:p>
    <w:p>
      <w:pPr>
        <w:sectPr>
          <w:pgSz w:w="11900" w:h="16838" w:orient="portrait"/>
          <w:cols w:equalWidth="0" w:num="1">
            <w:col w:w="11420"/>
          </w:cols>
          <w:pgMar w:left="240" w:top="48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gridSpan w:val="7"/>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0"/>
              </w:rPr>
              <w:t>Sept. 30, 2010</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0"/>
              </w:rPr>
              <w:t>Sept. 30, 2009</w:t>
            </w:r>
          </w:p>
        </w:tc>
        <w:tc>
          <w:tcPr>
            <w:tcW w:w="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June 30,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3,740</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2,880</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1,701</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1,399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2,039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417</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391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Restructuring expense</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1,227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1,235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376</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859</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.71</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.71</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1,184</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1,255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1,196</w:t>
            </w: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1,268</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54.5%</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SG&amp;A</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10.5%</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that receive dividends is excluded from the calculation of EPS. The amount excluded was $13 million, $6 million and $11 million for the quarters ending September 30, 2010, September 30, 2009 and June 30, 2010, respectively.</w:t>
      </w:r>
    </w:p>
    <w:p>
      <w:pPr>
        <w:sectPr>
          <w:pgSz w:w="11900" w:h="16838" w:orient="portrait"/>
          <w:cols w:equalWidth="0" w:num="1">
            <w:col w:w="11420"/>
          </w:cols>
          <w:pgMar w:left="240" w:top="75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0"/>
              </w:rPr>
              <w:t>Sept. 30, 2010</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0"/>
              </w:rPr>
              <w:t>Sept. 30, 2009</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June 30,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1,093</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1,294</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receivable, net of allowances of ($20), ($22) and ($21)</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1,754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875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1,424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6,468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6,897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6,599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(3,441)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3,456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926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907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12,649</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11,903</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623</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profit sharing and retirement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1,838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2,687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3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None issued.</w:t>
            </w:r>
          </w:p>
        </w:tc>
        <w:tc>
          <w:tcPr>
            <w:tcW w:w="34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Sept. 30, 2010 -</w:t>
            </w:r>
          </w:p>
        </w:tc>
        <w:tc>
          <w:tcPr>
            <w:tcW w:w="3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1,740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- 1,739,932,695; Sept. 30, 2009 -- 1,739,770,537; June 30, 2010 -- 1,739,888,675</w:t>
            </w:r>
          </w:p>
        </w:tc>
        <w:tc>
          <w:tcPr>
            <w:tcW w:w="3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23,907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21,562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23,194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Sept. 30, 2010 -- 565,775,203; Sept. 30, 2009 -- 486,897,139; June 30, 2010 --</w:t>
            </w:r>
          </w:p>
        </w:tc>
        <w:tc>
          <w:tcPr>
            <w:tcW w:w="34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(16,169)</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544,693,240</w:t>
            </w:r>
          </w:p>
        </w:tc>
        <w:tc>
          <w:tcPr>
            <w:tcW w:w="3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(14,257)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(644)</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12,649</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11,903</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5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740" w:type="dxa"/>
            <w:vAlign w:val="bottom"/>
            <w:tcBorders>
              <w:bottom w:val="single" w:sz="8" w:color="auto"/>
            </w:tcBorders>
            <w:gridSpan w:val="7"/>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Sept. 30, 2010</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Sept. 30, 2009</w:t>
            </w:r>
          </w:p>
        </w:tc>
        <w:tc>
          <w:tcPr>
            <w:tcW w:w="8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June 30,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26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538</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net income: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213</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(66)</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Accrued profit sharing and retirement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1,318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(396)</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(599)</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(879)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redemptions and maturities of short-term investments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Purchases of long-term investments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Business acquisitions, net of cash acquired</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(662)</w:t>
            </w: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(143)</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(600)</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(701)</w:t>
            </w:r>
          </w:p>
        </w:tc>
        <w:tc>
          <w:tcPr>
            <w:tcW w:w="4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26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1,093</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1,294</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
        </w:trPr>
        <w:tc>
          <w:tcPr>
            <w:tcW w:w="56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vMerge w:val="restart"/>
          </w:tcPr>
          <w:p>
            <w:pPr>
              <w:jc w:val="right"/>
              <w:ind w:right="1250"/>
              <w:spacing w:after="0"/>
              <w:rPr>
                <w:sz w:val="20"/>
                <w:szCs w:val="20"/>
                <w:color w:val="auto"/>
              </w:rPr>
            </w:pPr>
            <w:r>
              <w:rPr>
                <w:rFonts w:ascii="Arial" w:cs="Arial" w:eastAsia="Arial" w:hAnsi="Arial"/>
                <w:sz w:val="18"/>
                <w:szCs w:val="18"/>
                <w:b w:val="1"/>
                <w:bCs w:val="1"/>
                <w:color w:val="auto"/>
              </w:rPr>
              <w:t>#  #</w:t>
            </w: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5600" w:type="dxa"/>
            <w:vAlign w:val="bottom"/>
            <w:gridSpan w:val="2"/>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entertainment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Ÿ"/>
      <w:numFmt w:val="bullet"/>
      <w:start w:val="1"/>
    </w:lvl>
  </w:abstractNum>
  <w:abstractNum w:abstractNumId="3">
    <w:nsid w:val="41B71EFB"/>
    <w:multiLevelType w:val="hybridMultilevel"/>
    <w:lvl w:ilvl="0">
      <w:lvlJc w:val="left"/>
      <w:lvlText w:val="Ÿ"/>
      <w:numFmt w:val="bullet"/>
      <w:start w:val="1"/>
    </w:lvl>
  </w:abstractNum>
  <w:abstractNum w:abstractNumId="4">
    <w:nsid w:val="79E2A9E3"/>
    <w:multiLevelType w:val="hybridMultilevel"/>
    <w:lvl w:ilvl="0">
      <w:lvlJc w:val="left"/>
      <w:lvlText w:val="Ÿ"/>
      <w:numFmt w:val="bullet"/>
      <w:start w:val="1"/>
    </w:lvl>
  </w:abstractNum>
  <w:abstractNum w:abstractNumId="5">
    <w:nsid w:val="7545E146"/>
    <w:multiLevelType w:val="hybridMultilevel"/>
    <w:lvl w:ilvl="0">
      <w:lvlJc w:val="left"/>
      <w:lvlText w:val="Ÿ"/>
      <w:numFmt w:val="bullet"/>
      <w:start w:val="1"/>
    </w:lvl>
  </w:abstractNum>
  <w:abstractNum w:abstractNumId="6">
    <w:nsid w:val="515F007C"/>
    <w:multiLevelType w:val="hybridMultilevel"/>
    <w:lvl w:ilvl="0">
      <w:lvlJc w:val="left"/>
      <w:lvlText w:val="Ÿ"/>
      <w:numFmt w:val="bullet"/>
      <w:start w:val="1"/>
    </w:lvl>
  </w:abstractNum>
  <w:abstractNum w:abstractNumId="7">
    <w:nsid w:val="5BD062C2"/>
    <w:multiLevelType w:val="hybridMultilevel"/>
    <w:lvl w:ilvl="0">
      <w:lvlJc w:val="left"/>
      <w:lvlText w:val="Ÿ"/>
      <w:numFmt w:val="bullet"/>
      <w:start w:val="1"/>
    </w:lvl>
  </w:abstractNum>
  <w:abstractNum w:abstractNumId="8">
    <w:nsid w:val="12200854"/>
    <w:multiLevelType w:val="hybridMultilevel"/>
    <w:lvl w:ilvl="0">
      <w:lvlJc w:val="left"/>
      <w:lvlText w:val="Ÿ"/>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2019-12-10T03:31:45Z</dcterms:created>
  <dcterms:modified xsi:type="dcterms:W3CDTF">2019-12-10T03:31:45Z</dcterms:modified>
</cp:coreProperties>
</file>