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SECURITY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14A</w:t>
      </w: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 INFORMATION</w:t>
      </w:r>
    </w:p>
    <w:p>
      <w:pPr>
        <w:spacing w:after="0" w:line="225"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Securities Exchange Act of 1934 (Amendment No.  )</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3" w:lineRule="exact"/>
        <w:rPr>
          <w:sz w:val="24"/>
          <w:szCs w:val="24"/>
          <w:color w:val="auto"/>
        </w:rPr>
      </w:pPr>
    </w:p>
    <w:p>
      <w:pPr>
        <w:spacing w:after="0"/>
        <w:tabs>
          <w:tab w:leader="none" w:pos="3200" w:val="left"/>
        </w:tabs>
        <w:rPr>
          <w:sz w:val="20"/>
          <w:szCs w:val="20"/>
          <w:color w:val="auto"/>
        </w:rPr>
      </w:pPr>
      <w:r>
        <w:rPr>
          <w:rFonts w:ascii="Arial" w:cs="Arial" w:eastAsia="Arial" w:hAnsi="Arial"/>
          <w:sz w:val="17"/>
          <w:szCs w:val="17"/>
          <w:color w:val="auto"/>
        </w:rPr>
        <w:t>Filed by a Party other than the Registrant [</w:t>
      </w:r>
      <w:r>
        <w:rPr>
          <w:sz w:val="20"/>
          <w:szCs w:val="20"/>
          <w:color w:val="auto"/>
        </w:rPr>
        <w:tab/>
      </w:r>
      <w:r>
        <w:rPr>
          <w:rFonts w:ascii="Arial" w:cs="Arial" w:eastAsia="Arial" w:hAnsi="Arial"/>
          <w:sz w:val="18"/>
          <w:szCs w:val="18"/>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spacing w:after="0"/>
        <w:tabs>
          <w:tab w:leader="none" w:pos="180" w:val="left"/>
          <w:tab w:leader="none" w:pos="44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Preliminary Proxy Statement</w:t>
      </w:r>
    </w:p>
    <w:p>
      <w:pPr>
        <w:spacing w:after="0" w:line="9" w:lineRule="exact"/>
        <w:rPr>
          <w:sz w:val="24"/>
          <w:szCs w:val="24"/>
          <w:color w:val="auto"/>
        </w:rPr>
      </w:pPr>
    </w:p>
    <w:p>
      <w:pPr>
        <w:ind w:left="460" w:right="7300" w:hanging="452"/>
        <w:spacing w:after="0" w:line="261" w:lineRule="auto"/>
        <w:tabs>
          <w:tab w:leader="none" w:pos="196" w:val="left"/>
        </w:tabs>
        <w:numPr>
          <w:ilvl w:val="0"/>
          <w:numId w:val="1"/>
        </w:numPr>
        <w:rPr>
          <w:rFonts w:ascii="Arial" w:cs="Arial" w:eastAsia="Arial" w:hAnsi="Arial"/>
          <w:sz w:val="18"/>
          <w:szCs w:val="18"/>
          <w:color w:val="auto"/>
        </w:rPr>
      </w:pPr>
      <w:r>
        <w:rPr>
          <w:rFonts w:ascii="Arial" w:cs="Arial" w:eastAsia="Arial" w:hAnsi="Arial"/>
          <w:sz w:val="18"/>
          <w:szCs w:val="18"/>
          <w:color w:val="auto"/>
        </w:rPr>
        <w:t>] Confidential, For Use of the Commission Only (as permitted by Rule 14a-6(e)(2))</w:t>
      </w:r>
    </w:p>
    <w:p>
      <w:pPr>
        <w:spacing w:after="0" w:line="184"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3" w:lineRule="exact"/>
        <w:rPr>
          <w:sz w:val="24"/>
          <w:szCs w:val="24"/>
          <w:color w:val="auto"/>
        </w:rPr>
      </w:pPr>
    </w:p>
    <w:p>
      <w:pPr>
        <w:spacing w:after="0"/>
        <w:tabs>
          <w:tab w:leader="none" w:pos="180" w:val="left"/>
          <w:tab w:leader="none" w:pos="44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Soliciting Material Under Rule 14a-12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TEXAS INSTRUMENTS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wp:posOffset>
            </wp:positionH>
            <wp:positionV relativeFrom="paragraph">
              <wp:posOffset>20955</wp:posOffset>
            </wp:positionV>
            <wp:extent cx="677481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4815" cy="17145"/>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wp:posOffset>
            </wp:positionH>
            <wp:positionV relativeFrom="paragraph">
              <wp:posOffset>292100</wp:posOffset>
            </wp:positionV>
            <wp:extent cx="67748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4815"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880" w:hanging="87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11" w:lineRule="exact"/>
        <w:rPr>
          <w:sz w:val="24"/>
          <w:szCs w:val="24"/>
          <w:color w:val="auto"/>
        </w:rPr>
      </w:pPr>
    </w:p>
    <w:p>
      <w:pPr>
        <w:spacing w:after="0"/>
        <w:tabs>
          <w:tab w:leader="none" w:pos="180" w:val="left"/>
          <w:tab w:leader="none" w:pos="86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Fee computed on table below per Exchange Act Rules 14a-6(i)(4) and 0-11.</w:t>
      </w:r>
    </w:p>
    <w:p>
      <w:pPr>
        <w:spacing w:after="0" w:line="225" w:lineRule="exact"/>
        <w:rPr>
          <w:sz w:val="24"/>
          <w:szCs w:val="24"/>
          <w:color w:val="auto"/>
        </w:rPr>
      </w:pPr>
    </w:p>
    <w:p>
      <w:pPr>
        <w:ind w:left="1760" w:hanging="874"/>
        <w:spacing w:after="0"/>
        <w:tabs>
          <w:tab w:leader="none" w:pos="1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1760" w:hanging="874"/>
        <w:spacing w:after="0"/>
        <w:tabs>
          <w:tab w:leader="none" w:pos="1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760" w:right="100" w:hanging="874"/>
        <w:spacing w:after="0" w:line="277" w:lineRule="auto"/>
        <w:tabs>
          <w:tab w:leader="none" w:pos="1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1760" w:hanging="874"/>
        <w:spacing w:after="0"/>
        <w:tabs>
          <w:tab w:leader="none" w:pos="1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760" w:hanging="874"/>
        <w:spacing w:after="0"/>
        <w:tabs>
          <w:tab w:leader="none" w:pos="1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1120140</wp:posOffset>
            </wp:positionH>
            <wp:positionV relativeFrom="paragraph">
              <wp:posOffset>-1150620</wp:posOffset>
            </wp:positionV>
            <wp:extent cx="61315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31560" cy="1714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-859155</wp:posOffset>
            </wp:positionV>
            <wp:extent cx="61315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31560" cy="1714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-430530</wp:posOffset>
            </wp:positionV>
            <wp:extent cx="61315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31560" cy="1714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-139065</wp:posOffset>
            </wp:positionV>
            <wp:extent cx="61315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31560" cy="1714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152400</wp:posOffset>
            </wp:positionV>
            <wp:extent cx="61315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31560" cy="17145"/>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p>
      <w:pPr>
        <w:spacing w:after="0" w:line="200" w:lineRule="exact"/>
        <w:rPr>
          <w:sz w:val="24"/>
          <w:szCs w:val="24"/>
          <w:color w:val="auto"/>
        </w:rPr>
      </w:pPr>
    </w:p>
    <w:p>
      <w:pPr>
        <w:spacing w:after="0" w:line="268" w:lineRule="exact"/>
        <w:rPr>
          <w:sz w:val="24"/>
          <w:szCs w:val="24"/>
          <w:color w:val="auto"/>
        </w:rPr>
      </w:pPr>
    </w:p>
    <w:p>
      <w:pPr>
        <w:spacing w:after="0"/>
        <w:tabs>
          <w:tab w:leader="none" w:pos="180" w:val="left"/>
        </w:tabs>
        <w:rPr>
          <w:sz w:val="20"/>
          <w:szCs w:val="20"/>
          <w:color w:val="auto"/>
        </w:rPr>
      </w:pPr>
      <w:r>
        <w:rPr>
          <w:rFonts w:ascii="Arial" w:cs="Arial" w:eastAsia="Arial" w:hAnsi="Arial"/>
          <w:sz w:val="18"/>
          <w:szCs w:val="18"/>
          <w:color w:val="auto"/>
        </w:rPr>
        <w:t>[</w:t>
        <w:tab/>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Fee paid previously with preliminary materials:</w:t>
      </w:r>
    </w:p>
    <w:p>
      <w:pPr>
        <w:spacing w:after="0" w:line="222" w:lineRule="exact"/>
        <w:rPr>
          <w:sz w:val="24"/>
          <w:szCs w:val="24"/>
          <w:color w:val="auto"/>
        </w:rPr>
      </w:pPr>
    </w:p>
    <w:p>
      <w:pPr>
        <w:sectPr>
          <w:pgSz w:w="11900" w:h="16838" w:orient="portrait"/>
          <w:cols w:equalWidth="0" w:num="2">
            <w:col w:w="260" w:space="620"/>
            <w:col w:w="10520"/>
          </w:cols>
          <w:pgMar w:left="240" w:top="225" w:right="259" w:bottom="1440" w:gutter="0" w:footer="0" w:header="0"/>
          <w:type w:val="continuous"/>
        </w:sectPr>
      </w:pPr>
    </w:p>
    <w:p>
      <w:pPr>
        <w:spacing w:after="0" w:line="25" w:lineRule="exact"/>
        <w:rPr>
          <w:sz w:val="24"/>
          <w:szCs w:val="24"/>
          <w:color w:val="auto"/>
        </w:rPr>
      </w:pPr>
    </w:p>
    <w:p>
      <w:pPr>
        <w:spacing w:after="0"/>
        <w:tabs>
          <w:tab w:leader="none" w:pos="180" w:val="left"/>
        </w:tabs>
        <w:rPr>
          <w:sz w:val="20"/>
          <w:szCs w:val="20"/>
          <w:color w:val="auto"/>
        </w:rPr>
      </w:pPr>
      <w:r>
        <w:rPr>
          <w:rFonts w:ascii="Arial" w:cs="Arial" w:eastAsia="Arial" w:hAnsi="Arial"/>
          <w:sz w:val="18"/>
          <w:szCs w:val="18"/>
          <w:color w:val="auto"/>
        </w:rPr>
        <w:t>[</w:t>
        <w:tab/>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7" w:lineRule="exact"/>
        <w:rPr>
          <w:sz w:val="24"/>
          <w:szCs w:val="24"/>
          <w:color w:val="auto"/>
        </w:rPr>
      </w:pPr>
    </w:p>
    <w:p>
      <w:pPr>
        <w:sectPr>
          <w:pgSz w:w="11900" w:h="16838" w:orient="portrait"/>
          <w:cols w:equalWidth="0" w:num="2">
            <w:col w:w="260" w:space="620"/>
            <w:col w:w="10520"/>
          </w:cols>
          <w:pgMar w:left="240" w:top="225" w:right="259" w:bottom="1440" w:gutter="0" w:footer="0" w:header="0"/>
          <w:type w:val="continuous"/>
        </w:sectPr>
      </w:pPr>
    </w:p>
    <w:p>
      <w:pPr>
        <w:ind w:left="1760" w:hanging="874"/>
        <w:spacing w:after="0"/>
        <w:tabs>
          <w:tab w:leader="none" w:pos="1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1760" w:hanging="874"/>
        <w:spacing w:after="0"/>
        <w:tabs>
          <w:tab w:leader="none" w:pos="1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75" w:lineRule="exact"/>
        <w:rPr>
          <w:rFonts w:ascii="Arial" w:cs="Arial" w:eastAsia="Arial" w:hAnsi="Arial"/>
          <w:sz w:val="16"/>
          <w:szCs w:val="16"/>
          <w:color w:val="auto"/>
        </w:rPr>
      </w:pPr>
    </w:p>
    <w:p>
      <w:pPr>
        <w:ind w:left="1760" w:hanging="874"/>
        <w:spacing w:after="0"/>
        <w:tabs>
          <w:tab w:leader="none" w:pos="1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760" w:hanging="874"/>
        <w:spacing w:after="0"/>
        <w:tabs>
          <w:tab w:leader="none" w:pos="1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1120140</wp:posOffset>
            </wp:positionH>
            <wp:positionV relativeFrom="paragraph">
              <wp:posOffset>-721995</wp:posOffset>
            </wp:positionV>
            <wp:extent cx="61315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31560" cy="1714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-430530</wp:posOffset>
            </wp:positionV>
            <wp:extent cx="61315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31560" cy="1714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-139065</wp:posOffset>
            </wp:positionV>
            <wp:extent cx="61315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31560" cy="1714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152400</wp:posOffset>
            </wp:positionV>
            <wp:extent cx="61315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31560" cy="17145"/>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April 4,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 Annual Meeting of Shareholders to be held April 19, 2012</w:t>
      </w:r>
    </w:p>
    <w:p>
      <w:pPr>
        <w:spacing w:after="0" w:line="252" w:lineRule="exact"/>
        <w:rPr>
          <w:sz w:val="20"/>
          <w:szCs w:val="20"/>
          <w:color w:val="auto"/>
        </w:rPr>
      </w:pPr>
    </w:p>
    <w:p>
      <w:pPr>
        <w:ind w:right="2179"/>
        <w:spacing w:after="0" w:line="312" w:lineRule="auto"/>
        <w:rPr>
          <w:sz w:val="20"/>
          <w:szCs w:val="20"/>
          <w:color w:val="auto"/>
        </w:rPr>
      </w:pPr>
      <w:r>
        <w:rPr>
          <w:rFonts w:ascii="Arial" w:cs="Arial" w:eastAsia="Arial" w:hAnsi="Arial"/>
          <w:sz w:val="16"/>
          <w:szCs w:val="16"/>
          <w:color w:val="auto"/>
        </w:rPr>
        <w:t>It has come to our attention some proxy cards and notices we sent in connection with our 2012 Annual Meeting had an incorrect shareholder address and/or control number. Enclosed you will find a new proxy card and our 2011 Annual Report and 2012 Proxy Statement, which are unchanged since the original mailing.</w:t>
      </w:r>
    </w:p>
    <w:p>
      <w:pPr>
        <w:spacing w:after="0" w:line="174" w:lineRule="exact"/>
        <w:rPr>
          <w:sz w:val="20"/>
          <w:szCs w:val="20"/>
          <w:color w:val="auto"/>
        </w:rPr>
      </w:pPr>
    </w:p>
    <w:p>
      <w:pPr>
        <w:ind w:right="2139"/>
        <w:spacing w:after="0" w:line="259" w:lineRule="auto"/>
        <w:rPr>
          <w:sz w:val="20"/>
          <w:szCs w:val="20"/>
          <w:color w:val="auto"/>
        </w:rPr>
      </w:pPr>
      <w:r>
        <w:rPr>
          <w:rFonts w:ascii="Arial" w:cs="Arial" w:eastAsia="Arial" w:hAnsi="Arial"/>
          <w:sz w:val="18"/>
          <w:szCs w:val="18"/>
          <w:color w:val="auto"/>
        </w:rPr>
        <w:t>If you have already cast your vote, we ask that you please vote again using the control number on the enclosed proxy card, as your earlier vote has been discarded. If you have not already cast your vote, please vote using the control number on the enclosed proxy card. You may vote by returning the enclosed proxy card or by voting via phone or the Internet.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Your vote is important to us. We apologize for any inconvenience this may have caused.</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upperLetter"/>
      <w:start w:val="24"/>
    </w:lvl>
  </w:abstractNum>
  <w:abstractNum w:abstractNumId="2">
    <w:nsid w:val="625558EC"/>
    <w:multiLevelType w:val="hybridMultilevel"/>
    <w:lvl w:ilvl="0">
      <w:lvlJc w:val="left"/>
      <w:lvlText w:val="[%1]"/>
      <w:numFmt w:val="upperLetter"/>
      <w:start w:val="24"/>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2019-12-09T08:46:43Z</dcterms:created>
  <dcterms:modified xsi:type="dcterms:W3CDTF">2019-12-09T08:46:43Z</dcterms:modified>
</cp:coreProperties>
</file>