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83"/>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right="-18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18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83"/>
        <w:spacing w:after="0"/>
        <w:tabs>
          <w:tab w:leader="none" w:pos="2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
        <w:spacing w:after="0" w:line="184" w:lineRule="exact"/>
        <w:tabs>
          <w:tab w:leader="none" w:pos="306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6" w:lineRule="exact"/>
        <w:rPr>
          <w:sz w:val="24"/>
          <w:szCs w:val="24"/>
          <w:color w:val="auto"/>
        </w:rPr>
      </w:pPr>
    </w:p>
    <w:p>
      <w:pPr>
        <w:ind w:left="104"/>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6"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75" w:lineRule="exact"/>
        <w:rPr>
          <w:sz w:val="24"/>
          <w:szCs w:val="24"/>
          <w:color w:val="auto"/>
        </w:rPr>
      </w:pPr>
    </w:p>
    <w:p>
      <w:pPr>
        <w:jc w:val="center"/>
        <w:ind w:right="-183"/>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9" w:lineRule="exact"/>
        <w:rPr>
          <w:sz w:val="24"/>
          <w:szCs w:val="24"/>
          <w:color w:val="auto"/>
        </w:rPr>
      </w:pPr>
    </w:p>
    <w:p>
      <w:pPr>
        <w:jc w:val="center"/>
        <w:ind w:right="-183"/>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469265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30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2"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right="40" w:hanging="537"/>
        <w:spacing w:after="0" w:line="260" w:lineRule="auto"/>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564" w:hanging="564"/>
        <w:spacing w:after="0" w:line="260" w:lineRule="auto"/>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-3837940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-3383280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-2809240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-2354580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-1960245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-588645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-134620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44"/>
          </w:cols>
          <w:pgMar w:left="436" w:top="522" w:right="619" w:bottom="59"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979805</wp:posOffset>
            </wp:positionH>
            <wp:positionV relativeFrom="page">
              <wp:posOffset>88900</wp:posOffset>
            </wp:positionV>
            <wp:extent cx="6292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319405</wp:posOffset>
            </wp:positionV>
            <wp:extent cx="62922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499110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542290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68" w:right="1440"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TEXAS INSTRUMENTS INCORPORATED</w:t>
      </w:r>
    </w:p>
    <w:p>
      <w:pPr>
        <w:spacing w:after="0" w:line="225" w:lineRule="exact"/>
        <w:rPr>
          <w:sz w:val="20"/>
          <w:szCs w:val="20"/>
          <w:color w:val="auto"/>
        </w:rPr>
      </w:pPr>
    </w:p>
    <w:p>
      <w:pPr>
        <w:jc w:val="center"/>
        <w:ind w:left="580" w:right="2120"/>
        <w:spacing w:after="0" w:line="266" w:lineRule="auto"/>
        <w:rPr>
          <w:sz w:val="20"/>
          <w:szCs w:val="20"/>
          <w:color w:val="auto"/>
        </w:rPr>
      </w:pPr>
      <w:r>
        <w:rPr>
          <w:rFonts w:ascii="Arial" w:cs="Arial" w:eastAsia="Arial" w:hAnsi="Arial"/>
          <w:sz w:val="18"/>
          <w:szCs w:val="18"/>
          <w:b w:val="1"/>
          <w:bCs w:val="1"/>
          <w:color w:val="auto"/>
        </w:rPr>
        <w:t>SUPPLEMENT TO DEFINITIVE PROXY STATEMENT DATED MARCH 9, 2021 FOR THE 2021 ANNUAL MEETING OF STOCKHOLDERS TO BE HELD ON THURSDAY, APRIL 22, 2021</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Supplement is being provided to inform stockholders that as stated in our 2019 Corporate Citizenship Report, we have been evaluating additional disclosures to better meet the disclosure needs of Company stakeholders. Beginning with our 2020 report, which we expect to publish in mid-2021, we will be mapping to Sustainability Accounting Standards Board (SASB) and the Task Force on Climate-Related Financial Disclosures (TCFD) frameworks.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2021-04-12T13:54:17Z</dcterms:created>
  <dcterms:modified xsi:type="dcterms:W3CDTF">2021-04-12T13:54:17Z</dcterms:modified>
</cp:coreProperties>
</file>