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DATE OF REPORT (DATE OF EARLIEST EVENT REPORTED): October 24,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October 24, 2011, regarding its third-quarter 2011 results of operations and financial condition is attached hereto as Exhibit 99 and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ectPr>
          <w:pgSz w:w="11900" w:h="16838" w:orient="portrait"/>
          <w:cols w:equalWidth="0" w:num="1">
            <w:col w:w="10940"/>
          </w:cols>
          <w:pgMar w:left="240" w:top="517" w:right="719" w:bottom="1440" w:gutter="0" w:footer="0" w:header="0"/>
        </w:sectPr>
      </w:pPr>
    </w:p>
    <w:p>
      <w:pPr>
        <w:spacing w:after="0" w:line="22"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2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2947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58661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66130" cy="17145"/>
                    </a:xfrm>
                    <a:prstGeom prst="rect">
                      <a:avLst/>
                    </a:prstGeom>
                    <a:noFill/>
                  </pic:spPr>
                </pic:pic>
              </a:graphicData>
            </a:graphic>
          </wp:anchor>
        </w:drawing>
      </w:r>
    </w:p>
    <w:p>
      <w:pPr>
        <w:spacing w:after="0" w:line="225" w:lineRule="exact"/>
        <w:rPr>
          <w:sz w:val="20"/>
          <w:szCs w:val="20"/>
          <w:color w:val="auto"/>
        </w:rPr>
      </w:pPr>
    </w:p>
    <w:p>
      <w:pPr>
        <w:sectPr>
          <w:pgSz w:w="11900" w:h="16838" w:orient="portrait"/>
          <w:cols w:equalWidth="0" w:num="2">
            <w:col w:w="1460" w:space="720"/>
            <w:col w:w="8760"/>
          </w:cols>
          <w:pgMar w:left="240" w:top="517" w:right="719" w:bottom="1440" w:gutter="0" w:footer="0" w:header="0"/>
          <w:type w:val="continuous"/>
        </w:sectPr>
      </w:pPr>
    </w:p>
    <w:p>
      <w:pPr>
        <w:spacing w:after="0" w:line="38" w:lineRule="exact"/>
        <w:rPr>
          <w:sz w:val="20"/>
          <w:szCs w:val="20"/>
          <w:color w:val="auto"/>
        </w:rPr>
      </w:pPr>
    </w:p>
    <w:p>
      <w:pPr>
        <w:ind w:left="2180" w:hanging="1242"/>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6"/>
          <w:szCs w:val="16"/>
          <w:color w:val="auto"/>
        </w:rPr>
        <w:t>Dated October 24, 2011 (furnished pursuant to Item 2.02)</w:t>
      </w:r>
    </w:p>
    <w:p>
      <w:pPr>
        <w:sectPr>
          <w:pgSz w:w="11900" w:h="16838" w:orient="portrait"/>
          <w:cols w:equalWidth="0" w:num="1">
            <w:col w:w="10940"/>
          </w:cols>
          <w:pgMar w:left="240" w:top="517" w:right="719"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236" w:lineRule="exact"/>
        <w:rPr>
          <w:rFonts w:ascii="Arial" w:cs="Arial" w:eastAsia="Arial" w:hAnsi="Arial"/>
          <w:sz w:val="17"/>
          <w:szCs w:val="17"/>
          <w:color w:val="auto"/>
        </w:rPr>
      </w:pPr>
    </w:p>
    <w:p>
      <w:pPr>
        <w:ind w:left="880" w:right="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25" w:lineRule="exact"/>
        <w:rPr>
          <w:rFonts w:ascii="Arial" w:cs="Arial" w:eastAsia="Arial" w:hAnsi="Arial"/>
          <w:sz w:val="18"/>
          <w:szCs w:val="18"/>
          <w:color w:val="auto"/>
        </w:rPr>
      </w:pPr>
    </w:p>
    <w:p>
      <w:pPr>
        <w:ind w:left="880" w:right="3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36" w:lineRule="exact"/>
        <w:rPr>
          <w:rFonts w:ascii="Arial" w:cs="Arial" w:eastAsia="Arial" w:hAnsi="Arial"/>
          <w:sz w:val="17"/>
          <w:szCs w:val="17"/>
          <w:color w:val="auto"/>
        </w:rPr>
      </w:pPr>
    </w:p>
    <w:p>
      <w:pPr>
        <w:ind w:left="880" w:right="3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70" w:lineRule="exact"/>
        <w:rPr>
          <w:rFonts w:ascii="Arial" w:cs="Arial" w:eastAsia="Arial" w:hAnsi="Arial"/>
          <w:sz w:val="18"/>
          <w:szCs w:val="18"/>
          <w:color w:val="auto"/>
        </w:rPr>
      </w:pPr>
    </w:p>
    <w:p>
      <w:pPr>
        <w:ind w:left="880" w:right="40" w:hanging="440"/>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23"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225"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spacing w:after="0" w:line="197"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obligations to make principal and interest payments on its debt.</w:t>
      </w:r>
    </w:p>
    <w:p>
      <w:pPr>
        <w:spacing w:after="0" w:line="252"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a more detailed discussion of these factors, see the Risk Factors discussions in Items 1A of TI’s most recent Form 10-K and of TI’s Form 10-Q for the quarter ended June 30, 2011.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October 24,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490" w:gutter="0" w:footer="0" w:header="0"/>
        </w:sectPr>
      </w:pPr>
    </w:p>
    <w:bookmarkStart w:id="3" w:name="page4"/>
    <w:bookmarkEnd w:id="3"/>
    <w:p>
      <w:pPr>
        <w:spacing w:after="0" w:line="50"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financial results for 3Q11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DALLAS (Oct. 24, 2011) – Texas Instruments Incorporated (TI) (NYSE: TXN) today announced third-quarter revenue of $3.47 billion, net income of $601 million and earnings per share of 51 cents. EPS includes 9 cents in charges associated with the company’s acquisition of National Semiconductor.</w:t>
      </w:r>
    </w:p>
    <w:p>
      <w:pPr>
        <w:spacing w:after="0" w:line="15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highlight of the third quarter was the completion of the purchase of National Semiconductor. We welcome the people of National to TI, and together we’re already taking our combined portfolio of almost 45,000 Analog products to customers all over the world,” said Rich Templeton, chairman, president and chief executive officer.</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revenue for the third quarter was higher than we expected though, overall, the quarter was below the seasonal average. We expect the same in the fourth quarter as economic uncertainty continues to weigh on demand in almost every major market segment in which we operate. We are well prepared to continue to gain share in our core businesses, no matter the economic conditions.”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3Q11 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3Q11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3Q10</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3Q10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2Q11</w:t>
            </w: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vs. 2Q11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814</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905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0.71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TI closed its acquisition of National Semiconductor on September 23, 2011, and from that date began to consolidate the results of the acquired operations into TI’s Analog segment under the name Silicon Valley Analog. Silicon Valley Analog revenue for that limited time was $18 million and operating profit was $2 million.</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Acquisition-related charges of $154 million are included in the Other segment’s results. As required by the acquisition method of accounting for business combinations, these charges include $7 million in cost of revenue attributable to the fair value write-up of acquired inventory that was sold after the date of acquisition. The remainder, $147 million, includes restructuring costs, transaction costs, retention bonuses and amortization of intangibles. In addition, there was a $10 million discrete tax charge.</w:t>
      </w:r>
    </w:p>
    <w:p>
      <w:pPr>
        <w:spacing w:after="0" w:line="21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TI’s third-quarter 2011 gross profit and operating profit were negatively impacted by costs associated with lower levels of factory utilization in the quarter as the company lowered production in response to weaker demand, as well as charges for inventory obsolescence on certain custom programs. These were partially offset by a net benefit resulting from proceeds from ongoing insurance claims associated with the March earthquake in Japan.</w:t>
      </w:r>
    </w:p>
    <w:p>
      <w:pPr>
        <w:spacing w:after="0" w:line="1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profit declined from a year ago primarily due to lower gross profit, as well as acquisition costs. Compared with the prior quarter, operating profit was lower due to acquisition costs, which were partially offset by lower operating expenses.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3Q11 segment results</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65"/>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vs.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3Q11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3Q10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3Q10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2Q11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vs. 2Q11</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1,557</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1,581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1,588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580</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ind w:right="140" w:firstLine="8"/>
        <w:spacing w:after="0" w:line="25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total acquisition-related costs of $154 million in the third quarter of 2011 and $13 million in the second quarter of 2011. Also includes a net benefit from ongoing insurance claims associated with the earthquake in Japan of $23 million in the third quarter of 2011 and a net cost of $50 million in the second quarter of 2011.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High Volume Analog &amp; Logic, High Performance Analog, Power Management and Silicon Valley Analog)</w:t>
      </w:r>
    </w:p>
    <w:p>
      <w:pPr>
        <w:spacing w:after="0" w:line="27" w:lineRule="exact"/>
        <w:rPr>
          <w:sz w:val="20"/>
          <w:szCs w:val="20"/>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due to High Performance Analog.</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Compared with the prior quarter, revenue declined due to High Performance Analog and Power Management.</w:t>
      </w:r>
    </w:p>
    <w:p>
      <w:pPr>
        <w:spacing w:after="0" w:line="9" w:lineRule="exact"/>
        <w:rPr>
          <w:rFonts w:ascii="Arial" w:cs="Arial" w:eastAsia="Arial" w:hAnsi="Arial"/>
          <w:sz w:val="18"/>
          <w:szCs w:val="18"/>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decreased from the year-ago and prior quarters due to lower gross profit.</w:t>
      </w:r>
    </w:p>
    <w:p>
      <w:pPr>
        <w:sectPr>
          <w:pgSz w:w="11900" w:h="16888" w:orient="portrait"/>
          <w:cols w:equalWidth="0" w:num="1">
            <w:col w:w="11420"/>
          </w:cols>
          <w:pgMar w:left="240" w:top="118" w:right="239" w:bottom="0" w:gutter="0" w:footer="0" w:header="0"/>
        </w:sectPr>
      </w:pPr>
    </w:p>
    <w:bookmarkStart w:id="4" w:name="page5"/>
    <w:bookmarkEnd w:id="4"/>
    <w:p>
      <w:pPr>
        <w:ind w:right="340"/>
        <w:spacing w:after="0" w:line="261" w:lineRule="auto"/>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digital signal processor and microcontroller catalog products that are sold across a wide variety of markets as well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application-specific products that are used in communications infrastructure and automotive electronics)</w:t>
      </w:r>
    </w:p>
    <w:p>
      <w:pPr>
        <w:ind w:left="340" w:hanging="228"/>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year-ago and prior quarters, the decline in revenue was primarily due to catalog products. Revenue from products sold into communications infrastructure applications also declined from the prior quarter.</w:t>
      </w: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declined from the year-ago and prior quarters due to lower gross profit.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Wireless: </w:t>
      </w:r>
      <w:r>
        <w:rPr>
          <w:rFonts w:ascii="Arial" w:cs="Arial" w:eastAsia="Arial" w:hAnsi="Arial"/>
          <w:sz w:val="18"/>
          <w:szCs w:val="18"/>
          <w:i w:val="1"/>
          <w:iCs w:val="1"/>
          <w:color w:val="auto"/>
        </w:rPr>
        <w:t>(includes connectivity products, OMAP™ applications processors and baseband products)</w:t>
      </w:r>
    </w:p>
    <w:p>
      <w:pPr>
        <w:spacing w:after="0" w:line="27" w:lineRule="exact"/>
        <w:rPr>
          <w:sz w:val="20"/>
          <w:szCs w:val="20"/>
          <w:color w:val="auto"/>
        </w:rPr>
      </w:pP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due to baseband products.</w:t>
      </w:r>
    </w:p>
    <w:p>
      <w:pPr>
        <w:spacing w:after="0" w:line="9" w:lineRule="exact"/>
        <w:rPr>
          <w:rFonts w:ascii="Arial" w:cs="Arial" w:eastAsia="Arial" w:hAnsi="Arial"/>
          <w:sz w:val="18"/>
          <w:szCs w:val="18"/>
          <w:color w:val="auto"/>
        </w:rPr>
      </w:pPr>
    </w:p>
    <w:p>
      <w:pPr>
        <w:ind w:left="340" w:hanging="228"/>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Compared with the prior quarter, revenue increased due to baseband products, as well as OMAP applications processors, while revenue from connectivity products was down.</w:t>
      </w:r>
    </w:p>
    <w:p>
      <w:pPr>
        <w:ind w:left="340" w:hanging="22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 decreased from the year-ago and prior quarters due to lower gross profit.</w:t>
      </w:r>
    </w:p>
    <w:p>
      <w:pPr>
        <w:spacing w:after="0" w:line="234" w:lineRule="exact"/>
        <w:rPr>
          <w:sz w:val="20"/>
          <w:szCs w:val="20"/>
          <w:color w:val="auto"/>
        </w:rPr>
      </w:pPr>
    </w:p>
    <w:p>
      <w:pPr>
        <w:ind w:right="120"/>
        <w:spacing w:after="0" w:line="21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products, custom ASIC products, calculators and royalties as well as products sold under transitional supply agreements associated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with recently acquired factories)</w:t>
      </w:r>
    </w:p>
    <w:p>
      <w:pPr>
        <w:spacing w:after="0" w:line="1" w:lineRule="exact"/>
        <w:rPr>
          <w:sz w:val="20"/>
          <w:szCs w:val="20"/>
          <w:color w:val="auto"/>
        </w:rPr>
      </w:pPr>
    </w:p>
    <w:p>
      <w:pPr>
        <w:ind w:left="340" w:hanging="228"/>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Compared with the year-ago quarter, the decline in revenue was due to the sale of a cable modem product line in the fourth quarter of 2010, as well as declines across most product areas.</w:t>
      </w:r>
    </w:p>
    <w:p>
      <w:pPr>
        <w:ind w:left="340" w:hanging="228"/>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Compared with the prior quarter, the increase in revenue was primarily from DLP products as well as from earthquake-related insurance proceeds.</w:t>
      </w:r>
    </w:p>
    <w:p>
      <w:pPr>
        <w:spacing w:after="0" w:line="20" w:lineRule="exact"/>
        <w:rPr>
          <w:rFonts w:ascii="Arial" w:cs="Arial" w:eastAsia="Arial" w:hAnsi="Arial"/>
          <w:sz w:val="17"/>
          <w:szCs w:val="17"/>
          <w:color w:val="auto"/>
        </w:rPr>
      </w:pPr>
    </w:p>
    <w:p>
      <w:pPr>
        <w:ind w:left="340" w:hanging="228"/>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profit decreased from the year-ago and prior quarters due to higher acquisition-related costs. Also, the quarter included a net benefit from earthquake-related insurance proceeds compared with net costs in the prior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3Q11 additional financial information</w:t>
      </w:r>
    </w:p>
    <w:p>
      <w:pPr>
        <w:spacing w:after="0" w:line="256" w:lineRule="exact"/>
        <w:rPr>
          <w:sz w:val="20"/>
          <w:szCs w:val="20"/>
          <w:color w:val="auto"/>
        </w:rPr>
      </w:pP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Orders were $3.07 billion, down 10 percent from the year-ago quarter and down 15 percent from the prior quarter.</w:t>
      </w:r>
    </w:p>
    <w:p>
      <w:pPr>
        <w:spacing w:after="0" w:line="23" w:lineRule="exact"/>
        <w:rPr>
          <w:rFonts w:ascii="Arial" w:cs="Arial" w:eastAsia="Arial" w:hAnsi="Arial"/>
          <w:sz w:val="18"/>
          <w:szCs w:val="18"/>
          <w:color w:val="auto"/>
        </w:rPr>
      </w:pPr>
    </w:p>
    <w:p>
      <w:pPr>
        <w:jc w:val="both"/>
        <w:ind w:left="340" w:hanging="228"/>
        <w:spacing w:after="0" w:line="265"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Inventory was $1.97 billion at the end of the quarter, up $541 million from a year ago and up $203 million from the prior quarter. The increase from a year ago was due to the company rebuilding inventory to support higher customer service levels with shorter lead times, as well as $215 million of inventory associated with the acquisition of National Semiconductor. The increase from the prior quarter was due to the acquisition. Inventory acquired from National Semiconductor is valued at fair value, in accordance with the acquisition method of accounting for business combinations.</w:t>
      </w:r>
    </w:p>
    <w:p>
      <w:pPr>
        <w:ind w:left="34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were $193 million in the quarter compared with $396 million a year ago and $276 million in the prior quarter. Capital expenditures in the quarter were primarily for assembly/test and wafer manufacturing equipment.</w:t>
      </w:r>
    </w:p>
    <w:p>
      <w:pPr>
        <w:ind w:left="340" w:hanging="228"/>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ended the quarter with $2.62 billion in cash. During the quarter, the company issued $1.2 billion in commercial paper, which remains outstanding.</w:t>
      </w:r>
    </w:p>
    <w:p>
      <w:pPr>
        <w:ind w:left="340" w:hanging="22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used $450 million in the quarter to repurchase 14.1 million shares of its common stock and paid dividends of $148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2011, TI expects:</w:t>
      </w:r>
    </w:p>
    <w:p>
      <w:pPr>
        <w:spacing w:after="0" w:line="252" w:lineRule="exact"/>
        <w:rPr>
          <w:sz w:val="20"/>
          <w:szCs w:val="20"/>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$3.26 – 3.54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 $0.28 – 0.36</w:t>
      </w:r>
    </w:p>
    <w:p>
      <w:pPr>
        <w:spacing w:after="0" w:line="2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EPS will be negatively impacted by about 15 cents from acquisition-related costs in the fourth quarter. These will include about $160 million of acquisition costs and, additionally, about $100 million included in cost of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TI will update its fourth-quarter outlook on December 8,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full year of 2011, TI expects approximately the following:</w:t>
      </w:r>
    </w:p>
    <w:p>
      <w:pPr>
        <w:spacing w:after="0" w:line="252" w:lineRule="exact"/>
        <w:rPr>
          <w:sz w:val="20"/>
          <w:szCs w:val="20"/>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R&amp;D expense: $1.7 billion</w:t>
      </w:r>
    </w:p>
    <w:p>
      <w:pPr>
        <w:spacing w:after="0" w:line="23"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$0.9 billion</w:t>
      </w:r>
    </w:p>
    <w:p>
      <w:pPr>
        <w:spacing w:after="0" w:line="9" w:lineRule="exact"/>
        <w:rPr>
          <w:rFonts w:ascii="Arial" w:cs="Arial" w:eastAsia="Arial" w:hAnsi="Arial"/>
          <w:sz w:val="18"/>
          <w:szCs w:val="18"/>
          <w:color w:val="auto"/>
        </w:rPr>
      </w:pPr>
    </w:p>
    <w:p>
      <w:pPr>
        <w:ind w:left="500" w:hanging="22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 effective tax rate: 25%</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26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gridSpan w:val="6"/>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0"/>
              </w:rPr>
              <w:t>Sept. 30, 2011</w:t>
            </w:r>
          </w:p>
        </w:tc>
        <w:tc>
          <w:tcPr>
            <w:tcW w:w="14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0"/>
              </w:rPr>
              <w:t>Sept. 30, 2010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June 30,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3,466</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3,740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1,722</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1,701</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1,744</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395</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417</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388</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Restructuring expense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cost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147</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814</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(19)</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780</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179</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601</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.52</w:t>
            </w:r>
          </w:p>
        </w:tc>
        <w:tc>
          <w:tcPr>
            <w:tcW w:w="400" w:type="dxa"/>
            <w:vAlign w:val="bottom"/>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.51</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1,144</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1,157</w:t>
            </w:r>
          </w:p>
        </w:tc>
        <w:tc>
          <w:tcPr>
            <w:tcW w:w="40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1,196</w:t>
            </w:r>
          </w:p>
        </w:tc>
        <w:tc>
          <w:tcPr>
            <w:tcW w:w="4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Gross profit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50.3%</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11.4%</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SG&amp;A</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11.2%</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The amount excluded from earnings per common share was $10 million, $13 million and $10 million for the quarters ending Sept. 30, 2011, Sept. 30, 2010 and June 30, 2011.</w:t>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Sept. 30, 2011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2010</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1,581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1,037</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($26), ($20) and ($23)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1,784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632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7,716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6,468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Less accumulated depreciation</w:t>
            </w:r>
          </w:p>
        </w:tc>
        <w:tc>
          <w:tcPr>
            <w:tcW w:w="3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(2,667)</w:t>
            </w:r>
          </w:p>
        </w:tc>
        <w:tc>
          <w:tcPr>
            <w:tcW w:w="3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(3,441)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4,451</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3,024</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199</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20,907</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12,649</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paper borrowings</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386</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863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3,668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4,215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617</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9,881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Preferred stock, $25 par value. Authorized – 10,000,000 shares. Participating cumulative</w:t>
            </w:r>
          </w:p>
        </w:tc>
        <w:tc>
          <w:tcPr>
            <w:tcW w:w="340" w:type="dxa"/>
            <w:vAlign w:val="bottom"/>
          </w:tcPr>
          <w:p>
            <w:pPr>
              <w:spacing w:after="0"/>
              <w:rPr>
                <w:sz w:val="17"/>
                <w:szCs w:val="17"/>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preferred. None issued.</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2"/>
              </w:rPr>
              <w:t>Common stock, $1 par value. Authorized – 2,400,000,000 shares. Shares issued: Sept. 30, 2011 –</w:t>
            </w:r>
          </w:p>
        </w:tc>
        <w:tc>
          <w:tcPr>
            <w:tcW w:w="3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1,741</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1,740,552,451; Sept. 30, 2010 – 1,739,932,695; June 30, 2011 – 1,740,530,417</w:t>
            </w:r>
          </w:p>
        </w:tc>
        <w:tc>
          <w:tcPr>
            <w:tcW w:w="3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1,172</w:t>
            </w: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1,128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26,175</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ind w:left="160"/>
              <w:spacing w:after="0" w:line="201" w:lineRule="exact"/>
              <w:rPr>
                <w:sz w:val="20"/>
                <w:szCs w:val="20"/>
                <w:color w:val="auto"/>
              </w:rPr>
            </w:pPr>
            <w:r>
              <w:rPr>
                <w:rFonts w:ascii="Arial" w:cs="Arial" w:eastAsia="Arial" w:hAnsi="Arial"/>
                <w:sz w:val="18"/>
                <w:szCs w:val="18"/>
                <w:color w:val="auto"/>
              </w:rPr>
              <w:t>Less treasury common stock at cost:</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Shares: Sept. 30, 2011 – 597,902,577; Sept. 30, 2010 –</w:t>
            </w:r>
          </w:p>
        </w:tc>
        <w:tc>
          <w:tcPr>
            <w:tcW w:w="340" w:type="dxa"/>
            <w:vAlign w:val="bottom"/>
          </w:tcPr>
          <w:p>
            <w:pPr>
              <w:spacing w:after="0"/>
              <w:rPr>
                <w:sz w:val="18"/>
                <w:szCs w:val="18"/>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(17,372)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ind w:left="280"/>
              <w:spacing w:after="0"/>
              <w:rPr>
                <w:sz w:val="20"/>
                <w:szCs w:val="20"/>
                <w:color w:val="auto"/>
              </w:rPr>
            </w:pPr>
            <w:r>
              <w:rPr>
                <w:rFonts w:ascii="Arial" w:cs="Arial" w:eastAsia="Arial" w:hAnsi="Arial"/>
                <w:sz w:val="18"/>
                <w:szCs w:val="18"/>
                <w:color w:val="auto"/>
              </w:rPr>
              <w:t>565,775,203; June 30, 2011 – 585,209,754</w:t>
            </w:r>
          </w:p>
        </w:tc>
        <w:tc>
          <w:tcPr>
            <w:tcW w:w="3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(690)</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11,026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9,962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20,907</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12,649</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820" w:type="dxa"/>
            <w:vAlign w:val="bottom"/>
            <w:tcBorders>
              <w:bottom w:val="single" w:sz="8" w:color="auto"/>
            </w:tcBorders>
            <w:gridSpan w:val="7"/>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For Three Months Ended</w:t>
            </w: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Sept. 30, 2011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Sept. 30, 2010</w:t>
            </w:r>
          </w:p>
        </w:tc>
        <w:tc>
          <w:tcPr>
            <w:tcW w:w="80" w:type="dxa"/>
            <w:vAlign w:val="bottom"/>
          </w:tcPr>
          <w:p>
            <w:pPr>
              <w:spacing w:after="0"/>
              <w:rPr>
                <w:sz w:val="19"/>
                <w:szCs w:val="19"/>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June 30,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22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859</w:t>
            </w:r>
          </w:p>
        </w:tc>
        <w:tc>
          <w:tcPr>
            <w:tcW w:w="5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(Gains) on sales of assets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from changes in:</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(193)</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asset sales and insurance recovery</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(775)</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redemptions and maturities of short-term investments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long-term investments</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 and sales of long-term investments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Business acquisitions:</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(898)</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(225)</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(4,267)</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Business acquisitions, net of cash acquired</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(5,390)</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(4,696)</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issuance of debt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costs for long-term debt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(148)</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(450)</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636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(2,920)</w:t>
            </w: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4,501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5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periods’ financial statements have been reclassified to conform to the current presentation.</w:t>
      </w:r>
    </w:p>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 and</w:t>
      </w: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238"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and of TI’s Form 10-Q for the quarter ended June 30, 2011.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9"/>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Ÿ"/>
      <w:numFmt w:val="bullet"/>
      <w:start w:val="1"/>
    </w:lvl>
  </w:abstractNum>
  <w:abstractNum w:abstractNumId="5">
    <w:nsid w:val="5BD062C2"/>
    <w:multiLevelType w:val="hybridMultilevel"/>
    <w:lvl w:ilvl="0">
      <w:lvlJc w:val="left"/>
      <w:lvlText w:val="Ÿ"/>
      <w:numFmt w:val="bullet"/>
      <w:start w:val="1"/>
    </w:lvl>
  </w:abstractNum>
  <w:abstractNum w:abstractNumId="6">
    <w:nsid w:val="12200854"/>
    <w:multiLevelType w:val="hybridMultilevel"/>
    <w:lvl w:ilvl="0">
      <w:lvlJc w:val="left"/>
      <w:lvlText w:val="Ÿ"/>
      <w:numFmt w:val="bullet"/>
      <w:start w:val="1"/>
    </w:lvl>
  </w:abstractNum>
  <w:abstractNum w:abstractNumId="7">
    <w:nsid w:val="4DB127F8"/>
    <w:multiLevelType w:val="hybridMultilevel"/>
    <w:lvl w:ilvl="0">
      <w:lvlJc w:val="left"/>
      <w:lvlText w:val="Ÿ"/>
      <w:numFmt w:val="bullet"/>
      <w:start w:val="1"/>
    </w:lvl>
  </w:abstractNum>
  <w:abstractNum w:abstractNumId="8">
    <w:nsid w:val="216231B"/>
    <w:multiLevelType w:val="hybridMultilevel"/>
    <w:lvl w:ilvl="0">
      <w:lvlJc w:val="left"/>
      <w:lvlText w:val="Ÿ"/>
      <w:numFmt w:val="bullet"/>
      <w:start w:val="1"/>
    </w:lvl>
  </w:abstractNum>
  <w:abstractNum w:abstractNumId="9">
    <w:nsid w:val="1F16E9E8"/>
    <w:multiLevelType w:val="hybridMultilevel"/>
    <w:lvl w:ilvl="0">
      <w:lvlJc w:val="left"/>
      <w:lvlText w:val="Ÿ"/>
      <w:numFmt w:val="bullet"/>
      <w:start w:val="1"/>
    </w:lvl>
  </w:abstractNum>
  <w:abstractNum w:abstractNumId="10">
    <w:nsid w:val="1190CDE7"/>
    <w:multiLevelType w:val="hybridMultilevel"/>
    <w:lvl w:ilvl="0">
      <w:lvlJc w:val="left"/>
      <w:lvlText w:val="Ÿ"/>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2019-12-10T03:54:43Z</dcterms:created>
  <dcterms:modified xsi:type="dcterms:W3CDTF">2019-12-10T03:54:43Z</dcterms:modified>
</cp:coreProperties>
</file>