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Arial;sans-serif" w:hAnsi="Arial;sans-serif"/>
          <w:b/>
          <w:color w:val="000000"/>
          <w:sz w:val="36"/>
        </w:rPr>
        <w:t>FORM 8-K</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DATE OF REPORT (DATE OF EARLIEST EVENT REPORTED): April 23, 2024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48"/>
        </w:rPr>
      </w:pPr>
      <w:r>
        <w:rPr>
          <w:rFonts w:ascii="Arial;sans-serif" w:hAnsi="Arial;sans-serif"/>
          <w:b/>
          <w:color w:val="000000"/>
          <w:sz w:val="48"/>
        </w:rPr>
        <w:t>TEXAS INSTRUMENTS INCORPORATED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590" w:type="dxa"/>
        <w:jc w:val="left"/>
        <w:tblInd w:w="0" w:type="dxa"/>
        <w:tblLayout w:type="fixed"/>
        <w:tblCellMar>
          <w:top w:w="28" w:type="dxa"/>
          <w:left w:w="28" w:type="dxa"/>
          <w:bottom w:w="28" w:type="dxa"/>
          <w:right w:w="28" w:type="dxa"/>
        </w:tblCellMar>
      </w:tblPr>
      <w:tblGrid>
        <w:gridCol w:w="797"/>
        <w:gridCol w:w="701"/>
        <w:gridCol w:w="707"/>
        <w:gridCol w:w="109"/>
        <w:gridCol w:w="109"/>
        <w:gridCol w:w="109"/>
        <w:gridCol w:w="389"/>
        <w:gridCol w:w="389"/>
        <w:gridCol w:w="393"/>
        <w:gridCol w:w="109"/>
        <w:gridCol w:w="109"/>
        <w:gridCol w:w="109"/>
        <w:gridCol w:w="456"/>
        <w:gridCol w:w="456"/>
        <w:gridCol w:w="648"/>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001-03761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75-0289970</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12500 TI Boulevard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Dallas, Texas 75243</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w: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Registrant’s telephone number, including area code: (214) 479-3773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Check the appropriate box below if the Form 8-K is intended to simultaneously satisfy the filing obligation of the registrant under any of the following provisions:</w:t>
      </w:r>
    </w:p>
    <w:tbl>
      <w:tblPr>
        <w:tblW w:w="8202" w:type="dxa"/>
        <w:jc w:val="left"/>
        <w:tblInd w:w="0" w:type="dxa"/>
        <w:tblLayout w:type="fixed"/>
        <w:tblCellMar>
          <w:top w:w="28" w:type="dxa"/>
          <w:left w:w="28" w:type="dxa"/>
          <w:bottom w:w="28" w:type="dxa"/>
          <w:right w:w="28" w:type="dxa"/>
        </w:tblCellMar>
      </w:tblPr>
      <w:tblGrid>
        <w:gridCol w:w="124"/>
        <w:gridCol w:w="109"/>
        <w:gridCol w:w="109"/>
        <w:gridCol w:w="2299"/>
        <w:gridCol w:w="2299"/>
        <w:gridCol w:w="32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Written communications pursuant to Rule 425 under the Securities Act (17 CFR 230.425)</w:t>
            </w:r>
          </w:p>
        </w:tc>
      </w:tr>
    </w:tbl>
    <w:tbl>
      <w:tblPr>
        <w:tblW w:w="8186" w:type="dxa"/>
        <w:jc w:val="left"/>
        <w:tblInd w:w="0" w:type="dxa"/>
        <w:tblLayout w:type="fixed"/>
        <w:tblCellMar>
          <w:top w:w="28" w:type="dxa"/>
          <w:left w:w="28" w:type="dxa"/>
          <w:bottom w:w="28" w:type="dxa"/>
          <w:right w:w="28" w:type="dxa"/>
        </w:tblCellMar>
      </w:tblPr>
      <w:tblGrid>
        <w:gridCol w:w="124"/>
        <w:gridCol w:w="109"/>
        <w:gridCol w:w="109"/>
        <w:gridCol w:w="2297"/>
        <w:gridCol w:w="2297"/>
        <w:gridCol w:w="3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Soliciting material pursuant to Rule 14a-12 under the Exchange Act (17 CFR 240.14a-12)</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3"/>
        <w:gridCol w:w="2863"/>
        <w:gridCol w:w="4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Pre-commencement communications pursuant to Rule 14d-2(b) under the Exchange Act (17 CFR 240.14d-2(b))</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3"/>
        <w:gridCol w:w="2863"/>
        <w:gridCol w:w="4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Pre-commencement communications pursuant to Rule 13e-4(c) under the Exchange Act (17 CFR 240.13e-4(c))</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9036" w:type="dxa"/>
        <w:jc w:val="left"/>
        <w:tblInd w:w="0" w:type="dxa"/>
        <w:tblLayout w:type="fixed"/>
        <w:tblCellMar>
          <w:top w:w="28" w:type="dxa"/>
          <w:left w:w="28" w:type="dxa"/>
          <w:bottom w:w="28" w:type="dxa"/>
          <w:right w:w="28" w:type="dxa"/>
        </w:tblCellMar>
      </w:tblPr>
      <w:tblGrid>
        <w:gridCol w:w="1110"/>
        <w:gridCol w:w="977"/>
        <w:gridCol w:w="987"/>
        <w:gridCol w:w="109"/>
        <w:gridCol w:w="109"/>
        <w:gridCol w:w="109"/>
        <w:gridCol w:w="349"/>
        <w:gridCol w:w="349"/>
        <w:gridCol w:w="351"/>
        <w:gridCol w:w="109"/>
        <w:gridCol w:w="109"/>
        <w:gridCol w:w="109"/>
        <w:gridCol w:w="1245"/>
        <w:gridCol w:w="1245"/>
        <w:gridCol w:w="1769"/>
      </w:tblGrid>
      <w:tr>
        <w:trPr/>
        <w:tc>
          <w:tcPr>
            <w:tcW w:w="111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par value $1.00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TXN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Emerging growth company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Registrant’s news release dated April 23, 2024, regarding its first-quarter results of operations and financial condition is attached hereto as Exhibit 99.</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ITEM 9.01. Exhibits</w:t>
      </w:r>
    </w:p>
    <w:tbl>
      <w:tblPr>
        <w:tblW w:w="8263"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2030"/>
        <w:gridCol w:w="2030"/>
        <w:gridCol w:w="2900"/>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Designation</w:t>
              <w:br/>
              <w:t>of Exhibit</w:t>
              <w:br/>
              <w:t>in this</w:t>
              <w:br/>
              <w:t>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Description of Exhibit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4txnex99-er1.htm">
              <w:r>
                <w:rPr>
                  <w:rStyle w:val="InternetLink"/>
                  <w:rFonts w:ascii="Arial;sans-serif" w:hAnsi="Arial;sans-serif"/>
                  <w:b w:val="false"/>
                  <w:color w:val="0000FF"/>
                  <w:sz w:val="20"/>
                  <w:u w:val="single"/>
                </w:rPr>
                <w:t>Registrant’s News Release</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Dated April 23, 2024 (furnished pursuant to Item 2.02)</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057" w:type="dxa"/>
        <w:jc w:val="left"/>
        <w:tblInd w:w="0" w:type="dxa"/>
        <w:tblLayout w:type="fixed"/>
        <w:tblCellMar>
          <w:top w:w="28" w:type="dxa"/>
          <w:left w:w="28" w:type="dxa"/>
          <w:bottom w:w="28" w:type="dxa"/>
          <w:right w:w="28" w:type="dxa"/>
        </w:tblCellMar>
      </w:tblPr>
      <w:tblGrid>
        <w:gridCol w:w="667"/>
        <w:gridCol w:w="585"/>
        <w:gridCol w:w="592"/>
        <w:gridCol w:w="109"/>
        <w:gridCol w:w="109"/>
        <w:gridCol w:w="109"/>
        <w:gridCol w:w="412"/>
        <w:gridCol w:w="412"/>
        <w:gridCol w:w="412"/>
        <w:gridCol w:w="412"/>
        <w:gridCol w:w="412"/>
        <w:gridCol w:w="412"/>
        <w:gridCol w:w="699"/>
        <w:gridCol w:w="699"/>
        <w:gridCol w:w="1016"/>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TEXAS INSTRUMENTS INCORPORATED</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April 23,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Rafael R. Lizardi</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Rafael R. Lizardi</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TI reports first quarter 2024 financial results and shareholder returns</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Conference call on TI website at 3:30 p.m. Central time today</w:t>
      </w:r>
    </w:p>
    <w:p>
      <w:pPr>
        <w:pStyle w:val="TextBody"/>
        <w:bidi w:val="0"/>
        <w:spacing w:lineRule="auto" w:line="288" w:before="240" w:after="283"/>
        <w:jc w:val="center"/>
        <w:rPr>
          <w:rFonts w:ascii="Arial;sans-serif" w:hAnsi="Arial;sans-serif"/>
          <w:b w:val="false"/>
          <w:color w:val="3A3AFF"/>
          <w:sz w:val="20"/>
          <w:u w:val="single"/>
        </w:rPr>
      </w:pPr>
      <w:r>
        <w:rPr>
          <w:rFonts w:ascii="Arial;sans-serif" w:hAnsi="Arial;sans-serif"/>
          <w:b w:val="false"/>
          <w:color w:val="3A3AFF"/>
          <w:sz w:val="20"/>
          <w:u w:val="single"/>
        </w:rPr>
        <w:t>www.ti.com/ir</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DALLAS (April 23, 2024) – Texas Instruments Incorporated (TI) (Nasdaq: TXN) today reported first quarter revenue of $3.66 billion, net income of $1.11 billion and earnings per share of $1.20. Earnings per share included a 10-cent benefit for items that were not in the company's original guidance.</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Regarding the company's performance and returns to shareholders, Haviv Ilan, TI's president and CEO, made the following comments:</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"Revenue decreased 16% from the same quarter a year ago and 10% sequentially, as revenue declined across all end markets.</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"Our cash flow from operations of $6.3 billion for the trailing 12 months again underscored the strength of our business model, the quality of our product portfolio and the benefit of 300mm production. Free cash flow for the same period was $940 million.</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"Over the past 12 months we invested $3.7 billion in R&amp;D and SG&amp;A, invested $5.3 billion in capital expenditures and returned $4.8 billion to owners.</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"TI's second quarter outlook is for revenue in the range of $3.65 billion to $3.95 billion and earnings per share between $1.05 and $1.25. We continue to expect our effective tax rate to be about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8450"/>
                <wp:effectExtent l="0" t="0" r="0" b="0"/>
                <wp:wrapNone/>
                <wp:docPr id="4" name="Frame4"/>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right"/>
                              <w:rPr>
                                <w:rFonts w:ascii="Arial;sans-serif" w:hAnsi="Arial;sans-serif"/>
                                <w:b w:val="false"/>
                                <w:color w:val="000000"/>
                                <w:sz w:val="20"/>
                              </w:rPr>
                            </w:pPr>
                            <w:r>
                              <w:rPr>
                                <w:rFonts w:ascii="Arial;sans-serif" w:hAnsi="Arial;sans-serif"/>
                                <w:b w:val="false"/>
                                <w:color w:val="000000"/>
                                <w:sz w:val="20"/>
                              </w:rPr>
                              <w:t>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Arial;sans-serif" w:hAnsi="Arial;sans-serif"/>
                          <w:b w:val="false"/>
                          <w:color w:val="000000"/>
                          <w:sz w:val="20"/>
                        </w:rPr>
                      </w:pPr>
                      <w:r>
                        <w:rPr>
                          <w:rFonts w:ascii="Arial;sans-serif" w:hAnsi="Arial;sans-serif"/>
                          <w:b w:val="false"/>
                          <w:color w:val="000000"/>
                          <w:sz w:val="20"/>
                        </w:rPr>
                        <w:t>1    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Free cash flow, a non-GAAP financial measure, is cash flow from operations less capital expenditures.</w:t>
      </w:r>
    </w:p>
    <w:p>
      <w:pPr>
        <w:pStyle w:val="TextBody"/>
        <w:bidi w:val="0"/>
        <w:spacing w:lineRule="auto" w:line="288" w:before="360" w:after="283"/>
        <w:jc w:val="left"/>
        <w:rPr>
          <w:rFonts w:ascii="Arial;sans-serif" w:hAnsi="Arial;sans-serif"/>
          <w:b/>
          <w:color w:val="000000"/>
          <w:sz w:val="20"/>
          <w:u w:val="single"/>
        </w:rPr>
      </w:pPr>
      <w:r>
        <w:rPr>
          <w:rFonts w:ascii="Arial;sans-serif" w:hAnsi="Arial;sans-serif"/>
          <w:b/>
          <w:color w:val="000000"/>
          <w:sz w:val="20"/>
          <w:u w:val="single"/>
        </w:rPr>
        <w:t>Earnings summary</w:t>
      </w:r>
    </w:p>
    <w:tbl>
      <w:tblPr>
        <w:tblW w:w="7020" w:type="dxa"/>
        <w:jc w:val="left"/>
        <w:tblInd w:w="0" w:type="dxa"/>
        <w:tblLayout w:type="fixed"/>
        <w:tblCellMar>
          <w:top w:w="28" w:type="dxa"/>
          <w:left w:w="28" w:type="dxa"/>
          <w:bottom w:w="28" w:type="dxa"/>
          <w:right w:w="28" w:type="dxa"/>
        </w:tblCellMar>
      </w:tblPr>
      <w:tblGrid>
        <w:gridCol w:w="1270"/>
        <w:gridCol w:w="1116"/>
        <w:gridCol w:w="1123"/>
        <w:gridCol w:w="211"/>
        <w:gridCol w:w="646"/>
        <w:gridCol w:w="109"/>
        <w:gridCol w:w="109"/>
        <w:gridCol w:w="109"/>
        <w:gridCol w:w="109"/>
        <w:gridCol w:w="211"/>
        <w:gridCol w:w="646"/>
        <w:gridCol w:w="109"/>
        <w:gridCol w:w="109"/>
        <w:gridCol w:w="109"/>
        <w:gridCol w:w="109"/>
        <w:gridCol w:w="218"/>
        <w:gridCol w:w="218"/>
        <w:gridCol w:w="489"/>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 except per-share amounts)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r>
      <w:tr>
        <w:trPr/>
        <w:tc>
          <w:tcPr>
            <w:tcW w:w="3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4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4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360" w:after="283"/>
        <w:jc w:val="left"/>
        <w:rPr>
          <w:rFonts w:ascii="Arial;sans-serif" w:hAnsi="Arial;sans-serif"/>
          <w:b/>
          <w:color w:val="000000"/>
          <w:sz w:val="20"/>
          <w:u w:val="single"/>
        </w:rPr>
      </w:pPr>
      <w:r>
        <w:rPr>
          <w:rFonts w:ascii="Arial;sans-serif" w:hAnsi="Arial;sans-serif"/>
          <w:b/>
          <w:color w:val="000000"/>
          <w:sz w:val="20"/>
          <w:u w:val="single"/>
        </w:rPr>
        <w:t>Cash generation</w:t>
      </w:r>
    </w:p>
    <w:tbl>
      <w:tblPr>
        <w:tblW w:w="7767" w:type="dxa"/>
        <w:jc w:val="left"/>
        <w:tblInd w:w="0" w:type="dxa"/>
        <w:tblLayout w:type="fixed"/>
        <w:tblCellMar>
          <w:top w:w="28" w:type="dxa"/>
          <w:left w:w="28" w:type="dxa"/>
          <w:bottom w:w="28" w:type="dxa"/>
          <w:right w:w="28" w:type="dxa"/>
        </w:tblCellMar>
      </w:tblPr>
      <w:tblGrid>
        <w:gridCol w:w="946"/>
        <w:gridCol w:w="828"/>
        <w:gridCol w:w="835"/>
        <w:gridCol w:w="211"/>
        <w:gridCol w:w="646"/>
        <w:gridCol w:w="109"/>
        <w:gridCol w:w="109"/>
        <w:gridCol w:w="109"/>
        <w:gridCol w:w="109"/>
        <w:gridCol w:w="211"/>
        <w:gridCol w:w="646"/>
        <w:gridCol w:w="286"/>
        <w:gridCol w:w="109"/>
        <w:gridCol w:w="109"/>
        <w:gridCol w:w="109"/>
        <w:gridCol w:w="211"/>
        <w:gridCol w:w="646"/>
        <w:gridCol w:w="286"/>
        <w:gridCol w:w="109"/>
        <w:gridCol w:w="109"/>
        <w:gridCol w:w="109"/>
        <w:gridCol w:w="218"/>
        <w:gridCol w:w="218"/>
        <w:gridCol w:w="489"/>
      </w:tblGrid>
      <w:tr>
        <w:trPr/>
        <w:tc>
          <w:tcPr>
            <w:tcW w:w="9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Trailing 12 Months</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r>
      <w:tr>
        <w:trPr/>
        <w:tc>
          <w:tcPr>
            <w:tcW w:w="26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from operations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6,277 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7,736 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4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4,400 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4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 of revenue</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360" w:after="283"/>
        <w:jc w:val="left"/>
        <w:rPr>
          <w:rFonts w:ascii="Arial;sans-serif" w:hAnsi="Arial;sans-serif"/>
          <w:b/>
          <w:color w:val="000000"/>
          <w:sz w:val="20"/>
          <w:u w:val="single"/>
        </w:rPr>
      </w:pPr>
      <w:r>
        <w:rPr>
          <w:rFonts w:ascii="Arial;sans-serif" w:hAnsi="Arial;sans-serif"/>
          <w:b/>
          <w:color w:val="000000"/>
          <w:sz w:val="20"/>
          <w:u w:val="single"/>
        </w:rPr>
        <w:t>Cash return</w:t>
      </w:r>
    </w:p>
    <w:tbl>
      <w:tblPr>
        <w:tblW w:w="6604" w:type="dxa"/>
        <w:jc w:val="left"/>
        <w:tblInd w:w="0" w:type="dxa"/>
        <w:tblLayout w:type="fixed"/>
        <w:tblCellMar>
          <w:top w:w="28" w:type="dxa"/>
          <w:left w:w="28" w:type="dxa"/>
          <w:bottom w:w="28" w:type="dxa"/>
          <w:right w:w="28" w:type="dxa"/>
        </w:tblCellMar>
      </w:tblPr>
      <w:tblGrid>
        <w:gridCol w:w="654"/>
        <w:gridCol w:w="570"/>
        <w:gridCol w:w="576"/>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8"/>
        <w:gridCol w:w="218"/>
        <w:gridCol w:w="489"/>
      </w:tblGrid>
      <w:tr>
        <w:trPr/>
        <w:tc>
          <w:tcPr>
            <w:tcW w:w="65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Trailing 12 Months</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r>
      <w:tr>
        <w:trPr/>
        <w:tc>
          <w:tcPr>
            <w:tcW w:w="18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returned</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4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8450"/>
                <wp:effectExtent l="0" t="0" r="0" b="0"/>
                <wp:wrapNone/>
                <wp:docPr id="5" name="Frame5"/>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right"/>
                              <w:rPr>
                                <w:rFonts w:ascii="Arial;sans-serif" w:hAnsi="Arial;sans-serif"/>
                                <w:b w:val="false"/>
                                <w:color w:val="000000"/>
                                <w:sz w:val="20"/>
                              </w:rPr>
                            </w:pPr>
                            <w:r>
                              <w:rPr>
                                <w:rFonts w:ascii="Arial;sans-serif" w:hAnsi="Arial;sans-serif"/>
                                <w:b w:val="false"/>
                                <w:color w:val="000000"/>
                                <w:sz w:val="20"/>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Arial;sans-serif" w:hAnsi="Arial;sans-serif"/>
                          <w:b w:val="false"/>
                          <w:color w:val="000000"/>
                          <w:sz w:val="20"/>
                        </w:rPr>
                      </w:pPr>
                      <w:r>
                        <w:rPr>
                          <w:rFonts w:ascii="Arial;sans-serif" w:hAnsi="Arial;sans-serif"/>
                          <w:b w:val="false"/>
                          <w:color w:val="000000"/>
                          <w:sz w:val="20"/>
                        </w:rPr>
                        <w:t>2    </w:t>
                      </w:r>
                    </w:p>
                  </w:txbxContent>
                </v:textbox>
                <w10:wrap type="none"/>
              </v:rect>
            </w:pict>
          </mc:Fallback>
        </mc:AlternateConten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TEXAS INSTRUMENTS INCORPORATED AND SUBSIDIARIES</w:t>
      </w:r>
    </w:p>
    <w:tbl>
      <w:tblPr>
        <w:tblW w:w="10205" w:type="dxa"/>
        <w:jc w:val="center"/>
        <w:tblInd w:w="0" w:type="dxa"/>
        <w:tblLayout w:type="fixed"/>
        <w:tblCellMar>
          <w:top w:w="28" w:type="dxa"/>
          <w:left w:w="28" w:type="dxa"/>
          <w:bottom w:w="28" w:type="dxa"/>
          <w:right w:w="28" w:type="dxa"/>
        </w:tblCellMar>
      </w:tblPr>
      <w:tblGrid>
        <w:gridCol w:w="2380"/>
        <w:gridCol w:w="2092"/>
        <w:gridCol w:w="2104"/>
        <w:gridCol w:w="144"/>
        <w:gridCol w:w="144"/>
        <w:gridCol w:w="144"/>
        <w:gridCol w:w="292"/>
        <w:gridCol w:w="897"/>
        <w:gridCol w:w="150"/>
        <w:gridCol w:w="150"/>
        <w:gridCol w:w="150"/>
        <w:gridCol w:w="150"/>
        <w:gridCol w:w="292"/>
        <w:gridCol w:w="897"/>
        <w:gridCol w:w="219"/>
      </w:tblGrid>
      <w:tr>
        <w:trPr/>
        <w:tc>
          <w:tcPr>
            <w:tcW w:w="2380"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Statements of Income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Three Months Ended</w:t>
              <w:br/>
              <w:t>March 31,</w:t>
            </w:r>
          </w:p>
        </w:tc>
      </w:tr>
      <w:tr>
        <w:trPr/>
        <w:tc>
          <w:tcPr>
            <w:tcW w:w="6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 millions, except per-share amounts)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3,661</w:t>
            </w:r>
            <w:r>
              <w:rPr>
                <w:color w:val="000000"/>
              </w:rPr>
              <w:t>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4,379 </w:t>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(COR)</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1,566</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2,095</w:t>
            </w:r>
            <w:r>
              <w:rPr>
                <w:color w:val="000000"/>
              </w:rPr>
              <w:t>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2,863 </w:t>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(R&amp;D)</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478</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(SG&amp;A)</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455</w:t>
            </w: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charges/other</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1,286</w:t>
            </w:r>
            <w:r>
              <w:rPr>
                <w:color w:val="000000"/>
              </w:rPr>
              <w:t>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1,934 </w:t>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 (OI&amp;E)</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debt expense</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w:t>
            </w: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1,293</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188</w:t>
            </w: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1,105</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common share</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shares outstanding:</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910</w:t>
            </w: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917</w:t>
            </w:r>
            <w:r>
              <w:rPr>
                <w:color w:val="000000"/>
              </w:rPr>
              <w:t>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916 </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declared per common share</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Supplemental Information</w:t>
              <w:br/>
              <w:t>(Quarterly, except as noted)</w:t>
            </w:r>
          </w:p>
        </w:tc>
      </w:tr>
      <w:tr>
        <w:trPr/>
        <w:tc>
          <w:tcPr>
            <w:tcW w:w="6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3629" w:type="dxa"/>
            <w:gridSpan w:val="12"/>
            <w:tcBorders/>
          </w:tcPr>
          <w:p>
            <w:pPr>
              <w:pStyle w:val="TableContents"/>
              <w:bidi w:val="0"/>
              <w:spacing w:before="0" w:after="283"/>
              <w:jc w:val="left"/>
              <w:rPr>
                <w:sz w:val="4"/>
                <w:szCs w:val="4"/>
              </w:rPr>
            </w:pPr>
            <w:r>
              <w:rPr>
                <w:sz w:val="4"/>
                <w:szCs w:val="4"/>
              </w:rPr>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1858" w:type="dxa"/>
            <w:gridSpan w:val="6"/>
            <w:tcBorders/>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 is based on the following:</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taxes (calculated using the estimated annual effective tax rate)</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176</w:t>
            </w: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Discrete tax items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 (effective taxes)</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188</w:t>
            </w:r>
            <w:r>
              <w:rPr>
                <w:color w:val="000000"/>
              </w:rPr>
              <w:t>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portion of net income is allocated to unvested restricted stock units (RSUs) on which we pay dividend equivalents. Diluted EPS is calculated using the following:</w:t>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1,105</w:t>
            </w: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RSUs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common stock for diluted EPS</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1,100</w:t>
            </w:r>
            <w:r>
              <w:rPr>
                <w:color w:val="000000"/>
              </w:rPr>
              <w:t> </w:t>
            </w:r>
          </w:p>
        </w:tc>
        <w:tc>
          <w:tcPr>
            <w:tcW w:w="1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1,699 </w:t>
            </w:r>
          </w:p>
        </w:tc>
        <w:tc>
          <w:tcPr>
            <w:tcW w:w="2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8450"/>
                <wp:effectExtent l="0" t="0" r="0" b="0"/>
                <wp:wrapNone/>
                <wp:docPr id="6" name="Frame6"/>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right"/>
                              <w:rPr>
                                <w:rFonts w:ascii="Arial;sans-serif" w:hAnsi="Arial;sans-serif"/>
                                <w:b w:val="false"/>
                                <w:color w:val="000000"/>
                                <w:sz w:val="20"/>
                              </w:rPr>
                            </w:pPr>
                            <w:r>
                              <w:rPr>
                                <w:rFonts w:ascii="Arial;sans-serif" w:hAnsi="Arial;sans-serif"/>
                                <w:b w:val="false"/>
                                <w:color w:val="000000"/>
                                <w:sz w:val="20"/>
                              </w:rPr>
                              <w:t>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Arial;sans-serif" w:hAnsi="Arial;sans-serif"/>
                          <w:b w:val="false"/>
                          <w:color w:val="000000"/>
                          <w:sz w:val="20"/>
                        </w:rPr>
                      </w:pPr>
                      <w:r>
                        <w:rPr>
                          <w:rFonts w:ascii="Arial;sans-serif" w:hAnsi="Arial;sans-serif"/>
                          <w:b w:val="false"/>
                          <w:color w:val="000000"/>
                          <w:sz w:val="20"/>
                        </w:rPr>
                        <w:t>3    </w:t>
                      </w:r>
                    </w:p>
                  </w:txbxContent>
                </v:textbox>
                <w10:wrap type="none"/>
              </v:rect>
            </w:pict>
          </mc:Fallback>
        </mc:AlternateConten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TEXAS INSTRUMENTS INCORPORATED AND SUBSIDIARIES</w:t>
      </w:r>
    </w:p>
    <w:tbl>
      <w:tblPr>
        <w:tblW w:w="9905" w:type="dxa"/>
        <w:jc w:val="center"/>
        <w:tblInd w:w="0" w:type="dxa"/>
        <w:tblLayout w:type="fixed"/>
        <w:tblCellMar>
          <w:top w:w="28" w:type="dxa"/>
          <w:left w:w="28" w:type="dxa"/>
          <w:bottom w:w="28" w:type="dxa"/>
          <w:right w:w="28" w:type="dxa"/>
        </w:tblCellMar>
      </w:tblPr>
      <w:tblGrid>
        <w:gridCol w:w="2558"/>
        <w:gridCol w:w="2247"/>
        <w:gridCol w:w="2259"/>
        <w:gridCol w:w="109"/>
        <w:gridCol w:w="109"/>
        <w:gridCol w:w="109"/>
        <w:gridCol w:w="211"/>
        <w:gridCol w:w="751"/>
        <w:gridCol w:w="109"/>
        <w:gridCol w:w="109"/>
        <w:gridCol w:w="109"/>
        <w:gridCol w:w="109"/>
        <w:gridCol w:w="211"/>
        <w:gridCol w:w="751"/>
        <w:gridCol w:w="154"/>
      </w:tblGrid>
      <w:tr>
        <w:trPr/>
        <w:tc>
          <w:tcPr>
            <w:tcW w:w="2558"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r>
      <w:tr>
        <w:trPr/>
        <w:tc>
          <w:tcPr>
            <w:tcW w:w="7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 millions, except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2,483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Accounts receivable, net of allowances of ($20) and ($13)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4,083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17,448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15,023 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depreciation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(3,297)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4,362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licenses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Overfunded 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1,412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34,885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3,553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Underfunded retirement plans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$25 par value. Shares authorized – 10; none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$1 par value. Shares authorized – 2,400; shares issued – 1,741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52,199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50,930 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common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March 31, 2024 – 831; March 31, 2023 – 833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(40,193)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(40,192)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 net of taxes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16,983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34,885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8450"/>
                <wp:effectExtent l="0" t="0" r="0" b="0"/>
                <wp:wrapNone/>
                <wp:docPr id="7" name="Frame7"/>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right"/>
                              <w:rPr>
                                <w:rFonts w:ascii="Arial;sans-serif" w:hAnsi="Arial;sans-serif"/>
                                <w:b w:val="false"/>
                                <w:color w:val="000000"/>
                                <w:sz w:val="20"/>
                              </w:rPr>
                            </w:pPr>
                            <w:r>
                              <w:rPr>
                                <w:rFonts w:ascii="Arial;sans-serif" w:hAnsi="Arial;sans-serif"/>
                                <w:b w:val="false"/>
                                <w:color w:val="000000"/>
                                <w:sz w:val="20"/>
                              </w:rPr>
                              <w:t>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Arial;sans-serif" w:hAnsi="Arial;sans-serif"/>
                          <w:b w:val="false"/>
                          <w:color w:val="000000"/>
                          <w:sz w:val="20"/>
                        </w:rPr>
                      </w:pPr>
                      <w:r>
                        <w:rPr>
                          <w:rFonts w:ascii="Arial;sans-serif" w:hAnsi="Arial;sans-serif"/>
                          <w:b w:val="false"/>
                          <w:color w:val="000000"/>
                          <w:sz w:val="20"/>
                        </w:rPr>
                        <w:t>4    </w:t>
                      </w:r>
                    </w:p>
                  </w:txbxContent>
                </v:textbox>
                <w10:wrap type="none"/>
              </v:rect>
            </w:pict>
          </mc:Fallback>
        </mc:AlternateConten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TEXAS INSTRUMENTS INCORPORATED AND SUBSIDIARIES</w:t>
      </w:r>
    </w:p>
    <w:tbl>
      <w:tblPr>
        <w:tblW w:w="7180" w:type="dxa"/>
        <w:jc w:val="center"/>
        <w:tblInd w:w="0" w:type="dxa"/>
        <w:tblLayout w:type="fixed"/>
        <w:tblCellMar>
          <w:top w:w="28" w:type="dxa"/>
          <w:left w:w="28" w:type="dxa"/>
          <w:bottom w:w="28" w:type="dxa"/>
          <w:right w:w="28" w:type="dxa"/>
        </w:tblCellMar>
      </w:tblPr>
      <w:tblGrid>
        <w:gridCol w:w="1591"/>
        <w:gridCol w:w="1398"/>
        <w:gridCol w:w="1406"/>
        <w:gridCol w:w="109"/>
        <w:gridCol w:w="109"/>
        <w:gridCol w:w="109"/>
        <w:gridCol w:w="225"/>
        <w:gridCol w:w="690"/>
        <w:gridCol w:w="116"/>
        <w:gridCol w:w="116"/>
        <w:gridCol w:w="116"/>
        <w:gridCol w:w="116"/>
        <w:gridCol w:w="225"/>
        <w:gridCol w:w="690"/>
        <w:gridCol w:w="164"/>
      </w:tblGrid>
      <w:tr>
        <w:trPr/>
        <w:tc>
          <w:tcPr>
            <w:tcW w:w="1591"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Statements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Three Months Ended</w:t>
              <w:br/>
              <w:t>March 31,</w:t>
            </w:r>
          </w:p>
        </w:tc>
      </w:tr>
      <w:tr>
        <w:trPr/>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346</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capitalized software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on sales of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(129)</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from changes in: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(84)</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(77)</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funded status of 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(72)</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(1,248)</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asset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(4,864)</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(3,013)</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(3,329)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long-term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2,980</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(1,183)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common stock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1,831</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2,964</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3,050 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2,483</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8450"/>
                <wp:effectExtent l="0" t="0" r="0" b="0"/>
                <wp:wrapNone/>
                <wp:docPr id="8" name="Frame8"/>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right"/>
                              <w:rPr>
                                <w:rFonts w:ascii="Arial;sans-serif" w:hAnsi="Arial;sans-serif"/>
                                <w:b w:val="false"/>
                                <w:color w:val="000000"/>
                                <w:sz w:val="20"/>
                              </w:rPr>
                            </w:pPr>
                            <w:r>
                              <w:rPr>
                                <w:rFonts w:ascii="Arial;sans-serif" w:hAnsi="Arial;sans-serif"/>
                                <w:b w:val="false"/>
                                <w:color w:val="000000"/>
                                <w:sz w:val="20"/>
                              </w:rPr>
                              <w:t>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Arial;sans-serif" w:hAnsi="Arial;sans-serif"/>
                          <w:b w:val="false"/>
                          <w:color w:val="000000"/>
                          <w:sz w:val="20"/>
                        </w:rPr>
                      </w:pPr>
                      <w:r>
                        <w:rPr>
                          <w:rFonts w:ascii="Arial;sans-serif" w:hAnsi="Arial;sans-serif"/>
                          <w:b w:val="false"/>
                          <w:color w:val="000000"/>
                          <w:sz w:val="20"/>
                        </w:rPr>
                        <w:t>5    </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Segment results</w:t>
      </w:r>
    </w:p>
    <w:tbl>
      <w:tblPr>
        <w:tblW w:w="5655" w:type="dxa"/>
        <w:jc w:val="left"/>
        <w:tblInd w:w="0" w:type="dxa"/>
        <w:tblLayout w:type="fixed"/>
        <w:tblCellMar>
          <w:top w:w="28" w:type="dxa"/>
          <w:left w:w="28" w:type="dxa"/>
          <w:bottom w:w="28" w:type="dxa"/>
          <w:right w:w="28" w:type="dxa"/>
        </w:tblCellMar>
      </w:tblPr>
      <w:tblGrid>
        <w:gridCol w:w="778"/>
        <w:gridCol w:w="681"/>
        <w:gridCol w:w="685"/>
        <w:gridCol w:w="211"/>
        <w:gridCol w:w="646"/>
        <w:gridCol w:w="109"/>
        <w:gridCol w:w="109"/>
        <w:gridCol w:w="109"/>
        <w:gridCol w:w="109"/>
        <w:gridCol w:w="211"/>
        <w:gridCol w:w="646"/>
        <w:gridCol w:w="109"/>
        <w:gridCol w:w="109"/>
        <w:gridCol w:w="109"/>
        <w:gridCol w:w="109"/>
        <w:gridCol w:w="218"/>
        <w:gridCol w:w="218"/>
        <w:gridCol w:w="489"/>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r>
      <w:tr>
        <w:trPr/>
        <w:tc>
          <w:tcPr>
            <w:tcW w:w="2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Analog:</w:t>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4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Embedded Processing:</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4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4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Includes restructuring charges/other.</w:t>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8450"/>
                <wp:effectExtent l="0" t="0" r="0" b="0"/>
                <wp:wrapNone/>
                <wp:docPr id="9" name="Frame9"/>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right"/>
                              <w:rPr>
                                <w:rFonts w:ascii="Arial;sans-serif" w:hAnsi="Arial;sans-serif"/>
                                <w:b w:val="false"/>
                                <w:color w:val="000000"/>
                                <w:sz w:val="20"/>
                              </w:rPr>
                            </w:pPr>
                            <w:r>
                              <w:rPr>
                                <w:rFonts w:ascii="Arial;sans-serif" w:hAnsi="Arial;sans-serif"/>
                                <w:b w:val="false"/>
                                <w:color w:val="000000"/>
                                <w:sz w:val="20"/>
                              </w:rPr>
                              <w:t>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Arial;sans-serif" w:hAnsi="Arial;sans-serif"/>
                          <w:b w:val="false"/>
                          <w:color w:val="000000"/>
                          <w:sz w:val="20"/>
                        </w:rPr>
                      </w:pPr>
                      <w:r>
                        <w:rPr>
                          <w:rFonts w:ascii="Arial;sans-serif" w:hAnsi="Arial;sans-serif"/>
                          <w:b w:val="false"/>
                          <w:color w:val="000000"/>
                          <w:sz w:val="20"/>
                        </w:rPr>
                        <w:t>6    </w:t>
                      </w:r>
                    </w:p>
                  </w:txbxContent>
                </v:textbox>
                <w10:wrap type="none"/>
              </v:rect>
            </w:pict>
          </mc:Fallback>
        </mc:AlternateContent>
      </w:r>
    </w:p>
    <w:p>
      <w:pPr>
        <w:pStyle w:val="TextBody"/>
        <w:bidi w:val="0"/>
        <w:spacing w:lineRule="auto" w:line="288" w:before="360" w:after="283"/>
        <w:jc w:val="left"/>
        <w:rPr>
          <w:rFonts w:ascii="Arial;sans-serif" w:hAnsi="Arial;sans-serif"/>
          <w:b/>
          <w:color w:val="000000"/>
          <w:sz w:val="20"/>
          <w:u w:val="single"/>
        </w:rPr>
      </w:pPr>
      <w:r>
        <w:rPr>
          <w:rFonts w:ascii="Arial;sans-serif" w:hAnsi="Arial;sans-serif"/>
          <w:b/>
          <w:color w:val="000000"/>
          <w:sz w:val="20"/>
          <w:u w:val="single"/>
        </w:rPr>
        <w:t>Non-GAAP financial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Reconciliation to the most directly comparable GAAP measures is provided in the table below.</w:t>
      </w:r>
    </w:p>
    <w:tbl>
      <w:tblPr>
        <w:tblW w:w="9653" w:type="dxa"/>
        <w:jc w:val="left"/>
        <w:tblInd w:w="0" w:type="dxa"/>
        <w:tblLayout w:type="fixed"/>
        <w:tblCellMar>
          <w:top w:w="28" w:type="dxa"/>
          <w:left w:w="28" w:type="dxa"/>
          <w:bottom w:w="28" w:type="dxa"/>
          <w:right w:w="28" w:type="dxa"/>
        </w:tblCellMar>
      </w:tblPr>
      <w:tblGrid>
        <w:gridCol w:w="2012"/>
        <w:gridCol w:w="1761"/>
        <w:gridCol w:w="1776"/>
        <w:gridCol w:w="211"/>
        <w:gridCol w:w="751"/>
        <w:gridCol w:w="286"/>
        <w:gridCol w:w="109"/>
        <w:gridCol w:w="109"/>
        <w:gridCol w:w="109"/>
        <w:gridCol w:w="211"/>
        <w:gridCol w:w="751"/>
        <w:gridCol w:w="286"/>
        <w:gridCol w:w="109"/>
        <w:gridCol w:w="109"/>
        <w:gridCol w:w="109"/>
        <w:gridCol w:w="218"/>
        <w:gridCol w:w="218"/>
        <w:gridCol w:w="518"/>
      </w:tblGrid>
      <w:tr>
        <w:trPr/>
        <w:tc>
          <w:tcPr>
            <w:tcW w:w="2012"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12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from operations (GAAP)</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6,277</w:t>
            </w:r>
            <w:r>
              <w:rPr>
                <w:color w:val="000000"/>
              </w:rPr>
              <w:t>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7,736 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5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(5,337)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(non-GAAP)</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940</w:t>
            </w:r>
            <w:r>
              <w:rPr>
                <w:color w:val="000000"/>
              </w:rPr>
              <w:t>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4,400 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5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16,801</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19,502 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from operations as a percentage of revenue (GAAP)</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37.4</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as a percentage of revenue (non-GAAP)</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This release also includes references to operating taxes, a non-GAAP term we use to describe taxes calculated using the estimated annual effective tax rate, a GAAP measure that by definition does not include discrete tax items. We believe the term operating taxes helps to differentiate from effective taxes, which include discrete tax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8450"/>
                <wp:effectExtent l="0" t="0" r="0" b="0"/>
                <wp:wrapNone/>
                <wp:docPr id="10" name="Frame10"/>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right"/>
                              <w:rPr>
                                <w:rFonts w:ascii="Arial;sans-serif" w:hAnsi="Arial;sans-serif"/>
                                <w:b w:val="false"/>
                                <w:color w:val="000000"/>
                                <w:sz w:val="20"/>
                              </w:rPr>
                            </w:pPr>
                            <w:r>
                              <w:rPr>
                                <w:rFonts w:ascii="Arial;sans-serif" w:hAnsi="Arial;sans-serif"/>
                                <w:b w:val="false"/>
                                <w:color w:val="000000"/>
                                <w:sz w:val="20"/>
                              </w:rPr>
                              <w:t>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Arial;sans-serif" w:hAnsi="Arial;sans-serif"/>
                          <w:b w:val="false"/>
                          <w:color w:val="000000"/>
                          <w:sz w:val="20"/>
                        </w:rPr>
                      </w:pPr>
                      <w:r>
                        <w:rPr>
                          <w:rFonts w:ascii="Arial;sans-serif" w:hAnsi="Arial;sans-serif"/>
                          <w:b w:val="false"/>
                          <w:color w:val="000000"/>
                          <w:sz w:val="20"/>
                        </w:rPr>
                        <w:t>7    </w:t>
                      </w:r>
                    </w:p>
                  </w:txbxContent>
                </v:textbox>
                <w10:wrap type="none"/>
              </v:rect>
            </w:pict>
          </mc:Fallback>
        </mc:AlternateConten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Notice regarding forward-looking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We urge you to carefully consider the following important factors that could cause actual results to differ materially from the expectations of TI or our management: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Economic, social and political conditions, and natural events in the countries in which we, our customers or our suppliers operate, including global trade policies;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Market demand for semiconductors, particularly in the industrial and automotive markets, and customer demand that differs from forecasts;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compete in products and prices in an intensely competitive industry;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Evolving cybersecurity and other threats relating to our information technology systems or those of our customers, suppliers and other third parties;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successfully implement and realize opportunities from strategic, business and organizational changes, or our ability to realize our expectations regarding the amount and timing of associated restructuring charges and cost savings;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Availability and cost of key materials, utilities, manufacturing equipment, third-party manufacturing services and manufacturing technology;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recruit and retain skilled personnel and effectively manage key employee succession;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 liability, warranty or other claims relating to our products, software, manufacturing, delivery, services, design or communications, or recalls by our customers for a product containing one of our parts;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Compliance with or changes in the complex laws, rules and regulations to which we are or may become subject, or actions of enforcement authorities, that restrict our ability to operate our business or subject us to fines, penalties or other legal liability;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Financial difficulties of our distributors or semiconductor distributors' promotion of competing product lines to our detriment; or disputes with current or former distributors;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Losses or curtailments of purchases from key customers or the timing and amount of customer inventory adjustments;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maintain or improve profit margins, including our ability to utilize our manufacturing facilities at sufficient levels to cover our fixed operating costs, in an intensely competitive and cyclical industry and changing regulatory environment;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maintain and enforce a strong intellectual property portfolio and maintain freedom of operation in all jurisdictions where we conduct business; or our exposure to infringement claims;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Instability in the global credit and financial markets;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Impairments of our non-financial assets.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8450"/>
                <wp:effectExtent l="0" t="0" r="0" b="0"/>
                <wp:wrapNone/>
                <wp:docPr id="11" name="Frame11"/>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right"/>
                              <w:rPr>
                                <w:rFonts w:ascii="Arial;sans-serif" w:hAnsi="Arial;sans-serif"/>
                                <w:b w:val="false"/>
                                <w:color w:val="000000"/>
                                <w:sz w:val="20"/>
                              </w:rPr>
                            </w:pPr>
                            <w:r>
                              <w:rPr>
                                <w:rFonts w:ascii="Arial;sans-serif" w:hAnsi="Arial;sans-serif"/>
                                <w:b w:val="false"/>
                                <w:color w:val="000000"/>
                                <w:sz w:val="20"/>
                              </w:rPr>
                              <w:t>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Arial;sans-serif" w:hAnsi="Arial;sans-serif"/>
                          <w:b w:val="false"/>
                          <w:color w:val="000000"/>
                          <w:sz w:val="20"/>
                        </w:rPr>
                      </w:pPr>
                      <w:r>
                        <w:rPr>
                          <w:rFonts w:ascii="Arial;sans-serif" w:hAnsi="Arial;sans-serif"/>
                          <w:b w:val="false"/>
                          <w:color w:val="000000"/>
                          <w:sz w:val="20"/>
                        </w:rPr>
                        <w:t>8    </w:t>
                      </w:r>
                    </w:p>
                  </w:txbxContent>
                </v:textbox>
                <w10:wrap type="none"/>
              </v:rect>
            </w:pict>
          </mc:Fallback>
        </mc:AlternateConten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About Texas Instruments</w:t>
      </w:r>
    </w:p>
    <w:p>
      <w:pPr>
        <w:pStyle w:val="TextBody"/>
        <w:bidi w:val="0"/>
        <w:spacing w:lineRule="auto" w:line="288" w:before="240" w:after="283"/>
        <w:jc w:val="left"/>
        <w:rPr/>
      </w:pPr>
      <w:r>
        <w:rPr>
          <w:rFonts w:ascii="Arial;sans-serif" w:hAnsi="Arial;sans-serif"/>
          <w:b w:val="false"/>
          <w:color w:val="000000"/>
          <w:sz w:val="20"/>
        </w:rPr>
        <w:t xml:space="preserve">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w:t>
      </w:r>
      <w:r>
        <w:rPr>
          <w:rFonts w:ascii="Arial;sans-serif" w:hAnsi="Arial;sans-serif"/>
          <w:b w:val="false"/>
          <w:color w:val="3A3AFF"/>
          <w:sz w:val="20"/>
          <w:u w:val="single"/>
        </w:rPr>
        <w:t>TI.com</w:t>
      </w:r>
      <w:r>
        <w:rPr>
          <w:rFonts w:ascii="Arial;sans-serif" w:hAnsi="Arial;sans-serif"/>
          <w:b w:val="false"/>
          <w:color w:val="000000"/>
          <w:sz w:val="20"/>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2601</Words>
  <Characters>14433</Characters>
  <CharactersWithSpaces>16710</CharactersWithSpaces>
  <Paragraphs>692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