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64770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70" w:lineRule="exact"/>
        <w:rPr>
          <w:sz w:val="24"/>
          <w:szCs w:val="24"/>
          <w:color w:val="auto"/>
        </w:rPr>
      </w:pPr>
    </w:p>
    <w:p>
      <w:pPr>
        <w:ind w:left="740" w:right="360" w:hanging="714"/>
        <w:spacing w:after="0" w:line="262" w:lineRule="auto"/>
        <w:tabs>
          <w:tab w:leader="none" w:pos="7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108" w:lineRule="exact"/>
        <w:rPr>
          <w:sz w:val="24"/>
          <w:szCs w:val="24"/>
          <w:color w:val="auto"/>
        </w:rPr>
      </w:pPr>
    </w:p>
    <w:p>
      <w:pPr>
        <w:ind w:left="740" w:right="340" w:hanging="714"/>
        <w:spacing w:after="0" w:line="262" w:lineRule="auto"/>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8"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36830</wp:posOffset>
            </wp:positionV>
            <wp:extent cx="4166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43" w:lineRule="exact"/>
        <w:rPr>
          <w:sz w:val="24"/>
          <w:szCs w:val="24"/>
          <w:color w:val="auto"/>
        </w:rPr>
      </w:pPr>
    </w:p>
    <w:tbl>
      <w:tblPr>
        <w:tblLayout w:type="fixed"/>
        <w:tblInd w:w="1520" w:type="dxa"/>
        <w:tblCellMar>
          <w:top w:w="0" w:type="dxa"/>
          <w:left w:w="0" w:type="dxa"/>
          <w:bottom w:w="0" w:type="dxa"/>
          <w:right w:w="0" w:type="dxa"/>
        </w:tblCellMar>
      </w:tblPr>
      <w:tr>
        <w:trPr>
          <w:trHeight w:val="238"/>
        </w:trPr>
        <w:tc>
          <w:tcPr>
            <w:tcW w:w="4200" w:type="dxa"/>
            <w:vAlign w:val="bottom"/>
          </w:tcPr>
          <w:p>
            <w:pPr>
              <w:jc w:val="center"/>
              <w:ind w:right="14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8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220"/>
        </w:trPr>
        <w:tc>
          <w:tcPr>
            <w:tcW w:w="420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780" w:type="dxa"/>
            <w:vAlign w:val="bottom"/>
          </w:tcPr>
          <w:p>
            <w:pPr>
              <w:jc w:val="center"/>
              <w:ind w:left="149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61"/>
        </w:trPr>
        <w:tc>
          <w:tcPr>
            <w:tcW w:w="4200" w:type="dxa"/>
            <w:vAlign w:val="bottom"/>
          </w:tcPr>
          <w:p>
            <w:pPr>
              <w:jc w:val="center"/>
              <w:ind w:right="1499"/>
              <w:spacing w:after="0"/>
              <w:rPr>
                <w:sz w:val="20"/>
                <w:szCs w:val="20"/>
                <w:color w:val="auto"/>
              </w:rPr>
            </w:pPr>
            <w:r>
              <w:rPr>
                <w:rFonts w:ascii="Times New Roman" w:cs="Times New Roman" w:eastAsia="Times New Roman" w:hAnsi="Times New Roman"/>
                <w:sz w:val="18"/>
                <w:szCs w:val="18"/>
                <w:b w:val="1"/>
                <w:bCs w:val="1"/>
                <w:color w:val="auto"/>
                <w:w w:val="99"/>
              </w:rPr>
              <w:t>12500 TI Boulevard, Dallas, Texas</w:t>
            </w:r>
          </w:p>
        </w:tc>
        <w:tc>
          <w:tcPr>
            <w:tcW w:w="378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75243</w:t>
            </w:r>
          </w:p>
        </w:tc>
      </w:tr>
      <w:tr>
        <w:trPr>
          <w:trHeight w:val="220"/>
        </w:trPr>
        <w:tc>
          <w:tcPr>
            <w:tcW w:w="4200" w:type="dxa"/>
            <w:vAlign w:val="bottom"/>
          </w:tcPr>
          <w:p>
            <w:pPr>
              <w:jc w:val="center"/>
              <w:ind w:right="1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8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196215</wp:posOffset>
            </wp:positionV>
            <wp:extent cx="4166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r>
        <w:trPr>
          <w:trHeight w:val="237"/>
        </w:trPr>
        <w:tc>
          <w:tcPr>
            <w:tcW w:w="3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5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bl>
    <w:p>
      <w:pPr>
        <w:spacing w:after="0" w:line="144" w:lineRule="exact"/>
        <w:rPr>
          <w:sz w:val="24"/>
          <w:szCs w:val="24"/>
          <w:color w:val="auto"/>
        </w:rPr>
      </w:pPr>
    </w:p>
    <w:p>
      <w:pPr>
        <w:ind w:right="24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132" w:lineRule="exact"/>
        <w:rPr>
          <w:sz w:val="24"/>
          <w:szCs w:val="24"/>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1"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08" w:right="339" w:bottom="1440" w:gutter="0" w:footer="0" w:header="0"/>
        </w:sectPr>
      </w:pP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70"/>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66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spacing w:after="0"/>
              <w:rPr>
                <w:sz w:val="23"/>
                <w:szCs w:val="23"/>
                <w:color w:val="auto"/>
              </w:rPr>
            </w:pPr>
          </w:p>
        </w:tc>
      </w:tr>
    </w:tbl>
    <w:p>
      <w:pPr>
        <w:spacing w:after="0" w:line="78"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w:t>
      </w:r>
      <w:r>
        <w:rPr>
          <w:rFonts w:ascii="Times New Roman" w:cs="Times New Roman" w:eastAsia="Times New Roman" w:hAnsi="Times New Roman"/>
          <w:sz w:val="16"/>
          <w:szCs w:val="16"/>
          <w:color w:val="auto"/>
        </w:rPr>
        <w:t>es</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6"/>
          <w:szCs w:val="16"/>
          <w:color w:val="auto"/>
        </w:rPr>
        <w:t>☒</w:t>
      </w:r>
    </w:p>
    <w:p>
      <w:pPr>
        <w:spacing w:after="0" w:line="12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917,942,130</w:t>
      </w:r>
    </w:p>
    <w:p>
      <w:pPr>
        <w:spacing w:after="0" w:line="11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color w:val="auto"/>
        </w:rPr>
        <w:t>Number of shares of Registrant’s common stock outstanding as of</w:t>
      </w:r>
    </w:p>
    <w:p>
      <w:pPr>
        <w:spacing w:after="0" w:line="27"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October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500" w:space="380"/>
            <w:col w:w="360"/>
          </w:cols>
          <w:pgMar w:left="320" w:top="80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60" w:type="dxa"/>
            <w:vAlign w:val="bottom"/>
          </w:tcPr>
          <w:p>
            <w:pPr>
              <w:spacing w:after="0"/>
              <w:rPr>
                <w:sz w:val="18"/>
                <w:szCs w:val="18"/>
                <w:color w:val="auto"/>
              </w:rPr>
            </w:pPr>
          </w:p>
        </w:tc>
        <w:tc>
          <w:tcPr>
            <w:tcW w:w="22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r>
      <w:tr>
        <w:trPr>
          <w:trHeight w:val="25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 except share and per-share amounts)</w:t>
            </w:r>
          </w:p>
        </w:tc>
        <w:tc>
          <w:tcPr>
            <w:tcW w:w="24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w:t>
            </w:r>
          </w:p>
        </w:tc>
      </w:tr>
      <w:tr>
        <w:trPr>
          <w:trHeight w:val="22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revenue (COR)</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Research and development (R&amp;D)</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(SG&amp;A)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2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charges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charges/other</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1,609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 (OI&amp;E)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and debt expense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4,090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 (EPS):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53"/>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6"/>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7"/>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shares outstanding (millions):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54"/>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5"/>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 portion of net income is allocated to unvested restricted stock units (RSUs) on which we pay dividend equivalents. Diluted EPS is calculated using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allocated to common stock for diluted EPS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60" w:type="dxa"/>
            <w:vAlign w:val="bottom"/>
          </w:tcPr>
          <w:p>
            <w:pPr>
              <w:spacing w:after="0"/>
              <w:rPr>
                <w:sz w:val="18"/>
                <w:szCs w:val="18"/>
                <w:color w:val="auto"/>
              </w:rPr>
            </w:pPr>
          </w:p>
        </w:tc>
        <w:tc>
          <w:tcPr>
            <w:tcW w:w="22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r>
      <w:tr>
        <w:trPr>
          <w:trHeight w:val="25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4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22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actuarial losses of defined benefit plans: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54"/>
        </w:trPr>
        <w:tc>
          <w:tcPr>
            <w:tcW w:w="60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Adjustments, net of tax effect of $3 and ($2); $4 and $1</w:t>
            </w: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within net income, net of tax effect of ($2) and ($3); ($7) and ($10)</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4"/>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Prior service credit of defined benefit plans: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5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4"/>
        </w:trPr>
        <w:tc>
          <w:tcPr>
            <w:tcW w:w="6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within net income, net of tax effect of $0 and $0; $0 and $0</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33"/>
        </w:trPr>
        <w:tc>
          <w:tcPr>
            <w:tcW w:w="5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140" w:type="dxa"/>
            <w:vAlign w:val="bottom"/>
          </w:tcPr>
          <w:p>
            <w:pPr>
              <w:spacing w:after="0"/>
              <w:rPr>
                <w:sz w:val="22"/>
                <w:szCs w:val="22"/>
                <w:color w:val="auto"/>
              </w:rPr>
            </w:pPr>
          </w:p>
        </w:tc>
        <w:tc>
          <w:tcPr>
            <w:tcW w:w="12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 except share amounts)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($12) and ($8)</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224"/>
        </w:trPr>
        <w:tc>
          <w:tcPr>
            <w:tcW w:w="8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Work in process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r>
      <w:tr>
        <w:trPr>
          <w:trHeight w:val="223"/>
        </w:trPr>
        <w:tc>
          <w:tcPr>
            <w:tcW w:w="840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217"/>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8,761</w:t>
            </w:r>
          </w:p>
        </w:tc>
      </w:tr>
      <w:tr>
        <w:trPr>
          <w:trHeight w:val="21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r>
      <w:tr>
        <w:trPr>
          <w:trHeight w:val="217"/>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3,303</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2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intangibles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licenses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24"/>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Overfunded retirement plans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4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18,018</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8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r>
      <w:tr>
        <w:trPr>
          <w:trHeight w:val="21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Underfunded retirement plans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2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r>
      <w:tr>
        <w:trPr>
          <w:trHeight w:val="21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9,111</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4"/>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Preferred stock, $25 par value. Authorized – 10,000,000 shares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59"/>
        </w:trPr>
        <w:tc>
          <w:tcPr>
            <w:tcW w:w="8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Participating cumulative preferred – None issued</w:t>
            </w:r>
          </w:p>
        </w:tc>
        <w:tc>
          <w:tcPr>
            <w:tcW w:w="1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0"/>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Common stock, $1 par value. Authorized – 2,400,000,000 shares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8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issued – 1,740,815,939</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Paid-in capital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41,305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w:t>
            </w:r>
          </w:p>
        </w:tc>
      </w:tr>
      <w:tr>
        <w:trPr>
          <w:trHeight w:val="223"/>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Treasury common stock at cost</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8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September 30, 2020 – 823,174,578; December 31, 2019 – 808,784,381</w:t>
            </w: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(36,643)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(34,495)</w:t>
            </w:r>
          </w:p>
        </w:tc>
      </w:tr>
      <w:tr>
        <w:trPr>
          <w:trHeight w:val="224"/>
        </w:trPr>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 net of taxes (AOCI)</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33"/>
        </w:trPr>
        <w:tc>
          <w:tcPr>
            <w:tcW w:w="8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w:t>
            </w:r>
          </w:p>
        </w:tc>
      </w:tr>
      <w:tr>
        <w:trPr>
          <w:trHeight w:val="247"/>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18,207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18,018</w:t>
            </w:r>
          </w:p>
        </w:tc>
      </w:tr>
      <w:tr>
        <w:trPr>
          <w:trHeight w:val="24"/>
        </w:trPr>
        <w:tc>
          <w:tcPr>
            <w:tcW w:w="8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40"/>
          </w:cols>
          <w:pgMar w:left="320" w:top="117" w:right="339" w:bottom="7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70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r>
      <w:tr>
        <w:trPr>
          <w:trHeight w:val="25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tc>
        <w:tc>
          <w:tcPr>
            <w:tcW w:w="260" w:type="dxa"/>
            <w:vAlign w:val="bottom"/>
          </w:tcPr>
          <w:p>
            <w:pPr>
              <w:spacing w:after="0"/>
              <w:rPr>
                <w:sz w:val="22"/>
                <w:szCs w:val="22"/>
                <w:color w:val="auto"/>
              </w:rPr>
            </w:pPr>
          </w:p>
        </w:tc>
        <w:tc>
          <w:tcPr>
            <w:tcW w:w="152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8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(Millions of dollars)</w:t>
            </w: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net income: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acquisition-related intangibles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24"/>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Amortization of capitalized software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Gains on sales of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24"/>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Increase (decrease) from changes in: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24"/>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223"/>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24"/>
        </w:trPr>
        <w:tc>
          <w:tcPr>
            <w:tcW w:w="86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funded status of retirement plans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w:t>
            </w:r>
          </w:p>
        </w:tc>
      </w:tr>
      <w:tr>
        <w:trPr>
          <w:trHeight w:val="236"/>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asset sales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8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37"/>
        </w:trPr>
        <w:tc>
          <w:tcPr>
            <w:tcW w:w="8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Dividends paid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(2,471)</w:t>
            </w:r>
          </w:p>
        </w:tc>
      </w:tr>
      <w:tr>
        <w:trPr>
          <w:trHeight w:val="223"/>
        </w:trPr>
        <w:tc>
          <w:tcPr>
            <w:tcW w:w="8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Proceeds from common stock transactions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33"/>
        </w:trPr>
        <w:tc>
          <w:tcPr>
            <w:tcW w:w="8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8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(3,703)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(3,441)</w:t>
            </w:r>
          </w:p>
        </w:tc>
      </w:tr>
      <w:tr>
        <w:trPr>
          <w:trHeight w:val="33"/>
        </w:trPr>
        <w:tc>
          <w:tcPr>
            <w:tcW w:w="8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ind w:left="2100" w:hanging="1221"/>
        <w:spacing w:after="0"/>
        <w:tabs>
          <w:tab w:leader="none" w:pos="2100"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1,455</w:t>
      </w:r>
    </w:p>
    <w:p>
      <w:pPr>
        <w:spacing w:after="0" w:line="70" w:lineRule="exact"/>
        <w:rPr>
          <w:rFonts w:ascii="Times New Roman" w:cs="Times New Roman" w:eastAsia="Times New Roman" w:hAnsi="Times New Roman"/>
          <w:sz w:val="16"/>
          <w:szCs w:val="16"/>
          <w:b w:val="1"/>
          <w:bCs w:val="1"/>
          <w:color w:val="auto"/>
        </w:rPr>
      </w:pPr>
    </w:p>
    <w:p>
      <w:pPr>
        <w:ind w:left="7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2,437</w:t>
      </w:r>
      <w:r>
        <w:rPr>
          <w:rFonts w:ascii="Times New Roman" w:cs="Times New Roman" w:eastAsia="Times New Roman" w:hAnsi="Times New Roman"/>
          <w:sz w:val="16"/>
          <w:szCs w:val="16"/>
          <w:color w:val="auto"/>
        </w:rPr>
        <w:t>2,438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38735</wp:posOffset>
            </wp:positionV>
            <wp:extent cx="162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66" w:lineRule="exact"/>
        <w:rPr>
          <w:sz w:val="20"/>
          <w:szCs w:val="20"/>
          <w:color w:val="auto"/>
        </w:rPr>
      </w:pPr>
    </w:p>
    <w:p>
      <w:pPr>
        <w:spacing w:after="0"/>
        <w:tabs>
          <w:tab w:leader="none" w:pos="740" w:val="left"/>
          <w:tab w:leader="none" w:pos="1300" w:val="left"/>
          <w:tab w:leader="none" w:pos="208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2,822</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38735</wp:posOffset>
            </wp:positionV>
            <wp:extent cx="1628775"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342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7980" w:space="720"/>
            <w:col w:w="2540"/>
          </w:cols>
          <w:pgMar w:left="320" w:top="117" w:right="339" w:bottom="1440" w:gutter="0" w:footer="0" w:header="0"/>
          <w:type w:val="continuous"/>
        </w:sectPr>
      </w:pP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60"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Analog </w:t>
      </w:r>
      <w:r>
        <w:rPr>
          <w:rFonts w:ascii="Times New Roman" w:cs="Times New Roman" w:eastAsia="Times New Roman" w:hAnsi="Times New Roman"/>
          <w:sz w:val="18"/>
          <w:szCs w:val="18"/>
          <w:color w:val="auto"/>
        </w:rPr>
        <w:t>– consisting of the following product lines: Power and Signal Chain.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Processing </w:t>
      </w:r>
      <w:r>
        <w:rPr>
          <w:rFonts w:ascii="Times New Roman" w:cs="Times New Roman" w:eastAsia="Times New Roman" w:hAnsi="Times New Roman"/>
          <w:sz w:val="18"/>
          <w:szCs w:val="18"/>
          <w:color w:val="auto"/>
        </w:rPr>
        <w:t>– consisting of the following product lines: Connected Microcontrollers and Processors.</w:t>
      </w:r>
    </w:p>
    <w:p>
      <w:pPr>
        <w:spacing w:after="0" w:line="227"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During the third quarter, we reorganized the product lines within our Analog segment to simplify our business structure into our Power and Signal Chain product lines. These changes had no effect on either our previously reported consolidated financial statements or on our reportable segment results.</w:t>
      </w:r>
    </w:p>
    <w:p>
      <w:pPr>
        <w:spacing w:after="0" w:line="140"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xml:space="preserve"> products, calculators and custom ASIC products.</w:t>
      </w:r>
    </w:p>
    <w:p>
      <w:pPr>
        <w:spacing w:after="0" w:line="19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6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60" w:type="dxa"/>
            <w:vAlign w:val="bottom"/>
          </w:tcPr>
          <w:p>
            <w:pPr>
              <w:spacing w:after="0"/>
              <w:rPr>
                <w:sz w:val="18"/>
                <w:szCs w:val="18"/>
                <w:color w:val="auto"/>
              </w:rPr>
            </w:pPr>
          </w:p>
        </w:tc>
        <w:tc>
          <w:tcPr>
            <w:tcW w:w="22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r>
      <w:tr>
        <w:trPr>
          <w:trHeight w:val="257"/>
        </w:trPr>
        <w:tc>
          <w:tcPr>
            <w:tcW w:w="6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60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Analog</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2,865</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7,759</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33"/>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Embedded Processing</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997</w:t>
            </w:r>
          </w:p>
        </w:tc>
      </w:tr>
      <w:tr>
        <w:trPr>
          <w:trHeight w:val="33"/>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3,817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4"/>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Analog</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1,320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3,398</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r>
      <w:tr>
        <w:trPr>
          <w:trHeight w:val="33"/>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Embedded Processing</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w:t>
            </w:r>
          </w:p>
        </w:tc>
      </w:tr>
      <w:tr>
        <w:trPr>
          <w:trHeight w:val="224"/>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33"/>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profit</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area information</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26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60" w:type="dxa"/>
            <w:vAlign w:val="bottom"/>
          </w:tcPr>
          <w:p>
            <w:pPr>
              <w:spacing w:after="0"/>
              <w:rPr>
                <w:sz w:val="18"/>
                <w:szCs w:val="18"/>
                <w:color w:val="auto"/>
              </w:rPr>
            </w:pPr>
          </w:p>
        </w:tc>
        <w:tc>
          <w:tcPr>
            <w:tcW w:w="22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r>
      <w:tr>
        <w:trPr>
          <w:trHeight w:val="257"/>
        </w:trPr>
        <w:tc>
          <w:tcPr>
            <w:tcW w:w="6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Pr>
          <w:p>
            <w:pPr>
              <w:spacing w:after="0"/>
              <w:rPr>
                <w:sz w:val="22"/>
                <w:szCs w:val="22"/>
                <w:color w:val="auto"/>
              </w:rPr>
            </w:pPr>
          </w:p>
        </w:tc>
      </w:tr>
      <w:tr>
        <w:trPr>
          <w:trHeight w:val="33"/>
        </w:trPr>
        <w:tc>
          <w:tcPr>
            <w:tcW w:w="60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w w:val="99"/>
              </w:rPr>
              <w:t>2019</w:t>
            </w:r>
          </w:p>
        </w:tc>
      </w:tr>
      <w:tr>
        <w:trPr>
          <w:trHeight w:val="33"/>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7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440</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1,179</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33"/>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Asia (a)</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2,555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24"/>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 Middle East and Africa</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r>
      <w:tr>
        <w:trPr>
          <w:trHeight w:val="33"/>
        </w:trPr>
        <w:tc>
          <w:tcPr>
            <w:tcW w:w="6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6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Japan</w:t>
            </w:r>
          </w:p>
        </w:tc>
        <w:tc>
          <w:tcPr>
            <w:tcW w:w="7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r>
      <w:tr>
        <w:trPr>
          <w:trHeight w:val="223"/>
        </w:trPr>
        <w:tc>
          <w:tcPr>
            <w:tcW w:w="6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Rest of world</w:t>
            </w:r>
          </w:p>
        </w:tc>
        <w:tc>
          <w:tcPr>
            <w:tcW w:w="7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33"/>
        </w:trPr>
        <w:tc>
          <w:tcPr>
            <w:tcW w:w="60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2"/>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3,817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10,385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right="120" w:hanging="332"/>
        <w:spacing w:after="0" w:line="266" w:lineRule="auto"/>
        <w:tabs>
          <w:tab w:leader="none" w:pos="33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products shipped into China was $2.2 billion and $1.9 billion in the third quarters of 2020 and 2019, respectively, and $5.7 billion and $5.4 billion in the first nine months of 2020 and 2019, respectively, which includes shipments to customers that manufacture in China and then export end products to their customers around the world, as well as distributors that transship inventory through China to service other countries.</w:t>
      </w:r>
    </w:p>
    <w:p>
      <w:pPr>
        <w:spacing w:after="0" w:line="203"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Basis of presentation and significant accounting policies and practices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2019. The Consolidated Statements of Income, Comprehensive Income and Cash Flows for the periods ended September 30, 2020 and 2019, and the Consolidated Balance Sheet as of September 30, 2020,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2019. The results for the three- and nine-month periods are not necessarily indicative of a full year’s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share (EPS)</w:t>
      </w:r>
    </w:p>
    <w:p>
      <w:pPr>
        <w:spacing w:after="0" w:line="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Computation and reconciliation of earnings per common share are as follows (shares in millions):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gridSpan w:val="10"/>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For Three Months Ended September 30,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7"/>
        </w:trPr>
        <w:tc>
          <w:tcPr>
            <w:tcW w:w="40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17"/>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EPS</w:t>
            </w:r>
          </w:p>
        </w:tc>
        <w:tc>
          <w:tcPr>
            <w:tcW w:w="1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EPS</w:t>
            </w:r>
          </w:p>
        </w:tc>
      </w:tr>
      <w:tr>
        <w:trPr>
          <w:trHeight w:val="33"/>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7"/>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917</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206"/>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Dilutive effect of stock compensation plans</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57"/>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4"/>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7"/>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1,347</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929</w:t>
            </w: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gridSpan w:val="4"/>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447"/>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Nine Months Ended September 30,</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EPS</w:t>
            </w:r>
          </w:p>
        </w:tc>
        <w:tc>
          <w:tcPr>
            <w:tcW w:w="1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EPS</w:t>
            </w:r>
          </w:p>
        </w:tc>
      </w:tr>
      <w:tr>
        <w:trPr>
          <w:trHeight w:val="33"/>
        </w:trPr>
        <w:tc>
          <w:tcPr>
            <w:tcW w:w="4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24"/>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7"/>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921</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r>
      <w:tr>
        <w:trPr>
          <w:trHeight w:val="207"/>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Dilutive effect of stock compensation plans</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56"/>
        </w:trPr>
        <w:tc>
          <w:tcPr>
            <w:tcW w:w="4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7"/>
        </w:trPr>
        <w:tc>
          <w:tcPr>
            <w:tcW w:w="4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3,888</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933</w:t>
            </w:r>
          </w:p>
        </w:tc>
        <w:tc>
          <w:tcPr>
            <w:tcW w:w="60" w:type="dxa"/>
            <w:vAlign w:val="bottom"/>
            <w:tcBorders>
              <w:top w:val="single" w:sz="8" w:color="auto"/>
              <w:bottom w:val="single" w:sz="8" w:color="auto"/>
            </w:tcBorders>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r>
      <w:tr>
        <w:trPr>
          <w:trHeight w:val="24"/>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bl>
    <w:p>
      <w:pPr>
        <w:spacing w:after="0" w:line="19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3 million and 6 million shares of common stock that were outstanding during the third quarters of 2020 and 2019, respectively, and 4 million and 7 million shares outstanding during the first nine months of 2020 and 2019, respectively, were excluded from the computation of diluted earnings per common share during these periods because their effect would have been anti-dilutive.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 and hedging</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use derivatives for speculative or trading purposes.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values of financial instruments</w:t>
      </w:r>
    </w:p>
    <w:p>
      <w:pPr>
        <w:spacing w:after="0" w:line="2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The fair values of our derivative financial instruments were not material as of September 30, 2020.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2020, the carrying value of long-term debt, including the current portion, was $6.80 billion, and the estimated fair value was $7.73 billion. The estimated fair value is measured using broker-dealer quotes, which are Level 2 inputs. See Note 4 for a description of fair value and the definition of Level 2 inputs.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standards – adopted standards for current period</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adopted the following Accounting Standards Updates (ASU) during the current period, none of which had a material impact on our financial position or results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20" w:type="dxa"/>
            <w:vAlign w:val="bottom"/>
            <w:gridSpan w:val="2"/>
          </w:tcPr>
          <w:p>
            <w:pPr>
              <w:ind w:left="800"/>
              <w:spacing w:after="0"/>
              <w:rPr>
                <w:sz w:val="20"/>
                <w:szCs w:val="20"/>
                <w:color w:val="auto"/>
              </w:rPr>
            </w:pPr>
            <w:r>
              <w:rPr>
                <w:rFonts w:ascii="Times New Roman" w:cs="Times New Roman" w:eastAsia="Times New Roman" w:hAnsi="Times New Roman"/>
                <w:sz w:val="16"/>
                <w:szCs w:val="16"/>
                <w:b w:val="1"/>
                <w:bCs w:val="1"/>
                <w:color w:val="auto"/>
              </w:rPr>
              <w:t>ASU</w:t>
            </w:r>
          </w:p>
        </w:tc>
        <w:tc>
          <w:tcPr>
            <w:tcW w:w="7240" w:type="dxa"/>
            <w:vAlign w:val="bottom"/>
            <w:gridSpan w:val="2"/>
          </w:tcPr>
          <w:p>
            <w:pPr>
              <w:ind w:left="3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Adopted Date</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ASU No. 2016-13</w:t>
            </w:r>
          </w:p>
        </w:tc>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Financial Instruments – Credit Losses (Topic 326): Measurement of Credit Losses on Financial Instruments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2020</w:t>
            </w:r>
          </w:p>
        </w:tc>
      </w:tr>
      <w:tr>
        <w:trPr>
          <w:trHeight w:val="214"/>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ASU No. 2018-13</w:t>
            </w: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Fair Value Measurement (Topic 820): Disclosure Framework – Changes to the Disclosure Requirements for</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1, 2020</w:t>
            </w:r>
          </w:p>
        </w:tc>
      </w:tr>
      <w:tr>
        <w:trPr>
          <w:trHeight w:val="212"/>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Fair Value Measurement</w:t>
            </w:r>
          </w:p>
        </w:tc>
        <w:tc>
          <w:tcPr>
            <w:tcW w:w="1920" w:type="dxa"/>
            <w:vAlign w:val="bottom"/>
          </w:tcPr>
          <w:p>
            <w:pPr>
              <w:spacing w:after="0"/>
              <w:rPr>
                <w:sz w:val="18"/>
                <w:szCs w:val="18"/>
                <w:color w:val="auto"/>
              </w:rPr>
            </w:pPr>
          </w:p>
        </w:tc>
      </w:tr>
      <w:tr>
        <w:trPr>
          <w:trHeight w:val="33"/>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14"/>
        </w:trPr>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ASU No. 2018-15</w:t>
            </w: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Intangibles – Goodwill and Other – Internal-Use Software (Subtopic 350-40): Customer’s Accounting for</w:t>
            </w: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1, 2020</w:t>
            </w:r>
          </w:p>
        </w:tc>
      </w:tr>
      <w:tr>
        <w:trPr>
          <w:trHeight w:val="212"/>
        </w:trPr>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Implementation Costs Incurred in a Cloud Computing Arrangement That Is a Service Contract</w:t>
            </w:r>
          </w:p>
        </w:tc>
        <w:tc>
          <w:tcPr>
            <w:tcW w:w="1920" w:type="dxa"/>
            <w:vAlign w:val="bottom"/>
            <w:shd w:val="clear" w:color="auto" w:fill="CCEEFF"/>
          </w:tcPr>
          <w:p>
            <w:pPr>
              <w:spacing w:after="0"/>
              <w:rPr>
                <w:sz w:val="18"/>
                <w:szCs w:val="18"/>
                <w:color w:val="auto"/>
              </w:rPr>
            </w:pPr>
          </w:p>
        </w:tc>
      </w:tr>
      <w:tr>
        <w:trPr>
          <w:trHeight w:val="33"/>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estimated annual effective tax rate is about 14%, which does not include discrete tax items. This differs from the 21% statutory corporate tax rate due to the effect of U.S. tax benefits.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is based on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56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c>
          <w:tcPr>
            <w:tcW w:w="160" w:type="dxa"/>
            <w:vAlign w:val="bottom"/>
          </w:tcPr>
          <w:p>
            <w:pPr>
              <w:spacing w:after="0"/>
              <w:rPr>
                <w:sz w:val="18"/>
                <w:szCs w:val="18"/>
                <w:color w:val="auto"/>
              </w:rPr>
            </w:pPr>
          </w:p>
        </w:tc>
      </w:tr>
      <w:tr>
        <w:trPr>
          <w:trHeight w:val="257"/>
        </w:trPr>
        <w:tc>
          <w:tcPr>
            <w:tcW w:w="5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3"/>
        </w:trPr>
        <w:tc>
          <w:tcPr>
            <w:tcW w:w="5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calculated using the estimated annual effective tax rate</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Discrete tax items</w:t>
            </w:r>
          </w:p>
        </w:tc>
        <w:tc>
          <w:tcPr>
            <w:tcW w:w="820" w:type="dxa"/>
            <w:vAlign w:val="bottom"/>
          </w:tcPr>
          <w:p>
            <w:pPr>
              <w:spacing w:after="0"/>
              <w:rPr>
                <w:sz w:val="19"/>
                <w:szCs w:val="19"/>
                <w:color w:val="auto"/>
              </w:rPr>
            </w:pP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9"/>
                <w:szCs w:val="19"/>
                <w:color w:val="auto"/>
              </w:rPr>
            </w:pPr>
          </w:p>
        </w:tc>
      </w:tr>
      <w:tr>
        <w:trPr>
          <w:trHeight w:val="33"/>
        </w:trPr>
        <w:tc>
          <w:tcPr>
            <w:tcW w:w="5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0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234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60" w:type="dxa"/>
            <w:vAlign w:val="bottom"/>
            <w:shd w:val="clear" w:color="auto" w:fill="CCEEFF"/>
          </w:tcPr>
          <w:p>
            <w:pPr>
              <w:spacing w:after="0"/>
              <w:rPr>
                <w:sz w:val="23"/>
                <w:szCs w:val="23"/>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5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4"/>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Actual effective tax rate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33"/>
        </w:trPr>
        <w:tc>
          <w:tcPr>
            <w:tcW w:w="56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provision for income taxes for the first nine months of 2020 includes a $249 million discrete tax benefit in the second quarter for the settlement of a depreciation-related uncertain tax position. Accrued interest of $46 million related to this uncertain tax position was reversed in the second quarter and is included in OI&amp;E.</w:t>
      </w:r>
    </w:p>
    <w:p>
      <w:pPr>
        <w:spacing w:after="0" w:line="200" w:lineRule="exact"/>
        <w:rPr>
          <w:sz w:val="20"/>
          <w:szCs w:val="20"/>
          <w:color w:val="auto"/>
        </w:rPr>
      </w:pPr>
    </w:p>
    <w:p>
      <w:pPr>
        <w:spacing w:after="0" w:line="219"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Valuation of debt and equity investments and certain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measured at fair value</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Available-for-sale debt investments and trading securities are stated at fair value, which is generally based on market prices or broker quotes. See </w:t>
      </w:r>
      <w:r>
        <w:rPr>
          <w:rFonts w:ascii="Times New Roman" w:cs="Times New Roman" w:eastAsia="Times New Roman" w:hAnsi="Times New Roman"/>
          <w:sz w:val="18"/>
          <w:szCs w:val="18"/>
          <w:i w:val="1"/>
          <w:iCs w:val="1"/>
          <w:color w:val="auto"/>
        </w:rPr>
        <w:t xml:space="preserve">Fair-value considerations </w:t>
      </w:r>
      <w:r>
        <w:rPr>
          <w:rFonts w:ascii="Times New Roman" w:cs="Times New Roman" w:eastAsia="Times New Roman" w:hAnsi="Times New Roman"/>
          <w:sz w:val="18"/>
          <w:szCs w:val="18"/>
          <w:color w:val="auto"/>
        </w:rPr>
        <w:t>below. Unrealized gains and losses from available-for-sale debt securities are recorded as an increase or decrease, net of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AOCI on our Consolidated Balance Sheets and any credit losses on available-for-sale debt securities are recorded as an allowance for credit losses with an offset recognized in OI&amp;E in our Consolidated Statements of Income.</w:t>
      </w:r>
    </w:p>
    <w:p>
      <w:pPr>
        <w:spacing w:after="0" w:line="1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our investments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4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7"/>
        </w:trPr>
        <w:tc>
          <w:tcPr>
            <w:tcW w:w="34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Short-Term</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14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Long-Term</w:t>
            </w:r>
          </w:p>
        </w:tc>
      </w:tr>
      <w:tr>
        <w:trPr>
          <w:trHeight w:val="212"/>
        </w:trPr>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Investments</w:t>
            </w:r>
          </w:p>
        </w:tc>
        <w:tc>
          <w:tcPr>
            <w:tcW w:w="14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Investments</w:t>
            </w:r>
          </w:p>
        </w:tc>
      </w:tr>
      <w:tr>
        <w:trPr>
          <w:trHeight w:val="33"/>
        </w:trPr>
        <w:tc>
          <w:tcPr>
            <w:tcW w:w="3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Measured at fair value:</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2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obligations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U.S. government agency and Treasury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2,299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34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2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measurement basis: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Equity-method investments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34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Non-marketable equity investments</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33"/>
        </w:trPr>
        <w:tc>
          <w:tcPr>
            <w:tcW w:w="3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3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on hand</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4"/>
        </w:trPr>
        <w:tc>
          <w:tcPr>
            <w:tcW w:w="3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unrealized gains and losses associated with our available-for-sale investments were not material. We did not recognize any credit losses related to available-for-sale investments for the first nine months of 2020 and 2019. All of our debt securities classified as available for sale as of September 30, 2020, have maturities within one year.</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Proceeds from sales, redemptions and maturities of short-term available-for-sale investments were $510 million and $220 million for the third quarters of 2020 and 2019, respectively, and $3.71 billion and $2.00 billion for the first nine months of 2020 and 2019, respectively. Gross realized gains and losses from these sales were not material.</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Fair-value considerations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three-level hierarchy described below indicates the extent and level of judgment used to estimate fair-value measurements.</w:t>
      </w:r>
    </w:p>
    <w:p>
      <w:pPr>
        <w:spacing w:after="0" w:line="223" w:lineRule="exact"/>
        <w:rPr>
          <w:sz w:val="20"/>
          <w:szCs w:val="20"/>
          <w:color w:val="auto"/>
        </w:rPr>
      </w:pPr>
    </w:p>
    <w:p>
      <w:pPr>
        <w:ind w:left="620" w:hanging="329"/>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Uses unadjusted quoted prices that are available in active markets for identical assets or liabilities as of the reporting date.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365" w:lineRule="exact"/>
        <w:rPr>
          <w:sz w:val="20"/>
          <w:szCs w:val="20"/>
          <w:color w:val="auto"/>
        </w:rPr>
      </w:pPr>
    </w:p>
    <w:p>
      <w:pPr>
        <w:ind w:left="620" w:right="180" w:hanging="329"/>
        <w:spacing w:after="0" w:line="257"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Uses inputs other than Level 1 that are either directly or indirectly observable as of the reporting date through correlation with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4" w:lineRule="exact"/>
        <w:rPr>
          <w:rFonts w:ascii="Times New Roman" w:cs="Times New Roman" w:eastAsia="Times New Roman" w:hAnsi="Times New Roman"/>
          <w:sz w:val="18"/>
          <w:szCs w:val="18"/>
          <w:color w:val="auto"/>
        </w:rPr>
      </w:pPr>
    </w:p>
    <w:p>
      <w:pPr>
        <w:ind w:left="620" w:right="20" w:hanging="329"/>
        <w:spacing w:after="0" w:line="267" w:lineRule="auto"/>
        <w:tabs>
          <w:tab w:leader="none" w:pos="6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Uses inputs that are unobservable, supported by little or no market activity and reflect the use of significant management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values are generally determined using pricing models that utilize management estimates of market participant assumptions. As of September 30, 2020, and December 31, 2019, we had no Level 3 assets or liabilities.</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911</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w:t>
            </w:r>
          </w:p>
        </w:tc>
      </w:tr>
      <w:tr>
        <w:trPr>
          <w:trHeight w:val="33"/>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24"/>
        </w:trPr>
        <w:tc>
          <w:tcPr>
            <w:tcW w:w="3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government agency and Treasury securities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2,338</w:t>
            </w:r>
          </w:p>
        </w:tc>
      </w:tr>
      <w:tr>
        <w:trPr>
          <w:trHeight w:val="33"/>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Mutual funds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4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4,414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5,011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3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w:t>
            </w:r>
          </w:p>
        </w:tc>
        <w:tc>
          <w:tcPr>
            <w:tcW w:w="3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4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3"/>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acquisition-related intangibles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Goodwill was $4.36 billion as of September 30, 2020 and December 31, 2019. There was no impairment of goodwill during the first nine months of 2020 or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acquisition-related intangibles are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216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2"/>
        </w:trPr>
        <w:tc>
          <w:tcPr>
            <w:tcW w:w="216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c>
          <w:tcPr>
            <w:tcW w:w="22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33"/>
        </w:trPr>
        <w:tc>
          <w:tcPr>
            <w:tcW w:w="21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8</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10</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1,895</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charges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Amortization of acquisition-related intangibles was $51 million and $79 million for the third quarters of 2020 and 2019, respectively, and $151 million and $238 million for the first nine months of 2020 and 2019. Fully amortized assets are written off against accumulated amortization.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related to defined benefit and retiree health care benefit plans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U.S. Defined Benefit</w:t>
            </w:r>
          </w:p>
        </w:tc>
        <w:tc>
          <w:tcPr>
            <w:tcW w:w="200" w:type="dxa"/>
            <w:vAlign w:val="bottom"/>
          </w:tcPr>
          <w:p>
            <w:pPr>
              <w:spacing w:after="0"/>
              <w:rPr>
                <w:sz w:val="18"/>
                <w:szCs w:val="18"/>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U.S. Retiree Health Care</w:t>
            </w:r>
          </w:p>
        </w:tc>
        <w:tc>
          <w:tcPr>
            <w:tcW w:w="200" w:type="dxa"/>
            <w:vAlign w:val="bottom"/>
          </w:tcPr>
          <w:p>
            <w:pPr>
              <w:spacing w:after="0"/>
              <w:rPr>
                <w:sz w:val="18"/>
                <w:szCs w:val="18"/>
                <w:color w:val="auto"/>
              </w:rPr>
            </w:pPr>
          </w:p>
        </w:tc>
        <w:tc>
          <w:tcPr>
            <w:tcW w:w="21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Non-U.S. Defined Benefit</w:t>
            </w:r>
          </w:p>
        </w:tc>
      </w:tr>
      <w:tr>
        <w:trPr>
          <w:trHeight w:val="33"/>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Three Months Ended September 30,</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Recognized net actuarial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benefit costs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losses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including other postretirement losses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r>
      <w:tr>
        <w:trPr>
          <w:trHeight w:val="406"/>
        </w:trPr>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U.S. Defined Benefit</w:t>
            </w:r>
          </w:p>
        </w:tc>
        <w:tc>
          <w:tcPr>
            <w:tcW w:w="20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U.S. Retiree Health Care</w:t>
            </w:r>
          </w:p>
        </w:tc>
        <w:tc>
          <w:tcPr>
            <w:tcW w:w="200" w:type="dxa"/>
            <w:vAlign w:val="bottom"/>
          </w:tcPr>
          <w:p>
            <w:pPr>
              <w:spacing w:after="0"/>
              <w:rPr>
                <w:sz w:val="24"/>
                <w:szCs w:val="24"/>
                <w:color w:val="auto"/>
              </w:rPr>
            </w:pPr>
          </w:p>
        </w:tc>
        <w:tc>
          <w:tcPr>
            <w:tcW w:w="2120" w:type="dxa"/>
            <w:vAlign w:val="bottom"/>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Non-U.S. Defined Benefit</w:t>
            </w:r>
          </w:p>
        </w:tc>
      </w:tr>
      <w:tr>
        <w:trPr>
          <w:trHeight w:val="33"/>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Nine Months Ended September 30,</w:t>
            </w: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4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24"/>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Recognized net actuarial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benefit costs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4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losses</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47"/>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including other postretirement losses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4"/>
        </w:trPr>
        <w:tc>
          <w:tcPr>
            <w:tcW w:w="4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and lines of credit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22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maintain a line of credit to support commercial paper borrowings, if any, and to provide additional liquidity through bank loans. As of September 30, 2020,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September 30, 2020, our credit facility was undrawn, and we had no commercial paper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the first quarter of 2020, we issued a principal amount of $750 million of fixed-rate, long-term debt due in 2025. We incurred $4 million of issuance costs. The proceeds of the offering were $749 million, net of the original issuance discount, which were used for general corporate purposes and the repayment of maturing debt.</w:t>
      </w:r>
    </w:p>
    <w:p>
      <w:pPr>
        <w:spacing w:after="0" w:line="17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second quarter of 2020, we retired $500 million of maturing debt. We also issued a principal amount of $750 million of fixed-rate, long-term debt due in 2030. We incurred $5 million of issuance costs. The proceeds of the offering were $749 million, net of the original issuance discount, which were used for general corporate purposes.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outstanding is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57"/>
        </w:trPr>
        <w:tc>
          <w:tcPr>
            <w:tcW w:w="8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33"/>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2020 at 1.75%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2021 at 2.75%</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5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2022 at 1.85%</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2023 at 2.25%</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5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2024 at 2.625%</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5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2025 at 1.375%</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2027 at 2.90%</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5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2029 at 2.25%</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5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2030 at 1.75%</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Notes due 2039 at 3.875%</w:t>
            </w: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r>
      <w:tr>
        <w:trPr>
          <w:trHeight w:val="25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Notes due 2048 at 4.15%</w:t>
            </w:r>
          </w:p>
        </w:tc>
        <w:tc>
          <w:tcPr>
            <w:tcW w:w="1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20"/>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5,850</w:t>
            </w:r>
          </w:p>
        </w:tc>
      </w:tr>
      <w:tr>
        <w:trPr>
          <w:trHeight w:val="33"/>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unamortized discounts, premiums and issuance costs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 including net unamortized discounts, premiums and issuance costs</w:t>
            </w: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w:t>
            </w:r>
          </w:p>
        </w:tc>
      </w:tr>
      <w:tr>
        <w:trPr>
          <w:trHeight w:val="33"/>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4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6,247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w:t>
            </w:r>
          </w:p>
        </w:tc>
      </w:tr>
      <w:tr>
        <w:trPr>
          <w:trHeight w:val="23"/>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and debt expense was $49 million and $43 million for the third quarters of 2020 and 2019, respectively, and $142 million and $125 million for the first nine months of 2020 and 2019, respectively. This was net of the amortized discounts, premiums and issuance costs. Capitalized interest was not material.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equity are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5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AOCI</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2019</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37"/>
        </w:trPr>
        <w:tc>
          <w:tcPr>
            <w:tcW w:w="5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6"/>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and paid ($0.90 per share)</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equivalents on RSUs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2020</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37"/>
        </w:trPr>
        <w:tc>
          <w:tcPr>
            <w:tcW w:w="5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 and paid ($0.90 per share)</w:t>
            </w:r>
          </w:p>
        </w:tc>
        <w:tc>
          <w:tcPr>
            <w:tcW w:w="38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Dividend equivalents on RSUs</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2020</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(36,725)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Dividends declared and paid ($0.90 per share)</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stock issued for stock-based awards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Stock repurchases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compensation</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Other comprehensive income (loss), net of taxes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Dividend equivalents on RSUs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September 30, 2020</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1,741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41,305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(36,643)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(335)</w:t>
            </w:r>
          </w:p>
        </w:tc>
      </w:tr>
      <w:tr>
        <w:trPr>
          <w:trHeight w:val="24"/>
        </w:trPr>
        <w:tc>
          <w:tcPr>
            <w:tcW w:w="5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2"/>
        </w:trPr>
        <w:tc>
          <w:tcPr>
            <w:tcW w:w="51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AOCI</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2018</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237"/>
        </w:trPr>
        <w:tc>
          <w:tcPr>
            <w:tcW w:w="5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and paid ($0.77 per share)</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equivalents on RSUs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March 31, 2019</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(33,080)</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5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and paid ($0.77 per share)</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4"/>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equivalents on RSUs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2019</w:t>
            </w: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38,974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33"/>
        </w:trPr>
        <w:tc>
          <w:tcPr>
            <w:tcW w:w="5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 and paid ($0.77 per share)</w:t>
            </w:r>
          </w:p>
        </w:tc>
        <w:tc>
          <w:tcPr>
            <w:tcW w:w="3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issued for stock-based awards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 repurchases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 net of taxes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 equivalents on RSUs</w:t>
            </w:r>
          </w:p>
        </w:tc>
        <w:tc>
          <w:tcPr>
            <w:tcW w:w="3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5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2019</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3"/>
        </w:trPr>
        <w:tc>
          <w:tcPr>
            <w:tcW w:w="5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333"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guarantees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costs/product liabilities</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TEXAS INSTRUMENTS INCORPORATED AND SUBSIDIARIES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162"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Supplemental financial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charges/other</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2020, we recognized $24 million of restructuring charges for severance and benefit costs associated with our Embedded Processing business. As of September 30, 2020, $1 million of payments have been made.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Details on amounts reclassified out of accumulated other comprehensive income (loss), net of taxes, to net income</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Consolidated Statements of Comprehensive Income include items that have been recognized within net income during the third quarters and first nine months of 2020 and 2019. The table below details where these transactions are recorded in our Consolidated Statements of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For 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For Nine Months Ended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tcPr>
          <w:p>
            <w:pPr>
              <w:spacing w:after="0"/>
              <w:rPr>
                <w:sz w:val="22"/>
                <w:szCs w:val="22"/>
                <w:color w:val="auto"/>
              </w:rPr>
            </w:pPr>
          </w:p>
        </w:tc>
        <w:tc>
          <w:tcPr>
            <w:tcW w:w="206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Impact to Related Statement of Income</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ind w:left="1220"/>
              <w:spacing w:after="0"/>
              <w:rPr>
                <w:sz w:val="20"/>
                <w:szCs w:val="20"/>
                <w:color w:val="auto"/>
              </w:rPr>
            </w:pPr>
            <w:r>
              <w:rPr>
                <w:rFonts w:ascii="Times New Roman" w:cs="Times New Roman" w:eastAsia="Times New Roman" w:hAnsi="Times New Roman"/>
                <w:sz w:val="16"/>
                <w:szCs w:val="16"/>
                <w:b w:val="1"/>
                <w:bCs w:val="1"/>
                <w:color w:val="auto"/>
              </w:rPr>
              <w:t>Lines</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actuarial losses of defined benefit plans:</w:t>
            </w: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Recognized net actuarial loss and settlement losses</w:t>
            </w:r>
          </w:p>
        </w:tc>
        <w:tc>
          <w:tcPr>
            <w:tcW w:w="78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w:t>
            </w:r>
          </w:p>
        </w:tc>
        <w:tc>
          <w:tcPr>
            <w:tcW w:w="7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w:t>
            </w:r>
          </w:p>
        </w:tc>
        <w:tc>
          <w:tcPr>
            <w:tcW w:w="10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to OI&amp;E</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 effect</w:t>
            </w:r>
          </w:p>
        </w:tc>
        <w:tc>
          <w:tcPr>
            <w:tcW w:w="7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Recognized within net income, net of taxes</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c>
          <w:tcPr>
            <w:tcW w:w="100" w:type="dxa"/>
            <w:vAlign w:val="bottom"/>
          </w:tcPr>
          <w:p>
            <w:pPr>
              <w:spacing w:after="0"/>
              <w:rPr>
                <w:sz w:val="21"/>
                <w:szCs w:val="21"/>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to net income</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Prior service credit of defined benefit plans:</w:t>
            </w: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 of prior service credit (a)</w:t>
            </w:r>
          </w:p>
        </w:tc>
        <w:tc>
          <w:tcPr>
            <w:tcW w:w="78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to OI&amp;E</w:t>
            </w:r>
          </w:p>
        </w:tc>
        <w:tc>
          <w:tcPr>
            <w:tcW w:w="0" w:type="dxa"/>
            <w:vAlign w:val="bottom"/>
          </w:tcPr>
          <w:p>
            <w:pPr>
              <w:spacing w:after="0"/>
              <w:rPr>
                <w:sz w:val="1"/>
                <w:szCs w:val="1"/>
                <w:color w:val="auto"/>
              </w:rPr>
            </w:pPr>
          </w:p>
        </w:tc>
      </w:tr>
      <w:tr>
        <w:trPr>
          <w:trHeight w:val="223"/>
        </w:trPr>
        <w:tc>
          <w:tcPr>
            <w:tcW w:w="3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w:t>
            </w:r>
          </w:p>
        </w:tc>
        <w:tc>
          <w:tcPr>
            <w:tcW w:w="78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to provision for income taxes</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Recognized within net income, net of taxes</w:t>
            </w: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3"/>
                <w:szCs w:val="23"/>
                <w:color w:val="auto"/>
              </w:rPr>
            </w:pP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to net income</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in Note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compensation</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Total shares of 2,160,645 and 8,943,825 were issued from treasury shares during the third quarter and first nine months of 2020, respectively, related to stock compensation.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design, make and sell semiconductors to electronics designers and manufacturers all over the world. 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business model is designed around the following four sustainable competitive advantages that we believe, in combination, put us in a unique class of companies:</w:t>
      </w:r>
    </w:p>
    <w:p>
      <w:pPr>
        <w:spacing w:after="0" w:line="160" w:lineRule="exact"/>
        <w:rPr>
          <w:sz w:val="20"/>
          <w:szCs w:val="20"/>
          <w:color w:val="auto"/>
        </w:rPr>
      </w:pPr>
    </w:p>
    <w:p>
      <w:pPr>
        <w:ind w:left="620" w:right="20" w:hanging="329"/>
        <w:spacing w:after="0" w:line="257"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strong foundation of manufacturing and technology. </w:t>
      </w:r>
      <w:r>
        <w:rPr>
          <w:rFonts w:ascii="Times New Roman" w:cs="Times New Roman" w:eastAsia="Times New Roman" w:hAnsi="Times New Roman"/>
          <w:sz w:val="18"/>
          <w:szCs w:val="18"/>
          <w:color w:val="auto"/>
        </w:rPr>
        <w:t>We invest in manufacturing technologies and do most of our manufacturing in-house.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moving forward with our plan to build our new 300-millimeter wafer fabrication facility in Richardson, Texas, as 300-millimeter wafers will continue to support the majority of our Analog growth.</w:t>
      </w:r>
    </w:p>
    <w:p>
      <w:pPr>
        <w:spacing w:after="0" w:line="74" w:lineRule="exact"/>
        <w:rPr>
          <w:rFonts w:ascii="Times New Roman" w:cs="Times New Roman" w:eastAsia="Times New Roman" w:hAnsi="Times New Roman"/>
          <w:sz w:val="18"/>
          <w:szCs w:val="18"/>
          <w:color w:val="auto"/>
        </w:rPr>
      </w:pPr>
    </w:p>
    <w:p>
      <w:pPr>
        <w:ind w:left="620" w:right="180" w:hanging="329"/>
        <w:spacing w:after="0" w:line="261"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Broad portfolio of differentiated analog and embedded processing products. </w:t>
      </w:r>
      <w:r>
        <w:rPr>
          <w:rFonts w:ascii="Times New Roman" w:cs="Times New Roman" w:eastAsia="Times New Roman" w:hAnsi="Times New Roman"/>
          <w:sz w:val="18"/>
          <w:szCs w:val="18"/>
          <w:color w:val="auto"/>
        </w:rPr>
        <w:t>Our customers need multiple chips for their systems. The breadth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1" w:lineRule="exact"/>
        <w:rPr>
          <w:rFonts w:ascii="Times New Roman" w:cs="Times New Roman" w:eastAsia="Times New Roman" w:hAnsi="Times New Roman"/>
          <w:sz w:val="18"/>
          <w:szCs w:val="18"/>
          <w:color w:val="auto"/>
        </w:rPr>
      </w:pPr>
    </w:p>
    <w:p>
      <w:pPr>
        <w:ind w:left="620" w:right="220" w:hanging="329"/>
        <w:spacing w:after="0" w:line="290"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Reach of market channels. </w:t>
      </w:r>
      <w:r>
        <w:rPr>
          <w:rFonts w:ascii="Times New Roman" w:cs="Times New Roman" w:eastAsia="Times New Roman" w:hAnsi="Times New Roman"/>
          <w:sz w:val="17"/>
          <w:szCs w:val="17"/>
          <w:color w:val="auto"/>
        </w:rPr>
        <w:t>Customers often begin their initial product selection process and design-in journey on our website, and the breadth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portfolio attracts more customers to our website than any of our competitors’ websites. Our web presence and global sales and applications team are advantages that give us unique access and insight to about 100,000 customers designing TI semiconductors into their end products.</w:t>
      </w:r>
    </w:p>
    <w:p>
      <w:pPr>
        <w:spacing w:after="0" w:line="47" w:lineRule="exact"/>
        <w:rPr>
          <w:rFonts w:ascii="Times New Roman" w:cs="Times New Roman" w:eastAsia="Times New Roman" w:hAnsi="Times New Roman"/>
          <w:sz w:val="17"/>
          <w:szCs w:val="17"/>
          <w:color w:val="auto"/>
        </w:rPr>
      </w:pPr>
    </w:p>
    <w:p>
      <w:pPr>
        <w:ind w:left="620" w:right="20" w:hanging="329"/>
        <w:spacing w:after="0" w:line="267" w:lineRule="auto"/>
        <w:tabs>
          <w:tab w:leader="none" w:pos="6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and longevity of our products, markets and customer positions. </w:t>
      </w:r>
      <w:r>
        <w:rPr>
          <w:rFonts w:ascii="Times New Roman" w:cs="Times New Roman" w:eastAsia="Times New Roman" w:hAnsi="Times New Roman"/>
          <w:sz w:val="18"/>
          <w:szCs w:val="18"/>
          <w:color w:val="auto"/>
        </w:rPr>
        <w:t>Together, the attributes above result in diverse and long-lived positions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strategic focus, and where we invest the majority of our resources, is on Analog and Embedded Processing, with a particular emphasis on designing and selling those products into the industrial and automotive markets. We believe these markets represent the best growth opportunities over the next decade or longer, due to increasing semiconductor content. Additionally, analog and embedded processing products sold into industrial and automotive markets provide long product life cycles, intrinsic diversity and less capital-intensive manufacturing, which we believe offer stability, profitability and strong cash generation.</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combined effect of our ambitions, business model and sustainable competitive advantages is that we have continued to build a stronger company. Over time, we have gained market share in Analog and Embedded Processing and grown and returned all free cash flow to our owners.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7" w:name="page18"/>
    <w:bookmarkEnd w:id="17"/>
    <w:p>
      <w:pPr>
        <w:ind w:right="2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62" w:lineRule="exact"/>
        <w:rPr>
          <w:sz w:val="20"/>
          <w:szCs w:val="20"/>
          <w:color w:val="auto"/>
        </w:rPr>
      </w:pPr>
    </w:p>
    <w:p>
      <w:pPr>
        <w:ind w:left="620" w:hanging="329"/>
        <w:spacing w:after="0" w:line="258" w:lineRule="auto"/>
        <w:tabs>
          <w:tab w:leader="none" w:pos="6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During the third quarter, we reorganized the product lines within our Analog segment to simplify our business structure into our Power and Signal Chain product lines. These changes had no impact on our previously reported consolidated financial statements or on our reportable segment results. See Note 1 to the financial statements for more information regarding our segments.</w:t>
      </w:r>
    </w:p>
    <w:p>
      <w:pPr>
        <w:spacing w:after="0" w:line="75"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discuss our results:</w:t>
      </w:r>
    </w:p>
    <w:p>
      <w:pPr>
        <w:spacing w:after="0" w:line="117" w:lineRule="exact"/>
        <w:rPr>
          <w:rFonts w:ascii="Times New Roman" w:cs="Times New Roman" w:eastAsia="Times New Roman" w:hAnsi="Times New Roman"/>
          <w:sz w:val="18"/>
          <w:szCs w:val="18"/>
          <w:color w:val="auto"/>
        </w:rPr>
      </w:pPr>
    </w:p>
    <w:p>
      <w:pPr>
        <w:ind w:left="1300" w:right="180" w:hanging="320"/>
        <w:spacing w:after="0" w:line="282"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changes in our revenue are attributable to changes in customer demand, which are evidenced by fluctuations in shipment volumes.</w:t>
      </w:r>
    </w:p>
    <w:p>
      <w:pPr>
        <w:spacing w:after="0" w:line="53" w:lineRule="exact"/>
        <w:rPr>
          <w:rFonts w:ascii="Times New Roman" w:cs="Times New Roman" w:eastAsia="Times New Roman" w:hAnsi="Times New Roman"/>
          <w:sz w:val="18"/>
          <w:szCs w:val="18"/>
          <w:color w:val="auto"/>
        </w:rPr>
      </w:pPr>
    </w:p>
    <w:p>
      <w:pPr>
        <w:ind w:left="1300" w:right="600" w:hanging="320"/>
        <w:spacing w:after="0" w:line="282"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do not tend to have a significant impact on our revenue in any given period because we sell such a large number of products.</w:t>
      </w:r>
    </w:p>
    <w:p>
      <w:pPr>
        <w:spacing w:after="0" w:line="53"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revenue and gross profit are affected by changes in demand for higher-priced or lower-priced products, which we refer to as changes in the “mix” of products shipped.</w:t>
      </w:r>
    </w:p>
    <w:p>
      <w:pPr>
        <w:spacing w:after="0" w:line="53"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2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explanation of free cash flow and the term “annual operating tax rate,” see the Non-GAAP financial information section.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coronavirus (COVID-19) pandemic and its follow-on effects are impacting and will likely continue to impact business activity across industries worldwide, including TI. Therefore, we remain cautious about how the economy might behave for the next few years.</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impact to our lead times and ability to fulfill orders was minimal in the first nine months of 2020. However, depending on pandemic-related factors like the potential of local manufacturing restrictions on our factories, we could experience constraints in fulfilling customer orders in future periods. The coronavirus pandemic remains dynamic with uncertainty around its duration and broader impact. We are monitoring and assessing the situation and preparing for implications to our business, supply chain and customer demand.</w:t>
      </w:r>
    </w:p>
    <w:p>
      <w:pPr>
        <w:spacing w:after="0" w:line="180"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We have long had a business continuity plan in place for unforeseeable situations, like we are experiencing with COVID-19. Additionally, over the past several years, we have invested in building inventory and expanding our global internally owned manufacturing footprint. Investing in these capabilities has given us flexibility, such as the ability to build products across multiple manufacturing sites. These investments have helped to minimize disruptions, but may not be sufficient to eliminate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third quarter revenue was $3.82 billion, net income was $1.35 billion and earnings per share (EPS) were $1.45.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18% sequentially with notable strength from the rebound of automotive demand and growing demand from personal electronics.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increased 1% from the same quarter a year ago.</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our core businesses, Analog revenue grew 18% and Embedded Processing grew 19% sequentially. From a year ago, Analog revenue grew 7% and Embedded Processing declined 10%.</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8" w:name="page19"/>
    <w:bookmarkEnd w:id="18"/>
    <w:p>
      <w:pPr>
        <w:ind w:right="100"/>
        <w:spacing w:after="0" w:line="266" w:lineRule="auto"/>
        <w:rPr>
          <w:sz w:val="20"/>
          <w:szCs w:val="20"/>
          <w:color w:val="auto"/>
        </w:rPr>
      </w:pPr>
      <w:r>
        <w:rPr>
          <w:rFonts w:ascii="Times New Roman" w:cs="Times New Roman" w:eastAsia="Times New Roman" w:hAnsi="Times New Roman"/>
          <w:sz w:val="18"/>
          <w:szCs w:val="18"/>
          <w:color w:val="auto"/>
        </w:rPr>
        <w:t>Our cash flow from operations of $5.8 billion for the trailing 12 months again underscored the strength of our business model. Free cash flow for the same period was $5.2 billion and 38% of revenue. This reflects the quality of our product portfolio, as well as the efficiency of our manufacturing strategy, including the benefit of 300-millimeter Analog production.</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returned $6.4 billion to shareholders in the past 12 months through stock repurchases and dividends. Over the same period, our dividends represented 64% of free cash flow, underscoring their sustainability. In September, we announced we would increase our dividend by 13%. Together, our stock repurchases and dividends reflect our continued commitment to return all free cash flow to our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third quarter 2020 compared with third quarter 2019</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Revenue of $3.82 billion increased $46 million, or 1%, primarily due to higher revenue from Analog, partially offset by lower revenue from Embedded Processing.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of $2.45 billion was about even. As a percentage of revenue, gross profit decreased to 64.3% from 64.9%.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(R&amp;D and SG&amp;A) were $793 million compared with $778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charges were $51 million compared with $79 million and were non-cash. See Note 5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was $1.61 billion, or 42.2% of revenue, compared with $1.59 billion, or 42.1%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OI&amp;E was $27 million of income compared with $34 million of income, which decreased primarily due to reduced interest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debt expense of $49 million increased $6 million due to the issuance of additional long-term debt.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provision for income taxes was $234 million compared with $155 million. This increase was due to lower discrete tax items, partially offset by a lower annual operating tax rate. Our annual operating tax rate, which does not include discrete tax items, is about 14% compared with 16% in 2019. We use “annual operating tax rate” to describe the estimated annual effective tax rate. The 2020 rate differs from the 21% U.S. statutory corporate tax rate due to the effect of U.S. tax benefits.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$1.35 billion compared with $1.43 billion. EPS was $1.45 compared with $1.49.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Third quarter 2020 segment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compared with the year-ago quarter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 (includes Power and Signal Chain product lines)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Q3 2020</w:t>
            </w:r>
          </w:p>
        </w:tc>
        <w:tc>
          <w:tcPr>
            <w:tcW w:w="2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Q3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8"/>
                <w:szCs w:val="18"/>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2,865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33"/>
        </w:trPr>
        <w:tc>
          <w:tcPr>
            <w:tcW w:w="7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revenue increased in both product lines, led by Signal Chain. Operating profit increased due to higher revenue and associated gross profit.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Processing (includes Connected Microcontrollers and Processors product lines)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Q3 2020</w:t>
            </w:r>
          </w:p>
        </w:tc>
        <w:tc>
          <w:tcPr>
            <w:tcW w:w="2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Q3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33"/>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33"/>
        </w:trPr>
        <w:tc>
          <w:tcPr>
            <w:tcW w:w="7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Embedded Processing revenue decreased in both product lines, led by Processors. Operating profit decreased due to lower revenue and associated gross profit.</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Other (includes DLP</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8"/>
          <w:szCs w:val="18"/>
          <w:i w:val="1"/>
          <w:iCs w:val="1"/>
          <w:color w:val="auto"/>
        </w:rPr>
        <w:t xml:space="preserve"> products, calculators and custom ASIC products)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Q3 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Q3 2019</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6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33"/>
        </w:trPr>
        <w:tc>
          <w:tcPr>
            <w:tcW w:w="7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33.9 %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Includes acquisition charges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decreased $72 million, and operating profit decreased $23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first nine months of 2020 compared with first nine months of 2019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of $10.39 billion decreased $648 million, or 6%, primarily due to lower revenue from Embedded Processing.</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Gross profit of $6.62 billion was down $444 million, or 6%, due to lower revenue. As a percentage of revenue, gross profit decreased to 63.8% from 64.1%.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$2.37 billion compared with $2.39 billion.</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Restructuring charges/other was a charge of $24 million due to an Embedded Processing action, compared with a credit of $36 million due to the sale of our manufacturing facility in Greenock, Scotland in 2019.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charges were $151 million compared with $238 million and were non-cash. See Note 5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profit was $4.08 billion, or 39.3% of revenue, compared with $4.47 billion, or 40.6% of revenue.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OI&amp;E was $151 million of income compared with $122 million of income, which increased primarily due to the reversal of interest accrued on an uncertain tax position, partially offset by lower interest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debt expense of $142 million increased $17 million due to the issuance of additional long-term debt.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provision for income taxes was $183 million compared with $524 million. This decrease was due to higher discrete tax benefits, which included a $249 million benefit from the settlement of a depreciation-related uncertain tax position, and, to a lesser extent, a lower annual operating tax rate and lower income before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$3.91 billion compared with $3.95 billion. EPS was $4.17 compared with $4.12.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 results compared with the year-ago period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Analog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YTD 2020</w:t>
            </w:r>
          </w:p>
        </w:tc>
        <w:tc>
          <w:tcPr>
            <w:tcW w:w="2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7,759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9"/>
                <w:szCs w:val="19"/>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3,398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33"/>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33"/>
        </w:trPr>
        <w:tc>
          <w:tcPr>
            <w:tcW w:w="7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revenue was about even in both product lines. Operating profit was about even.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Processing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YTD 2020</w:t>
            </w:r>
          </w:p>
        </w:tc>
        <w:tc>
          <w:tcPr>
            <w:tcW w:w="2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9"/>
                <w:szCs w:val="19"/>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33"/>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33"/>
        </w:trPr>
        <w:tc>
          <w:tcPr>
            <w:tcW w:w="7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Embedded Processing revenue decreased in both product lines, led by Processors. Operating profit decreased due to lower revenue and associated gross profit.</w:t>
      </w:r>
    </w:p>
    <w:p>
      <w:pPr>
        <w:sectPr>
          <w:pgSz w:w="11900" w:h="16838" w:orient="portrait"/>
          <w:cols w:equalWidth="0" w:num="1">
            <w:col w:w="11240"/>
          </w:cols>
          <w:pgMar w:left="320" w:top="1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YTD 2020</w:t>
            </w:r>
          </w:p>
        </w:tc>
        <w:tc>
          <w:tcPr>
            <w:tcW w:w="2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20" w:type="dxa"/>
            <w:vAlign w:val="bottom"/>
          </w:tcPr>
          <w:p>
            <w:pPr>
              <w:spacing w:after="0"/>
              <w:rPr>
                <w:sz w:val="19"/>
                <w:szCs w:val="19"/>
                <w:color w:val="auto"/>
              </w:rPr>
            </w:pPr>
          </w:p>
        </w:tc>
        <w:tc>
          <w:tcPr>
            <w:tcW w:w="11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33"/>
        </w:trPr>
        <w:tc>
          <w:tcPr>
            <w:tcW w:w="7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profit % of revenue</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24.4 %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Includes acquisition charges and restructuring charges/other</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decreased $221 million, and operating profit decreased $111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the end of the third quarter of 2020, total cash (cash and cash equivalents plus short-term investments) was $5.52 billion, an increase of $131 million from the end of 2019.</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Accounts receivable were $1.39 billion, an increase of $318 million compared with the end of 2019. Days sales outstanding at the end of the third quarter of 2020 were 33 compared with 29 at the end of 2019.</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Inventory was $2.07 billion, an increase of $71 million from the end of 2019. Days of inventory at the end of the third quarter of 2020 were 137 compared with 144 at the end of 2019. The increase in inventory reflects our desire to maintain high optionality with our operating plan so we can keep our lead times stable and product availability high, particularly during this time when our customers' ability to forecast their demand is limited. It is also higher as we reduce the number of distributors this year and have a closer, direct relationship with our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2020 were $4.01 billion, a decrease of $881 million from the year-ago period primarily due to an increase in cash used for working capital.</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revolving credit facility is with a consortium of investment-grade banks and allows us to borrow up to $2 billion until March 2024. This credit facility also serves as support for the issuance of commercial paper. As of September 30, 2020, our credit facility was undrawn, and we had no commercial paper outstanding.</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Investing activities for the first nine months of 2020 provided $74 million compared with $1 million in the year-ago period. Capital expenditures were $437 million compared with $684 million in the year-ago period and were primarily for semiconductor manufacturing equipment and facilities in both periods. Short-term investments provided cash of $523 million compared with $630 million in the year-ago period.</w:t>
      </w:r>
    </w:p>
    <w:p>
      <w:pPr>
        <w:spacing w:after="0" w:line="17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Financing activities for the first nine months of 2020 used $3.70 billion compared with $3.44 billion in the year-ago period. In 2020, we received net proceeds of $1.50 billion from the issuance of fixed-rate, long-term debt, and we retired maturing debt of $500 million. In the year-ago period, we received net proceeds of $1.49 billion from the issuance of fixed-rate, long-term debt, and we retired maturing debt of $750 million. Dividends paid were</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$2.49 billion compared with $2.17 billion in the year-ago period, reflecting an increase in the dividend rate, partially offset by fewer shares outstanding. We used $2.54 billion to repurchase 23.3 million shares of our common stock compared with $2.47 billion used in the year-ago period to repurchase 23.4 million shares. Employee exercises of stock options provided cash proceeds of $356 million compared with $491 million in the year-ago period.</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$2.82 billion of cash and cash equivalents and $2.70 billion of short-term investments as of September 30, 2020. We believe we have the necessary financial resources and operating plans to fund our working capital needs, capital expenditures, dividend and debt-related payments, and other business requirements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1" w:name="page22"/>
    <w:bookmarkEnd w:id="21"/>
    <w:p>
      <w:pPr>
        <w:ind w:right="80"/>
        <w:spacing w:after="0" w:line="266" w:lineRule="auto"/>
        <w:rPr>
          <w:sz w:val="20"/>
          <w:szCs w:val="20"/>
          <w:color w:val="auto"/>
        </w:rPr>
      </w:pPr>
      <w:r>
        <w:rPr>
          <w:rFonts w:ascii="Times New Roman" w:cs="Times New Roman" w:eastAsia="Times New Roman" w:hAnsi="Times New Roman"/>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to the most directly comparable GAAP measures is provided in the table below.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For 12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7"/>
        </w:trPr>
        <w:tc>
          <w:tcPr>
            <w:tcW w:w="7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3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7"/>
        </w:trPr>
        <w:tc>
          <w:tcPr>
            <w:tcW w:w="7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5,768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2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tcPr>
          <w:p>
            <w:pPr>
              <w:spacing w:after="0"/>
              <w:rPr>
                <w:sz w:val="19"/>
                <w:szCs w:val="19"/>
                <w:color w:val="auto"/>
              </w:rPr>
            </w:pP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3"/>
        </w:trPr>
        <w:tc>
          <w:tcPr>
            <w:tcW w:w="70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6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(non-GAAP)</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5,168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6"/>
        </w:trPr>
        <w:tc>
          <w:tcPr>
            <w:tcW w:w="70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r>
      <w:tr>
        <w:trPr>
          <w:trHeight w:val="272"/>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13,735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14,750</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166"/>
        </w:trPr>
        <w:tc>
          <w:tcPr>
            <w:tcW w:w="7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operations as a percentage of revenue (GAAP)</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42.0 %</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 as a percentage of revenue (non-GAAP)</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bl>
    <w:p>
      <w:pPr>
        <w:spacing w:after="0" w:line="23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contractual obligations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Information regarding long-term contractual obligations is in Item 7 of our Form 10-K for the year ended December 31, 2019. Additionally, in the first nine months of 2020, we issued $750 million principal amount of 1.375% notes maturing in 2025 and $750 million principal amount of 1.75% notes maturing in 2030. We retired $500 million of maturing debt in April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information regarding the status of new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Information concerning our risk factors is contained in Item 1A of our Form 10-Q for the quarter ended March 31, 2020,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20" w:type="dxa"/>
            <w:vAlign w:val="bottom"/>
          </w:tcPr>
          <w:p>
            <w:pPr>
              <w:spacing w:after="0"/>
              <w:rPr>
                <w:sz w:val="16"/>
                <w:szCs w:val="16"/>
                <w:color w:val="auto"/>
              </w:rPr>
            </w:pPr>
          </w:p>
        </w:tc>
        <w:tc>
          <w:tcPr>
            <w:tcW w:w="19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 Dollar Value</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Purchased as</w:t>
            </w:r>
          </w:p>
        </w:tc>
        <w:tc>
          <w:tcPr>
            <w:tcW w:w="12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15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w:t>
            </w:r>
          </w:p>
        </w:tc>
        <w:tc>
          <w:tcPr>
            <w:tcW w:w="12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 Shares that May Yet Be</w:t>
            </w: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50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Announced Plans or</w:t>
            </w:r>
          </w:p>
        </w:tc>
        <w:tc>
          <w:tcPr>
            <w:tcW w:w="120" w:type="dxa"/>
            <w:vAlign w:val="bottom"/>
          </w:tcPr>
          <w:p>
            <w:pPr>
              <w:spacing w:after="0"/>
              <w:rPr>
                <w:sz w:val="11"/>
                <w:szCs w:val="11"/>
                <w:color w:val="auto"/>
              </w:rPr>
            </w:pPr>
          </w:p>
        </w:tc>
        <w:tc>
          <w:tcPr>
            <w:tcW w:w="1940" w:type="dxa"/>
            <w:vAlign w:val="bottom"/>
            <w:gridSpan w:val="3"/>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2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vMerge w:val="restart"/>
          </w:tcPr>
          <w:p>
            <w:pPr>
              <w:spacing w:after="0"/>
              <w:rPr>
                <w:sz w:val="2"/>
                <w:szCs w:val="2"/>
                <w:color w:val="auto"/>
              </w:rPr>
            </w:pPr>
          </w:p>
        </w:tc>
        <w:tc>
          <w:tcPr>
            <w:tcW w:w="14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Paid per Share</w:t>
            </w:r>
          </w:p>
        </w:tc>
        <w:tc>
          <w:tcPr>
            <w:tcW w:w="100" w:type="dxa"/>
            <w:vAlign w:val="bottom"/>
            <w:vMerge w:val="restart"/>
          </w:tcPr>
          <w:p>
            <w:pPr>
              <w:spacing w:after="0"/>
              <w:rPr>
                <w:sz w:val="2"/>
                <w:szCs w:val="2"/>
                <w:color w:val="auto"/>
              </w:rPr>
            </w:pPr>
          </w:p>
        </w:tc>
        <w:tc>
          <w:tcPr>
            <w:tcW w:w="15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 (a)</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or Programs (a)</w:t>
            </w:r>
          </w:p>
        </w:tc>
        <w:tc>
          <w:tcPr>
            <w:tcW w:w="0" w:type="dxa"/>
            <w:vAlign w:val="bottom"/>
          </w:tcPr>
          <w:p>
            <w:pPr>
              <w:spacing w:after="0"/>
              <w:rPr>
                <w:sz w:val="1"/>
                <w:szCs w:val="1"/>
                <w:color w:val="auto"/>
              </w:rPr>
            </w:pPr>
          </w:p>
        </w:tc>
      </w:tr>
      <w:tr>
        <w:trPr>
          <w:trHeight w:val="232"/>
        </w:trPr>
        <w:tc>
          <w:tcPr>
            <w:tcW w:w="4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1, 2020 through July 31, 2020</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89,262</w:t>
            </w:r>
          </w:p>
        </w:tc>
        <w:tc>
          <w:tcPr>
            <w:tcW w:w="3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FF0FC"/>
            </w:tcBorders>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129.15</w:t>
            </w:r>
          </w:p>
        </w:tc>
        <w:tc>
          <w:tcPr>
            <w:tcW w:w="3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68,088</w:t>
            </w:r>
          </w:p>
        </w:tc>
        <w:tc>
          <w:tcPr>
            <w:tcW w:w="380" w:type="dxa"/>
            <w:vAlign w:val="bottom"/>
            <w:tcBorders>
              <w:bottom w:val="single" w:sz="8" w:color="CFF0FC"/>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billion</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August 1, 2020 through August 31, 2020</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131.33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billion</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2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1, 2020 through September 30, 2020</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3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134.78</w:t>
            </w:r>
          </w:p>
        </w:tc>
        <w:tc>
          <w:tcPr>
            <w:tcW w:w="3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billion</w:t>
            </w:r>
          </w:p>
        </w:tc>
        <w:tc>
          <w:tcPr>
            <w:tcW w:w="0" w:type="dxa"/>
            <w:vAlign w:val="bottom"/>
          </w:tcPr>
          <w:p>
            <w:pPr>
              <w:spacing w:after="0"/>
              <w:rPr>
                <w:sz w:val="1"/>
                <w:szCs w:val="1"/>
                <w:color w:val="auto"/>
              </w:rPr>
            </w:pPr>
          </w:p>
        </w:tc>
      </w:tr>
      <w:tr>
        <w:trPr>
          <w:trHeight w:val="247"/>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131,090</w:t>
            </w:r>
          </w:p>
        </w:tc>
        <w:tc>
          <w:tcPr>
            <w:tcW w:w="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(b)</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199"/>
              <w:spacing w:after="0"/>
              <w:rPr>
                <w:sz w:val="20"/>
                <w:szCs w:val="20"/>
                <w:color w:val="auto"/>
              </w:rPr>
            </w:pPr>
            <w:r>
              <w:rPr>
                <w:rFonts w:ascii="Times New Roman" w:cs="Times New Roman" w:eastAsia="Times New Roman" w:hAnsi="Times New Roman"/>
                <w:sz w:val="16"/>
                <w:szCs w:val="16"/>
                <w:color w:val="auto"/>
                <w:w w:val="99"/>
              </w:rPr>
              <w:t>129.87</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109,916</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billion (c)</w:t>
            </w:r>
          </w:p>
        </w:tc>
        <w:tc>
          <w:tcPr>
            <w:tcW w:w="0" w:type="dxa"/>
            <w:vAlign w:val="bottom"/>
          </w:tcPr>
          <w:p>
            <w:pPr>
              <w:spacing w:after="0"/>
              <w:rPr>
                <w:sz w:val="1"/>
                <w:szCs w:val="1"/>
                <w:color w:val="auto"/>
              </w:rPr>
            </w:pPr>
          </w:p>
        </w:tc>
      </w:tr>
      <w:tr>
        <w:trPr>
          <w:trHeight w:val="24"/>
        </w:trPr>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340" w:right="660" w:hanging="332"/>
        <w:spacing w:after="0" w:line="282" w:lineRule="auto"/>
        <w:tabs>
          <w:tab w:leader="none" w:pos="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88"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open-market purchases, 21,174 shares of common stock were surrendered by employees to satisfy tax withholding obligations in connection with the vesting of restricted stock units.</w:t>
      </w:r>
    </w:p>
    <w:p>
      <w:pPr>
        <w:spacing w:after="0" w:line="188"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2020,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line="185" w:lineRule="auto"/>
        <w:framePr w:w="1440" w:h="160" w:wrap="auto" w:vAnchor="page" w:hAnchor="page" w:x="280" w:y="911"/>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03"/>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Designation of Exhibits</w:t>
            </w:r>
          </w:p>
        </w:tc>
        <w:tc>
          <w:tcPr>
            <w:tcW w:w="1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This Report</w:t>
            </w:r>
          </w:p>
        </w:tc>
        <w:tc>
          <w:tcPr>
            <w:tcW w:w="93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3(a)</w:t>
            </w:r>
          </w:p>
        </w:tc>
        <w:tc>
          <w:tcPr>
            <w:tcW w:w="9320" w:type="dxa"/>
            <w:vAlign w:val="bottom"/>
            <w:gridSpan w:val="10"/>
            <w:shd w:val="clear" w:color="auto" w:fill="CCEEFF"/>
          </w:tcPr>
          <w:p>
            <w:pPr>
              <w:spacing w:after="0" w:line="175"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Restated Certificate of Incorporation of the Registrant, dated April 18, 1985, as amended (incorporated by reference to Exhibit 3(a) of the</w:t>
              </w:r>
            </w:hyperlink>
          </w:p>
        </w:tc>
        <w:tc>
          <w:tcPr>
            <w:tcW w:w="0" w:type="dxa"/>
            <w:vAlign w:val="bottom"/>
          </w:tcPr>
          <w:p>
            <w:pPr>
              <w:spacing w:after="0"/>
              <w:rPr>
                <w:sz w:val="1"/>
                <w:szCs w:val="1"/>
                <w:color w:val="auto"/>
              </w:rPr>
            </w:pPr>
          </w:p>
        </w:tc>
      </w:tr>
      <w:tr>
        <w:trPr>
          <w:trHeight w:val="82"/>
        </w:trPr>
        <w:tc>
          <w:tcPr>
            <w:tcW w:w="1920" w:type="dxa"/>
            <w:vAlign w:val="bottom"/>
            <w:tcBorders>
              <w:top w:val="single" w:sz="8" w:color="CCEEFF"/>
            </w:tcBorders>
            <w:vMerge w:val="continue"/>
            <w:shd w:val="clear" w:color="auto" w:fill="CCEEFF"/>
          </w:tcPr>
          <w:p>
            <w:pPr>
              <w:spacing w:after="0"/>
              <w:rPr>
                <w:sz w:val="7"/>
                <w:szCs w:val="7"/>
                <w:color w:val="auto"/>
              </w:rPr>
            </w:pPr>
          </w:p>
        </w:tc>
        <w:tc>
          <w:tcPr>
            <w:tcW w:w="5360" w:type="dxa"/>
            <w:vAlign w:val="bottom"/>
            <w:tcBorders>
              <w:top w:val="single" w:sz="8" w:color="0000FF"/>
            </w:tcBorders>
            <w:gridSpan w:val="7"/>
            <w:vMerge w:val="restart"/>
            <w:shd w:val="clear" w:color="auto" w:fill="CCEEFF"/>
          </w:tcPr>
          <w:p>
            <w:pPr>
              <w:spacing w:after="0" w:line="142" w:lineRule="exact"/>
              <w:rPr>
                <w:rFonts w:ascii="Times New Roman" w:cs="Times New Roman" w:eastAsia="Times New Roman" w:hAnsi="Times New Roman"/>
                <w:sz w:val="16"/>
                <w:szCs w:val="16"/>
                <w:color w:val="0000FF"/>
              </w:rPr>
            </w:pPr>
            <w:hyperlink r:id="rId42">
              <w:r>
                <w:rPr>
                  <w:rFonts w:ascii="Times New Roman" w:cs="Times New Roman" w:eastAsia="Times New Roman" w:hAnsi="Times New Roman"/>
                  <w:sz w:val="16"/>
                  <w:szCs w:val="16"/>
                  <w:color w:val="0000FF"/>
                </w:rPr>
                <w:t>Registrant's Annual Report on Form 10-K for the year ended December 31, 2014).</w:t>
              </w:r>
            </w:hyperlink>
          </w:p>
        </w:tc>
        <w:tc>
          <w:tcPr>
            <w:tcW w:w="3560" w:type="dxa"/>
            <w:vAlign w:val="bottom"/>
            <w:tcBorders>
              <w:top w:val="single" w:sz="8" w:color="0000FF"/>
            </w:tcBorders>
            <w:vMerge w:val="restart"/>
            <w:shd w:val="clear" w:color="auto" w:fill="CCEEFF"/>
          </w:tcPr>
          <w:p>
            <w:pPr>
              <w:spacing w:after="0"/>
              <w:rPr>
                <w:sz w:val="7"/>
                <w:szCs w:val="7"/>
                <w:color w:val="auto"/>
              </w:rPr>
            </w:pPr>
          </w:p>
        </w:tc>
        <w:tc>
          <w:tcPr>
            <w:tcW w:w="400" w:type="dxa"/>
            <w:vAlign w:val="bottom"/>
            <w:tcBorders>
              <w:top w:val="single" w:sz="8" w:color="CCEEFF"/>
            </w:tcBorders>
            <w:gridSpan w:val="2"/>
            <w:vMerge w:val="restart"/>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920" w:type="dxa"/>
            <w:vAlign w:val="bottom"/>
            <w:tcBorders>
              <w:bottom w:val="single" w:sz="8" w:color="CCEEFF"/>
            </w:tcBorders>
            <w:shd w:val="clear" w:color="auto" w:fill="CCEEFF"/>
          </w:tcPr>
          <w:p>
            <w:pPr>
              <w:spacing w:after="0"/>
              <w:rPr>
                <w:sz w:val="7"/>
                <w:szCs w:val="7"/>
                <w:color w:val="auto"/>
              </w:rPr>
            </w:pPr>
          </w:p>
        </w:tc>
        <w:tc>
          <w:tcPr>
            <w:tcW w:w="5360" w:type="dxa"/>
            <w:vAlign w:val="bottom"/>
            <w:tcBorders>
              <w:bottom w:val="single" w:sz="8" w:color="0000FF"/>
            </w:tcBorders>
            <w:gridSpan w:val="7"/>
            <w:vMerge w:val="continue"/>
            <w:shd w:val="clear" w:color="auto" w:fill="CCEEFF"/>
          </w:tcPr>
          <w:p>
            <w:pPr>
              <w:spacing w:after="0"/>
              <w:rPr>
                <w:sz w:val="7"/>
                <w:szCs w:val="7"/>
                <w:color w:val="auto"/>
              </w:rPr>
            </w:pPr>
          </w:p>
        </w:tc>
        <w:tc>
          <w:tcPr>
            <w:tcW w:w="3560" w:type="dxa"/>
            <w:vAlign w:val="bottom"/>
            <w:tcBorders>
              <w:bottom w:val="single" w:sz="8" w:color="CCEEFF"/>
            </w:tcBorders>
            <w:vMerge w:val="continue"/>
            <w:shd w:val="clear" w:color="auto" w:fill="CCEEFF"/>
          </w:tcPr>
          <w:p>
            <w:pPr>
              <w:spacing w:after="0"/>
              <w:rPr>
                <w:sz w:val="7"/>
                <w:szCs w:val="7"/>
                <w:color w:val="auto"/>
              </w:rPr>
            </w:pPr>
          </w:p>
        </w:tc>
        <w:tc>
          <w:tcPr>
            <w:tcW w:w="40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3(b)</w:t>
            </w:r>
          </w:p>
        </w:tc>
        <w:tc>
          <w:tcPr>
            <w:tcW w:w="9320" w:type="dxa"/>
            <w:vAlign w:val="bottom"/>
            <w:gridSpan w:val="10"/>
          </w:tcPr>
          <w:p>
            <w:pPr>
              <w:spacing w:after="0"/>
              <w:rPr>
                <w:rFonts w:ascii="Times New Roman" w:cs="Times New Roman" w:eastAsia="Times New Roman" w:hAnsi="Times New Roman"/>
                <w:sz w:val="16"/>
                <w:szCs w:val="16"/>
                <w:u w:val="single" w:color="auto"/>
                <w:color w:val="0000FF"/>
              </w:rPr>
            </w:pPr>
            <w:hyperlink r:id="rId43">
              <w:r>
                <w:rPr>
                  <w:rFonts w:ascii="Times New Roman" w:cs="Times New Roman" w:eastAsia="Times New Roman" w:hAnsi="Times New Roman"/>
                  <w:sz w:val="16"/>
                  <w:szCs w:val="16"/>
                  <w:u w:val="single" w:color="auto"/>
                  <w:color w:val="0000FF"/>
                </w:rPr>
                <w:t>By-Laws of the Registrant (incorporated by reference to Exhibit 3 of the Registrant's Current Report on Form 8-K filed July 16, 2020).</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31(a)</w:t>
            </w:r>
          </w:p>
        </w:tc>
        <w:tc>
          <w:tcPr>
            <w:tcW w:w="932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6"/>
                <w:szCs w:val="16"/>
                <w:u w:val="single" w:color="auto"/>
                <w:color w:val="0000FF"/>
              </w:rPr>
            </w:pPr>
            <w:hyperlink w:anchor="page29">
              <w:r>
                <w:rPr>
                  <w:rFonts w:ascii="Times New Roman" w:cs="Times New Roman" w:eastAsia="Times New Roman" w:hAnsi="Times New Roman"/>
                  <w:sz w:val="16"/>
                  <w:szCs w:val="16"/>
                  <w:u w:val="single" w:color="auto"/>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223"/>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31(b)</w:t>
            </w:r>
          </w:p>
        </w:tc>
        <w:tc>
          <w:tcPr>
            <w:tcW w:w="9320" w:type="dxa"/>
            <w:vAlign w:val="bottom"/>
            <w:gridSpan w:val="10"/>
          </w:tcPr>
          <w:p>
            <w:pPr>
              <w:spacing w:after="0"/>
              <w:rPr>
                <w:rFonts w:ascii="Times New Roman" w:cs="Times New Roman" w:eastAsia="Times New Roman" w:hAnsi="Times New Roman"/>
                <w:sz w:val="16"/>
                <w:szCs w:val="16"/>
                <w:u w:val="single" w:color="auto"/>
                <w:color w:val="0000FF"/>
              </w:rPr>
            </w:pPr>
            <w:hyperlink w:anchor="page30">
              <w:r>
                <w:rPr>
                  <w:rFonts w:ascii="Times New Roman" w:cs="Times New Roman" w:eastAsia="Times New Roman" w:hAnsi="Times New Roman"/>
                  <w:sz w:val="16"/>
                  <w:szCs w:val="16"/>
                  <w:u w:val="single" w:color="auto"/>
                  <w:color w:val="0000FF"/>
                </w:rPr>
                <w:t>Certification of Chief Financial Officer of Periodic Report Pursuant to Rule 13a-14(a) or Rule 15d-14(a).†</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32(a)</w:t>
            </w:r>
          </w:p>
        </w:tc>
        <w:tc>
          <w:tcPr>
            <w:tcW w:w="9320" w:type="dxa"/>
            <w:vAlign w:val="bottom"/>
            <w:tcBorders>
              <w:bottom w:val="single" w:sz="8" w:color="CCEEFF"/>
            </w:tcBorders>
            <w:gridSpan w:val="10"/>
            <w:shd w:val="clear" w:color="auto" w:fill="CCEEFF"/>
          </w:tcPr>
          <w:p>
            <w:pPr>
              <w:spacing w:after="0"/>
              <w:rPr>
                <w:rFonts w:ascii="Times New Roman" w:cs="Times New Roman" w:eastAsia="Times New Roman" w:hAnsi="Times New Roman"/>
                <w:sz w:val="16"/>
                <w:szCs w:val="16"/>
                <w:u w:val="single" w:color="auto"/>
                <w:color w:val="0000FF"/>
              </w:rPr>
            </w:pPr>
            <w:hyperlink w:anchor="page31">
              <w:r>
                <w:rPr>
                  <w:rFonts w:ascii="Times New Roman" w:cs="Times New Roman" w:eastAsia="Times New Roman" w:hAnsi="Times New Roman"/>
                  <w:sz w:val="16"/>
                  <w:szCs w:val="16"/>
                  <w:u w:val="single" w:color="auto"/>
                  <w:color w:val="0000FF"/>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224"/>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7"/>
              </w:rPr>
              <w:t>32(b)</w:t>
            </w:r>
          </w:p>
        </w:tc>
        <w:tc>
          <w:tcPr>
            <w:tcW w:w="9320" w:type="dxa"/>
            <w:vAlign w:val="bottom"/>
            <w:gridSpan w:val="10"/>
          </w:tcPr>
          <w:p>
            <w:pPr>
              <w:spacing w:after="0"/>
              <w:rPr>
                <w:rFonts w:ascii="Times New Roman" w:cs="Times New Roman" w:eastAsia="Times New Roman" w:hAnsi="Times New Roman"/>
                <w:sz w:val="16"/>
                <w:szCs w:val="16"/>
                <w:u w:val="single" w:color="auto"/>
                <w:color w:val="0000FF"/>
              </w:rPr>
            </w:pPr>
            <w:hyperlink w:anchor="page32">
              <w:r>
                <w:rPr>
                  <w:rFonts w:ascii="Times New Roman" w:cs="Times New Roman" w:eastAsia="Times New Roman" w:hAnsi="Times New Roman"/>
                  <w:sz w:val="16"/>
                  <w:szCs w:val="16"/>
                  <w:u w:val="single" w:color="auto"/>
                  <w:color w:val="0000FF"/>
                </w:rPr>
                <w:t>Certification by Chief Financial Officer of Periodic Report Pursuant to 18 U.S.C. Section 1350.†</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vMerge w:val="restart"/>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101.ins</w:t>
            </w:r>
          </w:p>
        </w:tc>
        <w:tc>
          <w:tcPr>
            <w:tcW w:w="93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09"/>
        </w:trPr>
        <w:tc>
          <w:tcPr>
            <w:tcW w:w="1920" w:type="dxa"/>
            <w:vAlign w:val="bottom"/>
            <w:tcBorders>
              <w:top w:val="single" w:sz="8" w:color="CCEEFF"/>
            </w:tcBorders>
            <w:vMerge w:val="continue"/>
            <w:shd w:val="clear" w:color="auto" w:fill="CCEEFF"/>
          </w:tcPr>
          <w:p>
            <w:pPr>
              <w:spacing w:after="0"/>
              <w:rPr>
                <w:sz w:val="9"/>
                <w:szCs w:val="9"/>
                <w:color w:val="auto"/>
              </w:rPr>
            </w:pPr>
          </w:p>
        </w:tc>
        <w:tc>
          <w:tcPr>
            <w:tcW w:w="1900" w:type="dxa"/>
            <w:vAlign w:val="bottom"/>
            <w:tcBorders>
              <w:top w:val="single" w:sz="8" w:color="auto"/>
            </w:tcBorders>
            <w:vMerge w:val="restart"/>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the Inline XBRL document.†</w:t>
            </w:r>
          </w:p>
        </w:tc>
        <w:tc>
          <w:tcPr>
            <w:tcW w:w="7200" w:type="dxa"/>
            <w:vAlign w:val="bottom"/>
            <w:tcBorders>
              <w:top w:val="single" w:sz="8" w:color="auto"/>
            </w:tcBorders>
            <w:gridSpan w:val="8"/>
            <w:vMerge w:val="restart"/>
            <w:shd w:val="clear" w:color="auto" w:fill="CCEEFF"/>
          </w:tcPr>
          <w:p>
            <w:pPr>
              <w:spacing w:after="0"/>
              <w:rPr>
                <w:sz w:val="9"/>
                <w:szCs w:val="9"/>
                <w:color w:val="auto"/>
              </w:rPr>
            </w:pPr>
          </w:p>
        </w:tc>
        <w:tc>
          <w:tcPr>
            <w:tcW w:w="22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92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auto"/>
            </w:tcBorders>
            <w:vMerge w:val="continue"/>
            <w:shd w:val="clear" w:color="auto" w:fill="CCEEFF"/>
          </w:tcPr>
          <w:p>
            <w:pPr>
              <w:spacing w:after="0"/>
              <w:rPr>
                <w:sz w:val="10"/>
                <w:szCs w:val="10"/>
                <w:color w:val="auto"/>
              </w:rPr>
            </w:pPr>
          </w:p>
        </w:tc>
        <w:tc>
          <w:tcPr>
            <w:tcW w:w="7200" w:type="dxa"/>
            <w:vAlign w:val="bottom"/>
            <w:tcBorders>
              <w:bottom w:val="single" w:sz="8" w:color="CCEEFF"/>
            </w:tcBorders>
            <w:gridSpan w:val="8"/>
            <w:vMerge w:val="continue"/>
            <w:shd w:val="clear" w:color="auto" w:fill="CCEEFF"/>
          </w:tcPr>
          <w:p>
            <w:pPr>
              <w:spacing w:after="0"/>
              <w:rPr>
                <w:sz w:val="10"/>
                <w:szCs w:val="10"/>
                <w:color w:val="auto"/>
              </w:rPr>
            </w:pP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101.def</w:t>
            </w:r>
          </w:p>
        </w:tc>
        <w:tc>
          <w:tcPr>
            <w:tcW w:w="9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rPr>
              <w:t>101.sch</w:t>
            </w:r>
          </w:p>
        </w:tc>
        <w:tc>
          <w:tcPr>
            <w:tcW w:w="32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6060" w:type="dxa"/>
            <w:vAlign w:val="bottom"/>
            <w:tcBorders>
              <w:bottom w:val="single" w:sz="8" w:color="CCEEFF"/>
            </w:tcBorders>
            <w:gridSpan w:val="8"/>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w w:val="98"/>
              </w:rPr>
              <w:t>101.cal</w:t>
            </w:r>
          </w:p>
        </w:tc>
        <w:tc>
          <w:tcPr>
            <w:tcW w:w="93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101.lab</w:t>
            </w:r>
          </w:p>
        </w:tc>
        <w:tc>
          <w:tcPr>
            <w:tcW w:w="93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48"/>
        </w:trPr>
        <w:tc>
          <w:tcPr>
            <w:tcW w:w="1920" w:type="dxa"/>
            <w:vAlign w:val="bottom"/>
            <w:tcBorders>
              <w:top w:val="single" w:sz="8" w:color="CCEEFF"/>
            </w:tcBorders>
            <w:shd w:val="clear" w:color="auto" w:fill="CCEEFF"/>
          </w:tcPr>
          <w:p>
            <w:pPr>
              <w:spacing w:after="0"/>
              <w:rPr>
                <w:sz w:val="4"/>
                <w:szCs w:val="4"/>
                <w:color w:val="auto"/>
              </w:rPr>
            </w:pPr>
          </w:p>
        </w:tc>
        <w:tc>
          <w:tcPr>
            <w:tcW w:w="1900" w:type="dxa"/>
            <w:vAlign w:val="bottom"/>
            <w:tcBorders>
              <w:top w:val="single" w:sz="8" w:color="auto"/>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3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tcPr>
          <w:p>
            <w:pPr>
              <w:jc w:val="center"/>
              <w:ind w:right="19"/>
              <w:spacing w:after="0"/>
              <w:rPr>
                <w:sz w:val="20"/>
                <w:szCs w:val="20"/>
                <w:color w:val="auto"/>
              </w:rPr>
            </w:pPr>
            <w:r>
              <w:rPr>
                <w:rFonts w:ascii="Times New Roman" w:cs="Times New Roman" w:eastAsia="Times New Roman" w:hAnsi="Times New Roman"/>
                <w:sz w:val="16"/>
                <w:szCs w:val="16"/>
                <w:color w:val="auto"/>
              </w:rPr>
              <w:t>101.pre</w:t>
            </w:r>
          </w:p>
        </w:tc>
        <w:tc>
          <w:tcPr>
            <w:tcW w:w="41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51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7" w:lineRule="exact"/>
        <w:rPr>
          <w:sz w:val="20"/>
          <w:szCs w:val="20"/>
          <w:color w:val="auto"/>
        </w:rPr>
      </w:pPr>
    </w:p>
    <w:p>
      <w:pPr>
        <w:ind w:left="1920" w:hanging="1129"/>
        <w:spacing w:after="0"/>
        <w:tabs>
          <w:tab w:leader="none" w:pos="192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Cover Page Interactive Data File (embedded within the Inline XBRL document).†</w:t>
      </w:r>
    </w:p>
    <w:p>
      <w:pPr>
        <w:spacing w:after="0" w:line="72" w:lineRule="exact"/>
        <w:rPr>
          <w:rFonts w:ascii="Times New Roman" w:cs="Times New Roman" w:eastAsia="Times New Roman" w:hAnsi="Times New Roman"/>
          <w:sz w:val="16"/>
          <w:szCs w:val="16"/>
          <w:color w:val="auto"/>
        </w:rPr>
      </w:pPr>
    </w:p>
    <w:p>
      <w:pPr>
        <w:ind w:left="140" w:hanging="114"/>
        <w:spacing w:after="0"/>
        <w:tabs>
          <w:tab w:leader="none" w:pos="1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TI or our management:</w:t>
      </w:r>
    </w:p>
    <w:p>
      <w:pPr>
        <w:spacing w:after="0" w:line="162" w:lineRule="exact"/>
        <w:rPr>
          <w:sz w:val="20"/>
          <w:szCs w:val="20"/>
          <w:color w:val="auto"/>
        </w:rPr>
      </w:pPr>
    </w:p>
    <w:p>
      <w:pPr>
        <w:ind w:left="620" w:right="66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or suppliers;</w:t>
      </w:r>
    </w:p>
    <w:p>
      <w:pPr>
        <w:spacing w:after="0" w:line="117" w:lineRule="exact"/>
        <w:rPr>
          <w:rFonts w:ascii="Times New Roman" w:cs="Times New Roman" w:eastAsia="Times New Roman" w:hAnsi="Times New Roman"/>
          <w:sz w:val="18"/>
          <w:szCs w:val="18"/>
          <w:color w:val="auto"/>
        </w:rPr>
      </w:pPr>
    </w:p>
    <w:p>
      <w:pPr>
        <w:ind w:left="620" w:right="26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53" w:lineRule="exact"/>
        <w:rPr>
          <w:rFonts w:ascii="Times New Roman" w:cs="Times New Roman" w:eastAsia="Times New Roman" w:hAnsi="Times New Roman"/>
          <w:sz w:val="18"/>
          <w:szCs w:val="18"/>
          <w:color w:val="auto"/>
        </w:rPr>
      </w:pPr>
    </w:p>
    <w:p>
      <w:pPr>
        <w:ind w:left="620" w:right="100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117" w:lineRule="exact"/>
        <w:rPr>
          <w:rFonts w:ascii="Times New Roman" w:cs="Times New Roman" w:eastAsia="Times New Roman" w:hAnsi="Times New Roman"/>
          <w:sz w:val="18"/>
          <w:szCs w:val="18"/>
          <w:color w:val="auto"/>
        </w:rPr>
      </w:pPr>
    </w:p>
    <w:p>
      <w:pPr>
        <w:ind w:left="620" w:right="10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53" w:lineRule="exact"/>
        <w:rPr>
          <w:rFonts w:ascii="Times New Roman" w:cs="Times New Roman" w:eastAsia="Times New Roman" w:hAnsi="Times New Roman"/>
          <w:sz w:val="18"/>
          <w:szCs w:val="18"/>
          <w:color w:val="auto"/>
        </w:rPr>
      </w:pPr>
    </w:p>
    <w:p>
      <w:pPr>
        <w:ind w:left="620" w:right="60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suffered by one of our customers or distributors with respect to TI-consigned inventory;</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their promotion of competing product lines to our detriment; or disputes with significant distributors;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distributor and other customer inventory adjustments;</w:t>
      </w:r>
    </w:p>
    <w:p>
      <w:pPr>
        <w:spacing w:after="0" w:line="117" w:lineRule="exact"/>
        <w:rPr>
          <w:rFonts w:ascii="Times New Roman" w:cs="Times New Roman" w:eastAsia="Times New Roman" w:hAnsi="Times New Roman"/>
          <w:sz w:val="18"/>
          <w:szCs w:val="18"/>
          <w:color w:val="auto"/>
        </w:rPr>
      </w:pPr>
    </w:p>
    <w:p>
      <w:pPr>
        <w:ind w:left="620" w:right="4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care and pension benefit costs;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6" w:name="page27"/>
    <w:bookmarkEnd w:id="26"/>
    <w:p>
      <w:pPr>
        <w:ind w:left="620" w:hanging="329"/>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the Risk factors discussion in Item 1A of our Form 10-Q for the quarter ended March 31, 2020.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7" w:name="page28"/>
    <w:bookmarkEnd w:id="27"/>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320" w:lineRule="exact"/>
        <w:rPr>
          <w:sz w:val="20"/>
          <w:szCs w:val="20"/>
          <w:color w:val="auto"/>
        </w:rPr>
      </w:pPr>
    </w:p>
    <w:p>
      <w:pPr>
        <w:ind w:left="6640"/>
        <w:spacing w:after="0"/>
        <w:tabs>
          <w:tab w:leader="none" w:pos="7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34290</wp:posOffset>
            </wp:positionV>
            <wp:extent cx="24606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6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63"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21, 2020</w:t>
      </w:r>
    </w:p>
    <w:p>
      <w:pPr>
        <w:sectPr>
          <w:pgSz w:w="11900" w:h="16838" w:orient="portrait"/>
          <w:cols w:equalWidth="0" w:num="1">
            <w:col w:w="10340"/>
          </w:cols>
          <w:pgMar w:left="320" w:top="891" w:right="1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2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500" w:right="280" w:hanging="492"/>
        <w:spacing w:after="0" w:line="226"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60" w:hanging="492"/>
        <w:spacing w:after="0" w:line="237" w:lineRule="auto"/>
        <w:tabs>
          <w:tab w:leader="none" w:pos="5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21, 2020</w:t>
      </w:r>
    </w:p>
    <w:p>
      <w:pPr>
        <w:spacing w:after="0" w:line="27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34290</wp:posOffset>
            </wp:positionV>
            <wp:extent cx="19627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Chairman, President</w:t>
      </w:r>
    </w:p>
    <w:p>
      <w:pPr>
        <w:spacing w:after="0" w:line="9"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Texas Instruments Incorporated;</w:t>
      </w:r>
    </w:p>
    <w:p>
      <w:pPr>
        <w:spacing w:after="0" w:line="184" w:lineRule="exact"/>
        <w:rPr>
          <w:rFonts w:ascii="Times New Roman" w:cs="Times New Roman" w:eastAsia="Times New Roman" w:hAnsi="Times New Roman"/>
          <w:sz w:val="18"/>
          <w:szCs w:val="18"/>
          <w:color w:val="auto"/>
        </w:rPr>
      </w:pPr>
    </w:p>
    <w:p>
      <w:pPr>
        <w:jc w:val="both"/>
        <w:ind w:left="500" w:right="280" w:hanging="492"/>
        <w:spacing w:after="0" w:line="22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jc w:val="both"/>
        <w:ind w:left="500" w:right="280" w:hanging="492"/>
        <w:spacing w:after="0" w:line="22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80" w:hanging="486"/>
        <w:spacing w:after="0" w:line="266"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00" w:right="240" w:hanging="492"/>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21, 2020</w:t>
      </w:r>
    </w:p>
    <w:p>
      <w:pPr>
        <w:spacing w:after="0" w:line="279"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34290</wp:posOffset>
            </wp:positionV>
            <wp:extent cx="19627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33" w:lineRule="exact"/>
        <w:rPr>
          <w:sz w:val="20"/>
          <w:szCs w:val="20"/>
          <w:color w:val="auto"/>
        </w:rPr>
      </w:pPr>
    </w:p>
    <w:p>
      <w:pPr>
        <w:ind w:right="600" w:firstLine="486"/>
        <w:spacing w:after="0" w:line="266"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76" w:lineRule="exact"/>
        <w:rPr>
          <w:sz w:val="20"/>
          <w:szCs w:val="20"/>
          <w:color w:val="auto"/>
        </w:rPr>
      </w:pPr>
    </w:p>
    <w:p>
      <w:pPr>
        <w:ind w:right="140" w:firstLine="494"/>
        <w:spacing w:after="0" w:line="282" w:lineRule="auto"/>
        <w:tabs>
          <w:tab w:leader="none" w:pos="7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2020,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21, 2020</w:t>
      </w:r>
    </w:p>
    <w:p>
      <w:pPr>
        <w:spacing w:after="0" w:line="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34290</wp:posOffset>
            </wp:positionV>
            <wp:extent cx="19627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8"/>
          <w:szCs w:val="18"/>
          <w:color w:val="auto"/>
        </w:rPr>
        <w:t>Richard K. Templeton</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Chairman, President</w:t>
      </w:r>
    </w:p>
    <w:p>
      <w:pPr>
        <w:spacing w:after="0" w:line="9"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and Chief Executive Officer</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31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62" w:lineRule="exact"/>
        <w:rPr>
          <w:sz w:val="20"/>
          <w:szCs w:val="20"/>
          <w:color w:val="auto"/>
        </w:rPr>
      </w:pPr>
    </w:p>
    <w:p>
      <w:pPr>
        <w:ind w:right="140" w:firstLine="494"/>
        <w:spacing w:after="0" w:line="282" w:lineRule="auto"/>
        <w:tabs>
          <w:tab w:leader="none" w:pos="7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2020,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right="100" w:firstLine="494"/>
        <w:spacing w:after="0" w:line="532" w:lineRule="auto"/>
        <w:tabs>
          <w:tab w:leader="none" w:pos="7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October 21, 2020</w:t>
      </w:r>
    </w:p>
    <w:p>
      <w:pPr>
        <w:spacing w:after="0" w:line="4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34290</wp:posOffset>
            </wp:positionV>
            <wp:extent cx="19627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27"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Senior Vice President and</w:t>
      </w:r>
    </w:p>
    <w:p>
      <w:pPr>
        <w:spacing w:after="0" w:line="9"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385"/>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6"/>
    </w:lvl>
  </w:abstractNum>
  <w:abstractNum w:abstractNumId="13">
    <w:nsid w:val="62BBD95A"/>
    <w:multiLevelType w:val="hybridMultilevel"/>
    <w:lvl w:ilvl="0">
      <w:lvlJc w:val="left"/>
      <w:lvlText w:val="%1."/>
      <w:numFmt w:val="decimal"/>
      <w:start w:val="7"/>
    </w:lvl>
  </w:abstractNum>
  <w:abstractNum w:abstractNumId="14">
    <w:nsid w:val="436C6125"/>
    <w:multiLevelType w:val="hybridMultilevel"/>
    <w:lvl w:ilvl="0">
      <w:lvlJc w:val="left"/>
      <w:lvlText w:val="%1."/>
      <w:numFmt w:val="decimal"/>
      <w:start w:val="9"/>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42" Type="http://schemas.openxmlformats.org/officeDocument/2006/relationships/hyperlink" Target="http://www.sec.gov/Archives/edgar/data/97476/000009747615000003/txn-12312014xexhibit3a.htm" TargetMode="External"/><Relationship Id="rId43" Type="http://schemas.openxmlformats.org/officeDocument/2006/relationships/hyperlink" Target="http://www.sec.gov/Archives/edgar/data/97476/000119312520194080/d949258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2020-10-21T08:19:26Z</dcterms:created>
  <dcterms:modified xsi:type="dcterms:W3CDTF">2020-10-21T08:19:26Z</dcterms:modified>
</cp:coreProperties>
</file>