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719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71957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8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WEST TERESA L</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01/28/2015</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26"/>
        <w:spacing w:after="0"/>
        <w:rPr>
          <w:sz w:val="20"/>
          <w:szCs w:val="20"/>
          <w:color w:val="auto"/>
        </w:rPr>
      </w:pPr>
      <w:r>
        <w:rPr>
          <w:rFonts w:ascii="Arial" w:cs="Arial" w:eastAsia="Arial" w:hAnsi="Arial"/>
          <w:sz w:val="17"/>
          <w:szCs w:val="17"/>
          <w:color w:val="0000FF"/>
        </w:rPr>
        <w:t>Sr. Vice President</w:t>
      </w:r>
    </w:p>
    <w:p>
      <w:pPr>
        <w:spacing w:after="0" w:line="333" w:lineRule="exact"/>
        <w:rPr>
          <w:sz w:val="24"/>
          <w:szCs w:val="24"/>
          <w:color w:val="auto"/>
        </w:rPr>
      </w:pPr>
    </w:p>
    <w:p>
      <w:pPr>
        <w:sectPr>
          <w:pgSz w:w="11900" w:h="16838" w:orient="portrait"/>
          <w:cols w:equalWidth="0" w:num="3">
            <w:col w:w="3360" w:space="720"/>
            <w:col w:w="3320" w:space="654"/>
            <w:col w:w="3466"/>
          </w:cols>
          <w:pgMar w:left="240" w:top="225" w:right="139" w:bottom="189"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89"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ind w:left="78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ind w:left="7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(A) or</w:t>
            </w:r>
          </w:p>
        </w:tc>
        <w:tc>
          <w:tcPr>
            <w:tcW w:w="8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54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820" w:type="dxa"/>
            <w:vAlign w:val="bottom"/>
            <w:tcBorders>
              <w:bottom w:val="single" w:sz="8" w:color="2C2C2C"/>
            </w:tcBorders>
          </w:tcPr>
          <w:p>
            <w:pPr>
              <w:jc w:val="right"/>
              <w:ind w:right="89"/>
              <w:spacing w:after="0"/>
              <w:rPr>
                <w:sz w:val="20"/>
                <w:szCs w:val="20"/>
                <w:color w:val="auto"/>
              </w:rPr>
            </w:pPr>
            <w:r>
              <w:rPr>
                <w:rFonts w:ascii="Arial" w:cs="Arial" w:eastAsia="Arial" w:hAnsi="Arial"/>
                <w:sz w:val="17"/>
                <w:szCs w:val="17"/>
                <w:color w:val="0000FF"/>
              </w:rPr>
              <w:t>01/28/2015</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80" w:type="dxa"/>
            <w:vAlign w:val="bottom"/>
            <w:tcBorders>
              <w:bottom w:val="single" w:sz="8" w:color="2C2C2C"/>
            </w:tcBorders>
          </w:tcPr>
          <w:p>
            <w:pPr>
              <w:jc w:val="right"/>
              <w:ind w:right="49"/>
              <w:spacing w:after="0"/>
              <w:rPr>
                <w:sz w:val="20"/>
                <w:szCs w:val="20"/>
                <w:color w:val="auto"/>
              </w:rPr>
            </w:pPr>
            <w:r>
              <w:rPr>
                <w:rFonts w:ascii="Arial" w:cs="Arial" w:eastAsia="Arial" w:hAnsi="Arial"/>
                <w:sz w:val="17"/>
                <w:szCs w:val="17"/>
                <w:color w:val="0000FF"/>
              </w:rPr>
              <w:t>12,514</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A</w:t>
            </w:r>
          </w:p>
        </w:tc>
        <w:tc>
          <w:tcPr>
            <w:tcW w:w="840" w:type="dxa"/>
            <w:vAlign w:val="bottom"/>
            <w:tcBorders>
              <w:bottom w:val="single" w:sz="8" w:color="2C2C2C"/>
            </w:tcBorders>
          </w:tcPr>
          <w:p>
            <w:pPr>
              <w:jc w:val="center"/>
              <w:ind w:right="22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96,158</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820" w:type="dxa"/>
            <w:vAlign w:val="bottom"/>
            <w:tcBorders>
              <w:bottom w:val="single" w:sz="8" w:color="2C2C2C"/>
            </w:tcBorders>
          </w:tcPr>
          <w:p>
            <w:pPr>
              <w:jc w:val="right"/>
              <w:ind w:right="89"/>
              <w:spacing w:after="0"/>
              <w:rPr>
                <w:sz w:val="20"/>
                <w:szCs w:val="20"/>
                <w:color w:val="auto"/>
              </w:rPr>
            </w:pPr>
            <w:r>
              <w:rPr>
                <w:rFonts w:ascii="Arial" w:cs="Arial" w:eastAsia="Arial" w:hAnsi="Arial"/>
                <w:sz w:val="17"/>
                <w:szCs w:val="17"/>
                <w:color w:val="0000FF"/>
              </w:rPr>
              <w:t>01/30/2015</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780" w:type="dxa"/>
            <w:vAlign w:val="bottom"/>
            <w:tcBorders>
              <w:bottom w:val="single" w:sz="8" w:color="2C2C2C"/>
            </w:tcBorders>
          </w:tcPr>
          <w:p>
            <w:pPr>
              <w:jc w:val="right"/>
              <w:ind w:right="49"/>
              <w:spacing w:after="0"/>
              <w:rPr>
                <w:sz w:val="20"/>
                <w:szCs w:val="20"/>
                <w:color w:val="auto"/>
              </w:rPr>
            </w:pPr>
            <w:r>
              <w:rPr>
                <w:rFonts w:ascii="Arial" w:cs="Arial" w:eastAsia="Arial" w:hAnsi="Arial"/>
                <w:sz w:val="17"/>
                <w:szCs w:val="17"/>
                <w:color w:val="0000FF"/>
              </w:rPr>
              <w:t>20,834</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54.0039</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75,324</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By Self</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jc w:val="center"/>
              <w:spacing w:after="0" w:line="214" w:lineRule="exact"/>
              <w:rPr>
                <w:sz w:val="20"/>
                <w:szCs w:val="20"/>
                <w:color w:val="auto"/>
              </w:rPr>
            </w:pPr>
            <w:r>
              <w:rPr>
                <w:rFonts w:ascii="Arial" w:cs="Arial" w:eastAsia="Arial" w:hAnsi="Arial"/>
                <w:sz w:val="17"/>
                <w:szCs w:val="17"/>
                <w:color w:val="0000FF"/>
                <w:w w:val="85"/>
              </w:rPr>
              <w:t>1,400</w:t>
            </w:r>
            <w:r>
              <w:rPr>
                <w:rFonts w:ascii="Arial" w:cs="Arial" w:eastAsia="Arial" w:hAnsi="Arial"/>
                <w:sz w:val="22"/>
                <w:szCs w:val="22"/>
                <w:color w:val="008000"/>
                <w:w w:val="85"/>
                <w:vertAlign w:val="superscript"/>
              </w:rPr>
              <w:t>(3)</w:t>
            </w:r>
          </w:p>
        </w:tc>
        <w:tc>
          <w:tcPr>
            <w:tcW w:w="980" w:type="dxa"/>
            <w:vAlign w:val="bottom"/>
          </w:tcPr>
          <w:p>
            <w:pPr>
              <w:jc w:val="center"/>
              <w:spacing w:after="0"/>
              <w:rPr>
                <w:sz w:val="20"/>
                <w:szCs w:val="20"/>
                <w:color w:val="auto"/>
              </w:rPr>
            </w:pPr>
            <w:r>
              <w:rPr>
                <w:rFonts w:ascii="Arial" w:cs="Arial" w:eastAsia="Arial" w:hAnsi="Arial"/>
                <w:sz w:val="17"/>
                <w:szCs w:val="17"/>
                <w:color w:val="0000FF"/>
              </w:rPr>
              <w:t>I</w:t>
            </w:r>
          </w:p>
        </w:tc>
        <w:tc>
          <w:tcPr>
            <w:tcW w:w="800" w:type="dxa"/>
            <w:vAlign w:val="bottom"/>
          </w:tcPr>
          <w:p>
            <w:pPr>
              <w:ind w:left="80"/>
              <w:spacing w:after="0"/>
              <w:rPr>
                <w:sz w:val="20"/>
                <w:szCs w:val="20"/>
                <w:color w:val="auto"/>
              </w:rPr>
            </w:pPr>
            <w:r>
              <w:rPr>
                <w:rFonts w:ascii="Arial" w:cs="Arial" w:eastAsia="Arial" w:hAnsi="Arial"/>
                <w:sz w:val="17"/>
                <w:szCs w:val="17"/>
                <w:color w:val="0000FF"/>
              </w:rPr>
              <w:t>For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Children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jc w:val="center"/>
              <w:spacing w:after="0" w:line="214" w:lineRule="exact"/>
              <w:rPr>
                <w:sz w:val="20"/>
                <w:szCs w:val="20"/>
                <w:color w:val="auto"/>
              </w:rPr>
            </w:pPr>
            <w:r>
              <w:rPr>
                <w:rFonts w:ascii="Arial" w:cs="Arial" w:eastAsia="Arial" w:hAnsi="Arial"/>
                <w:sz w:val="17"/>
                <w:szCs w:val="17"/>
                <w:color w:val="0000FF"/>
                <w:w w:val="85"/>
              </w:rPr>
              <w:t>244.08</w:t>
            </w:r>
            <w:r>
              <w:rPr>
                <w:rFonts w:ascii="Arial" w:cs="Arial" w:eastAsia="Arial" w:hAnsi="Arial"/>
                <w:sz w:val="22"/>
                <w:szCs w:val="22"/>
                <w:color w:val="008000"/>
                <w:w w:val="85"/>
                <w:vertAlign w:val="superscript"/>
              </w:rPr>
              <w:t>(4)</w:t>
            </w:r>
          </w:p>
        </w:tc>
        <w:tc>
          <w:tcPr>
            <w:tcW w:w="980" w:type="dxa"/>
            <w:vAlign w:val="bottom"/>
          </w:tcPr>
          <w:p>
            <w:pPr>
              <w:jc w:val="center"/>
              <w:spacing w:after="0"/>
              <w:rPr>
                <w:sz w:val="20"/>
                <w:szCs w:val="20"/>
                <w:color w:val="auto"/>
              </w:rPr>
            </w:pPr>
            <w:r>
              <w:rPr>
                <w:rFonts w:ascii="Arial" w:cs="Arial" w:eastAsia="Arial" w:hAnsi="Arial"/>
                <w:sz w:val="17"/>
                <w:szCs w:val="17"/>
                <w:color w:val="0000FF"/>
              </w:rPr>
              <w:t>I</w:t>
            </w:r>
          </w:p>
        </w:tc>
        <w:tc>
          <w:tcPr>
            <w:tcW w:w="800" w:type="dxa"/>
            <w:vAlign w:val="bottom"/>
          </w:tcPr>
          <w:p>
            <w:pPr>
              <w:ind w:left="8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-401(k)</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jc w:val="center"/>
              <w:spacing w:after="0" w:line="214" w:lineRule="exact"/>
              <w:rPr>
                <w:sz w:val="20"/>
                <w:szCs w:val="20"/>
                <w:color w:val="auto"/>
              </w:rPr>
            </w:pPr>
            <w:r>
              <w:rPr>
                <w:rFonts w:ascii="Arial" w:cs="Arial" w:eastAsia="Arial" w:hAnsi="Arial"/>
                <w:sz w:val="17"/>
                <w:szCs w:val="17"/>
                <w:color w:val="0000FF"/>
                <w:w w:val="87"/>
              </w:rPr>
              <w:t>6,594.47</w:t>
            </w:r>
            <w:r>
              <w:rPr>
                <w:rFonts w:ascii="Arial" w:cs="Arial" w:eastAsia="Arial" w:hAnsi="Arial"/>
                <w:sz w:val="22"/>
                <w:szCs w:val="22"/>
                <w:color w:val="008000"/>
                <w:w w:val="87"/>
                <w:vertAlign w:val="superscript"/>
              </w:rPr>
              <w:t>(5)</w:t>
            </w:r>
          </w:p>
        </w:tc>
        <w:tc>
          <w:tcPr>
            <w:tcW w:w="980" w:type="dxa"/>
            <w:vAlign w:val="bottom"/>
          </w:tcPr>
          <w:p>
            <w:pPr>
              <w:jc w:val="center"/>
              <w:spacing w:after="0"/>
              <w:rPr>
                <w:sz w:val="20"/>
                <w:szCs w:val="20"/>
                <w:color w:val="auto"/>
              </w:rPr>
            </w:pPr>
            <w:r>
              <w:rPr>
                <w:rFonts w:ascii="Arial" w:cs="Arial" w:eastAsia="Arial" w:hAnsi="Arial"/>
                <w:sz w:val="17"/>
                <w:szCs w:val="17"/>
                <w:color w:val="0000FF"/>
              </w:rPr>
              <w:t>I</w:t>
            </w:r>
          </w:p>
        </w:tc>
        <w:tc>
          <w:tcPr>
            <w:tcW w:w="800" w:type="dxa"/>
            <w:vAlign w:val="bottom"/>
          </w:tcPr>
          <w:p>
            <w:pPr>
              <w:ind w:left="8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PS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4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9"/>
        </w:trPr>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53.94</w:t>
            </w:r>
          </w:p>
        </w:tc>
        <w:tc>
          <w:tcPr>
            <w:tcW w:w="1140" w:type="dxa"/>
            <w:vAlign w:val="bottom"/>
          </w:tcPr>
          <w:p>
            <w:pPr>
              <w:jc w:val="right"/>
              <w:ind w:right="198"/>
              <w:spacing w:after="0"/>
              <w:rPr>
                <w:sz w:val="20"/>
                <w:szCs w:val="20"/>
                <w:color w:val="auto"/>
              </w:rPr>
            </w:pPr>
            <w:r>
              <w:rPr>
                <w:rFonts w:ascii="Arial" w:cs="Arial" w:eastAsia="Arial" w:hAnsi="Arial"/>
                <w:sz w:val="13"/>
                <w:szCs w:val="13"/>
                <w:color w:val="0000FF"/>
              </w:rPr>
              <w:t>01/28/2015</w:t>
            </w:r>
          </w:p>
        </w:tc>
        <w:tc>
          <w:tcPr>
            <w:tcW w:w="1120" w:type="dxa"/>
            <w:vAlign w:val="bottom"/>
          </w:tcPr>
          <w:p>
            <w:pPr>
              <w:spacing w:after="0"/>
              <w:rPr>
                <w:sz w:val="17"/>
                <w:szCs w:val="17"/>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520" w:type="dxa"/>
            <w:vAlign w:val="bottom"/>
          </w:tcPr>
          <w:p>
            <w:pPr>
              <w:ind w:left="80"/>
              <w:spacing w:after="0"/>
              <w:rPr>
                <w:sz w:val="20"/>
                <w:szCs w:val="20"/>
                <w:color w:val="auto"/>
              </w:rPr>
            </w:pPr>
            <w:r>
              <w:rPr>
                <w:rFonts w:ascii="Arial" w:cs="Arial" w:eastAsia="Arial" w:hAnsi="Arial"/>
                <w:sz w:val="13"/>
                <w:szCs w:val="13"/>
                <w:color w:val="0000FF"/>
              </w:rPr>
              <w:t>71,143</w:t>
            </w:r>
          </w:p>
        </w:tc>
        <w:tc>
          <w:tcPr>
            <w:tcW w:w="300" w:type="dxa"/>
            <w:vAlign w:val="bottom"/>
          </w:tcPr>
          <w:p>
            <w:pPr>
              <w:spacing w:after="0"/>
              <w:rPr>
                <w:sz w:val="17"/>
                <w:szCs w:val="17"/>
                <w:color w:val="auto"/>
              </w:rPr>
            </w:pPr>
          </w:p>
        </w:tc>
        <w:tc>
          <w:tcPr>
            <w:tcW w:w="820" w:type="dxa"/>
            <w:vAlign w:val="bottom"/>
          </w:tcPr>
          <w:p>
            <w:pPr>
              <w:ind w:left="340"/>
              <w:spacing w:after="0"/>
              <w:rPr>
                <w:sz w:val="20"/>
                <w:szCs w:val="20"/>
                <w:color w:val="auto"/>
              </w:rPr>
            </w:pPr>
            <w:r>
              <w:rPr>
                <w:rFonts w:ascii="Arial" w:cs="Arial" w:eastAsia="Arial" w:hAnsi="Arial"/>
                <w:sz w:val="11"/>
                <w:szCs w:val="11"/>
                <w:color w:val="008000"/>
              </w:rPr>
              <w:t>(6)</w:t>
            </w:r>
          </w:p>
        </w:tc>
        <w:tc>
          <w:tcPr>
            <w:tcW w:w="760" w:type="dxa"/>
            <w:vAlign w:val="bottom"/>
          </w:tcPr>
          <w:p>
            <w:pPr>
              <w:ind w:left="80"/>
              <w:spacing w:after="0"/>
              <w:rPr>
                <w:sz w:val="20"/>
                <w:szCs w:val="20"/>
                <w:color w:val="auto"/>
              </w:rPr>
            </w:pPr>
            <w:r>
              <w:rPr>
                <w:rFonts w:ascii="Arial" w:cs="Arial" w:eastAsia="Arial" w:hAnsi="Arial"/>
                <w:sz w:val="13"/>
                <w:szCs w:val="13"/>
                <w:color w:val="0000FF"/>
              </w:rPr>
              <w:t>01/28/2025</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71,143</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00"/>
              <w:spacing w:after="0"/>
              <w:rPr>
                <w:sz w:val="20"/>
                <w:szCs w:val="20"/>
                <w:color w:val="auto"/>
              </w:rPr>
            </w:pPr>
            <w:r>
              <w:rPr>
                <w:rFonts w:ascii="Arial" w:cs="Arial" w:eastAsia="Arial" w:hAnsi="Arial"/>
                <w:sz w:val="13"/>
                <w:szCs w:val="13"/>
                <w:color w:val="0000FF"/>
              </w:rPr>
              <w:t>71,143</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7"/>
                <w:szCs w:val="17"/>
                <w:color w:val="auto"/>
              </w:rPr>
            </w:pPr>
          </w:p>
        </w:tc>
      </w:tr>
      <w:tr>
        <w:trPr>
          <w:trHeight w:val="109"/>
        </w:trPr>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2009 Long-Term Incentive Plan.</w:t>
      </w:r>
    </w:p>
    <w:p>
      <w:pPr>
        <w:spacing w:after="0" w:line="51" w:lineRule="exact"/>
        <w:rPr>
          <w:rFonts w:ascii="Arial" w:cs="Arial" w:eastAsia="Arial" w:hAnsi="Arial"/>
          <w:sz w:val="13"/>
          <w:szCs w:val="13"/>
          <w:color w:val="008000"/>
        </w:rPr>
      </w:pPr>
    </w:p>
    <w:p>
      <w:pPr>
        <w:ind w:left="40" w:right="3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Sales effected pursuant to a Rule 10b5-1 trading plan entered into by the reporting person on 2-7-2013. The sales were at prices ranging from $53.69 to $54.57. The price in Table 1 is the weighted average sale price. The issuer undertakes to provide upon request a detailed breakout of the sale prices and the number of shares sold at each price.</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Held by custodian for account of minors.</w:t>
      </w:r>
    </w:p>
    <w:p>
      <w:pPr>
        <w:spacing w:after="0" w:line="51" w:lineRule="exact"/>
        <w:rPr>
          <w:rFonts w:ascii="Arial" w:cs="Arial" w:eastAsia="Arial" w:hAnsi="Arial"/>
          <w:sz w:val="13"/>
          <w:szCs w:val="13"/>
          <w:color w:val="008000"/>
        </w:rPr>
      </w:pPr>
    </w:p>
    <w:p>
      <w:pPr>
        <w:ind w:left="40" w:right="3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12-31-2014. (Interests in this account are denominated in units. Consequently, share amount shown is an estimate.) This statement does not include changes in beneficial ownership of shares held in this account occurring after 12-31-2014 that are eligible for deferred reporting on Form 5.</w:t>
      </w:r>
    </w:p>
    <w:p>
      <w:pPr>
        <w:spacing w:after="0" w:line="9" w:lineRule="exact"/>
        <w:rPr>
          <w:rFonts w:ascii="Arial" w:cs="Arial" w:eastAsia="Arial" w:hAnsi="Arial"/>
          <w:sz w:val="13"/>
          <w:szCs w:val="13"/>
          <w:color w:val="008000"/>
        </w:rPr>
      </w:pPr>
    </w:p>
    <w:p>
      <w:pPr>
        <w:ind w:left="40" w:right="3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12-31-2014. (Interests in this account are denominated in units. Consequently, share amount shown is an estimate.) This statement does not include changes in beneficial ownership of shares held in such account occurring after 12-31-2014 that are eligible for deferred reporting on Form 5.</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28, 2016.</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Daniel M. Drory, Attorney</w:t>
            </w:r>
          </w:p>
        </w:tc>
        <w:tc>
          <w:tcPr>
            <w:tcW w:w="2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01/30/2015</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In 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8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71"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2019-12-23T20:38:10Z</dcterms:created>
  <dcterms:modified xsi:type="dcterms:W3CDTF">2019-12-23T20:38:10Z</dcterms:modified>
</cp:coreProperties>
</file>