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February 10, 2003</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c>
          <w:tcPr>
            <w:tcW w:w="306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001-03761</w:t>
            </w:r>
          </w:p>
        </w:tc>
        <w:tc>
          <w:tcPr>
            <w:tcW w:w="22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2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810"/>
        </w:trPr>
        <w:tc>
          <w:tcPr>
            <w:tcW w:w="2960" w:type="dxa"/>
            <w:vAlign w:val="bottom"/>
          </w:tcPr>
          <w:p>
            <w:pPr>
              <w:spacing w:after="0"/>
              <w:rPr>
                <w:sz w:val="24"/>
                <w:szCs w:val="24"/>
                <w:color w:val="auto"/>
              </w:rPr>
            </w:pPr>
          </w:p>
        </w:tc>
        <w:tc>
          <w:tcPr>
            <w:tcW w:w="3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12500 TI BOULEVARD</w:t>
            </w:r>
          </w:p>
        </w:tc>
        <w:tc>
          <w:tcPr>
            <w:tcW w:w="220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 BOX</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660199</w:t>
            </w:r>
          </w:p>
        </w:tc>
        <w:tc>
          <w:tcPr>
            <w:tcW w:w="220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DALLAS, TEXAS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75266-0199</w:t>
            </w:r>
          </w:p>
        </w:tc>
        <w:tc>
          <w:tcPr>
            <w:tcW w:w="2200" w:type="dxa"/>
            <w:vAlign w:val="bottom"/>
          </w:tcPr>
          <w:p>
            <w:pPr>
              <w:spacing w:after="0"/>
              <w:rPr>
                <w:sz w:val="17"/>
                <w:szCs w:val="17"/>
                <w:color w:val="auto"/>
              </w:rPr>
            </w:pPr>
          </w:p>
        </w:tc>
      </w:tr>
    </w:tbl>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("TI" or "the company") re-confirms its outlook for the first quarter of 2003 as set forth below and as originally set forth in the company's earnings release on January 22, 2003. This re-confirmation is being made for purposes of Regulation FD only and is not an indication or assessment of materiality, nor is it intended to constitute a representation that the information is not otherwise publicly available.</w:t>
      </w:r>
    </w:p>
    <w:p>
      <w:pPr>
        <w:spacing w:after="0" w:line="210" w:lineRule="exact"/>
        <w:rPr>
          <w:sz w:val="24"/>
          <w:szCs w:val="24"/>
          <w:color w:val="auto"/>
        </w:rPr>
      </w:pPr>
    </w:p>
    <w:p>
      <w:pPr>
        <w:ind w:left="420" w:right="2199"/>
        <w:spacing w:after="0" w:line="268" w:lineRule="auto"/>
        <w:rPr>
          <w:sz w:val="20"/>
          <w:szCs w:val="20"/>
          <w:color w:val="auto"/>
        </w:rPr>
      </w:pPr>
      <w:r>
        <w:rPr>
          <w:rFonts w:ascii="Courier New" w:cs="Courier New" w:eastAsia="Courier New" w:hAnsi="Courier New"/>
          <w:sz w:val="16"/>
          <w:szCs w:val="16"/>
          <w:color w:val="auto"/>
        </w:rPr>
        <w:t>For the first quarter of 2003, compared with the fourth quarter of 2002, TI expects: total revenue to be about even, Semiconductor revenue to be about even, Sensors &amp; Controls revenue to be about even, and Educational</w:t>
      </w:r>
    </w:p>
    <w:p>
      <w:pPr>
        <w:spacing w:after="0" w:line="1" w:lineRule="exact"/>
        <w:rPr>
          <w:sz w:val="24"/>
          <w:szCs w:val="24"/>
          <w:color w:val="auto"/>
        </w:rPr>
      </w:pPr>
    </w:p>
    <w:p>
      <w:pPr>
        <w:ind w:left="420" w:right="1999" w:firstLine="9"/>
        <w:spacing w:after="0" w:line="290" w:lineRule="auto"/>
        <w:tabs>
          <w:tab w:leader="none" w:pos="63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Productivity Solutions revenue to increase about 10 percent. Earnings per share (EPS) are expected to be about $0.06, plus or minus a few cents.</w:t>
      </w:r>
    </w:p>
    <w:p>
      <w:pPr>
        <w:spacing w:after="0" w:line="170" w:lineRule="exact"/>
        <w:rPr>
          <w:sz w:val="24"/>
          <w:szCs w:val="24"/>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4"/>
          <w:szCs w:val="24"/>
          <w:color w:val="auto"/>
        </w:rPr>
      </w:pPr>
    </w:p>
    <w:p>
      <w:pPr>
        <w:ind w:right="2419" w:firstLine="535"/>
        <w:spacing w:after="0" w:line="236" w:lineRule="auto"/>
        <w:tabs>
          <w:tab w:leader="none" w:pos="7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right="1879" w:firstLine="535"/>
        <w:spacing w:after="0" w:line="279" w:lineRule="auto"/>
        <w:tabs>
          <w:tab w:leader="none" w:pos="7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develop, manufacture and market innovative products in a rapidly changing technological environment, including timely implementation of new manufacturing technologies and installation of manufacturing equipment,</w:t>
      </w:r>
    </w:p>
    <w:p>
      <w:pPr>
        <w:sectPr>
          <w:pgSz w:w="11900" w:h="16857" w:orient="portrait"/>
          <w:cols w:equalWidth="0" w:num="1">
            <w:col w:w="10219"/>
          </w:cols>
          <w:pgMar w:left="240" w:top="1440" w:right="1440" w:bottom="0" w:gutter="0" w:footer="0" w:header="0"/>
        </w:sectPr>
      </w:pPr>
    </w:p>
    <w:bookmarkStart w:id="1" w:name="page2"/>
    <w:bookmarkEnd w:id="1"/>
    <w:p>
      <w:pPr>
        <w:ind w:left="-535" w:right="2839" w:firstLine="535"/>
        <w:spacing w:after="0" w:line="235" w:lineRule="auto"/>
        <w:tabs>
          <w:tab w:leader="none" w:pos="2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35" w:right="2419" w:firstLine="535"/>
        <w:spacing w:after="0" w:line="235" w:lineRule="auto"/>
        <w:tabs>
          <w:tab w:leader="none" w:pos="2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35" w:right="2199" w:firstLine="535"/>
        <w:spacing w:after="0" w:line="235" w:lineRule="auto"/>
        <w:tabs>
          <w:tab w:leader="none" w:pos="2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Timely completion and successful integration of announced acquisitions,</w:t>
      </w:r>
    </w:p>
    <w:p>
      <w:pPr>
        <w:spacing w:after="0" w:line="223" w:lineRule="exact"/>
        <w:rPr>
          <w:rFonts w:ascii="Courier New" w:cs="Courier New" w:eastAsia="Courier New" w:hAnsi="Courier New"/>
          <w:sz w:val="16"/>
          <w:szCs w:val="16"/>
          <w:color w:val="auto"/>
        </w:rPr>
      </w:pPr>
    </w:p>
    <w:p>
      <w:pPr>
        <w:ind w:left="-535" w:right="1999" w:firstLine="535"/>
        <w:spacing w:after="0" w:line="237" w:lineRule="auto"/>
        <w:tabs>
          <w:tab w:leader="none" w:pos="2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35" w:right="1999" w:firstLine="535"/>
        <w:spacing w:after="0" w:line="235" w:lineRule="auto"/>
        <w:tabs>
          <w:tab w:leader="none" w:pos="2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ectPr>
          <w:pgSz w:w="11900" w:h="16838" w:orient="portrait"/>
          <w:cols w:equalWidth="0" w:num="1">
            <w:col w:w="9684"/>
          </w:cols>
          <w:pgMar w:left="775" w:top="344" w:right="1440" w:bottom="1440" w:gutter="0" w:footer="0" w:header="0"/>
        </w:sectPr>
      </w:pPr>
    </w:p>
    <w:bookmarkStart w:id="2" w:name="page3"/>
    <w:bookmarkEnd w:id="2"/>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William A. Aylesworth</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and Chief Financial Officer</w:t>
      </w:r>
    </w:p>
    <w:sectPr>
      <w:pgSz w:w="11900" w:h="16838" w:orient="portrait"/>
      <w:cols w:equalWidth="0" w:num="3">
        <w:col w:w="540" w:space="200"/>
        <w:col w:w="2760" w:space="7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amp;"/>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2019-12-12T10:38:37Z</dcterms:created>
  <dcterms:modified xsi:type="dcterms:W3CDTF">2019-12-12T10:38:37Z</dcterms:modified>
</cp:coreProperties>
</file>