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16"/>
        </w:trPr>
        <w:tc>
          <w:tcPr>
            <w:tcW w:w="3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4660" w:type="dxa"/>
            <w:vAlign w:val="bottom"/>
          </w:tcPr>
          <w:p>
            <w:pPr>
              <w:jc w:val="right"/>
              <w:spacing w:after="0"/>
              <w:rPr>
                <w:sz w:val="20"/>
                <w:szCs w:val="20"/>
                <w:color w:val="auto"/>
              </w:rPr>
            </w:pPr>
            <w:r>
              <w:rPr>
                <w:rFonts w:ascii="Arial" w:cs="Arial" w:eastAsia="Arial" w:hAnsi="Arial"/>
                <w:sz w:val="18"/>
                <w:szCs w:val="18"/>
                <w:color w:val="auto"/>
              </w:rPr>
              <w:t>Filed pursuant to Rule 433</w:t>
            </w:r>
          </w:p>
        </w:tc>
      </w:tr>
      <w:tr>
        <w:trPr>
          <w:trHeight w:val="216"/>
        </w:trPr>
        <w:tc>
          <w:tcPr>
            <w:tcW w:w="3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4660" w:type="dxa"/>
            <w:vAlign w:val="bottom"/>
          </w:tcPr>
          <w:p>
            <w:pPr>
              <w:jc w:val="right"/>
              <w:spacing w:after="0"/>
              <w:rPr>
                <w:sz w:val="20"/>
                <w:szCs w:val="20"/>
                <w:color w:val="auto"/>
              </w:rPr>
            </w:pPr>
            <w:r>
              <w:rPr>
                <w:rFonts w:ascii="Arial" w:cs="Arial" w:eastAsia="Arial" w:hAnsi="Arial"/>
                <w:sz w:val="18"/>
                <w:szCs w:val="18"/>
                <w:color w:val="auto"/>
              </w:rPr>
              <w:t>Registration No. 333-262523</w:t>
            </w:r>
          </w:p>
        </w:tc>
      </w:tr>
      <w:tr>
        <w:trPr>
          <w:trHeight w:val="216"/>
        </w:trPr>
        <w:tc>
          <w:tcPr>
            <w:tcW w:w="3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4660" w:type="dxa"/>
            <w:vAlign w:val="bottom"/>
          </w:tcPr>
          <w:p>
            <w:pPr>
              <w:jc w:val="right"/>
              <w:spacing w:after="0"/>
              <w:rPr>
                <w:sz w:val="20"/>
                <w:szCs w:val="20"/>
                <w:color w:val="auto"/>
              </w:rPr>
            </w:pPr>
            <w:r>
              <w:rPr>
                <w:rFonts w:ascii="Arial" w:cs="Arial" w:eastAsia="Arial" w:hAnsi="Arial"/>
                <w:sz w:val="18"/>
                <w:szCs w:val="18"/>
                <w:color w:val="auto"/>
              </w:rPr>
              <w:t>Issuer Free Writing Prospectus dated March 7, 2023</w:t>
            </w:r>
          </w:p>
        </w:tc>
      </w:tr>
      <w:tr>
        <w:trPr>
          <w:trHeight w:val="230"/>
        </w:trPr>
        <w:tc>
          <w:tcPr>
            <w:tcW w:w="32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6380" w:type="dxa"/>
            <w:vAlign w:val="bottom"/>
            <w:gridSpan w:val="2"/>
          </w:tcPr>
          <w:p>
            <w:pPr>
              <w:jc w:val="right"/>
              <w:spacing w:after="0"/>
              <w:rPr>
                <w:sz w:val="20"/>
                <w:szCs w:val="20"/>
                <w:color w:val="auto"/>
              </w:rPr>
            </w:pPr>
            <w:r>
              <w:rPr>
                <w:rFonts w:ascii="Arial" w:cs="Arial" w:eastAsia="Arial" w:hAnsi="Arial"/>
                <w:sz w:val="18"/>
                <w:szCs w:val="18"/>
                <w:color w:val="auto"/>
              </w:rPr>
              <w:t>Relating to Preliminary Prospectus Supplement dated March 7, 2023</w:t>
            </w:r>
          </w:p>
        </w:tc>
      </w:tr>
      <w:tr>
        <w:trPr>
          <w:trHeight w:val="414"/>
        </w:trPr>
        <w:tc>
          <w:tcPr>
            <w:tcW w:w="3240" w:type="dxa"/>
            <w:vAlign w:val="bottom"/>
          </w:tcPr>
          <w:p>
            <w:pPr>
              <w:spacing w:after="0"/>
              <w:rPr>
                <w:sz w:val="24"/>
                <w:szCs w:val="24"/>
                <w:color w:val="auto"/>
              </w:rPr>
            </w:pPr>
          </w:p>
        </w:tc>
        <w:tc>
          <w:tcPr>
            <w:tcW w:w="7780" w:type="dxa"/>
            <w:vAlign w:val="bottom"/>
            <w:gridSpan w:val="3"/>
          </w:tcPr>
          <w:p>
            <w:pPr>
              <w:jc w:val="center"/>
              <w:ind w:right="3170"/>
              <w:spacing w:after="0"/>
              <w:rPr>
                <w:sz w:val="20"/>
                <w:szCs w:val="20"/>
                <w:color w:val="auto"/>
              </w:rPr>
            </w:pPr>
            <w:r>
              <w:rPr>
                <w:rFonts w:ascii="Arial" w:cs="Arial" w:eastAsia="Arial" w:hAnsi="Arial"/>
                <w:sz w:val="18"/>
                <w:szCs w:val="18"/>
                <w:b w:val="1"/>
                <w:bCs w:val="1"/>
                <w:color w:val="auto"/>
              </w:rPr>
              <w:t>TEXAS INSTRUMENTS INCORPORATED</w:t>
            </w:r>
          </w:p>
        </w:tc>
      </w:tr>
      <w:tr>
        <w:trPr>
          <w:trHeight w:val="234"/>
        </w:trPr>
        <w:tc>
          <w:tcPr>
            <w:tcW w:w="32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6380" w:type="dxa"/>
            <w:vAlign w:val="bottom"/>
            <w:gridSpan w:val="2"/>
          </w:tcPr>
          <w:p>
            <w:pPr>
              <w:jc w:val="center"/>
              <w:ind w:right="4570"/>
              <w:spacing w:after="0"/>
              <w:rPr>
                <w:sz w:val="20"/>
                <w:szCs w:val="20"/>
                <w:color w:val="auto"/>
              </w:rPr>
            </w:pPr>
            <w:r>
              <w:rPr>
                <w:rFonts w:ascii="Arial" w:cs="Arial" w:eastAsia="Arial" w:hAnsi="Arial"/>
                <w:sz w:val="18"/>
                <w:szCs w:val="18"/>
                <w:b w:val="1"/>
                <w:bCs w:val="1"/>
                <w:color w:val="auto"/>
                <w:w w:val="90"/>
              </w:rPr>
              <w:t>Pricing Term Sheet</w:t>
            </w:r>
          </w:p>
        </w:tc>
      </w:tr>
      <w:tr>
        <w:trPr>
          <w:trHeight w:val="392"/>
        </w:trPr>
        <w:tc>
          <w:tcPr>
            <w:tcW w:w="3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380" w:type="dxa"/>
            <w:vAlign w:val="bottom"/>
            <w:gridSpan w:val="2"/>
          </w:tcPr>
          <w:p>
            <w:pPr>
              <w:jc w:val="center"/>
              <w:ind w:right="4570"/>
              <w:spacing w:after="0"/>
              <w:rPr>
                <w:sz w:val="20"/>
                <w:szCs w:val="20"/>
                <w:color w:val="auto"/>
              </w:rPr>
            </w:pPr>
            <w:r>
              <w:rPr>
                <w:rFonts w:ascii="Arial" w:cs="Arial" w:eastAsia="Arial" w:hAnsi="Arial"/>
                <w:sz w:val="18"/>
                <w:szCs w:val="18"/>
                <w:color w:val="auto"/>
                <w:w w:val="89"/>
              </w:rPr>
              <w:t>4.</w:t>
            </w:r>
            <w:r>
              <w:rPr>
                <w:rFonts w:ascii="Arial" w:cs="Arial" w:eastAsia="Arial" w:hAnsi="Arial"/>
                <w:sz w:val="18"/>
                <w:szCs w:val="18"/>
                <w:u w:val="single" w:color="auto"/>
                <w:color w:val="auto"/>
                <w:w w:val="89"/>
              </w:rPr>
              <w:t>900%</w:t>
            </w:r>
            <w:r>
              <w:rPr>
                <w:rFonts w:ascii="Arial" w:cs="Arial" w:eastAsia="Arial" w:hAnsi="Arial"/>
                <w:sz w:val="18"/>
                <w:szCs w:val="18"/>
                <w:color w:val="auto"/>
                <w:w w:val="89"/>
              </w:rPr>
              <w:t xml:space="preserve"> Notes due 2033</w:t>
            </w:r>
          </w:p>
        </w:tc>
      </w:tr>
      <w:tr>
        <w:trPr>
          <w:trHeight w:val="20"/>
        </w:trPr>
        <w:tc>
          <w:tcPr>
            <w:tcW w:w="32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r>
      <w:tr>
        <w:trPr>
          <w:trHeight w:val="588"/>
        </w:trPr>
        <w:tc>
          <w:tcPr>
            <w:tcW w:w="3240" w:type="dxa"/>
            <w:vAlign w:val="bottom"/>
          </w:tcPr>
          <w:p>
            <w:pPr>
              <w:spacing w:after="0"/>
              <w:rPr>
                <w:sz w:val="20"/>
                <w:szCs w:val="20"/>
                <w:color w:val="auto"/>
              </w:rPr>
            </w:pPr>
            <w:r>
              <w:rPr>
                <w:rFonts w:ascii="Arial" w:cs="Arial" w:eastAsia="Arial" w:hAnsi="Arial"/>
                <w:sz w:val="18"/>
                <w:szCs w:val="18"/>
                <w:color w:val="auto"/>
              </w:rPr>
              <w:t>Issuer:</w:t>
            </w:r>
          </w:p>
        </w:tc>
        <w:tc>
          <w:tcPr>
            <w:tcW w:w="7780" w:type="dxa"/>
            <w:vAlign w:val="bottom"/>
            <w:gridSpan w:val="3"/>
          </w:tcPr>
          <w:p>
            <w:pPr>
              <w:ind w:left="620"/>
              <w:spacing w:after="0"/>
              <w:rPr>
                <w:sz w:val="20"/>
                <w:szCs w:val="20"/>
                <w:color w:val="auto"/>
              </w:rPr>
            </w:pPr>
            <w:r>
              <w:rPr>
                <w:rFonts w:ascii="Arial" w:cs="Arial" w:eastAsia="Arial" w:hAnsi="Arial"/>
                <w:sz w:val="18"/>
                <w:szCs w:val="18"/>
                <w:color w:val="auto"/>
              </w:rPr>
              <w:t>Texas Instruments Incorporated (“TI”)</w:t>
            </w:r>
          </w:p>
        </w:tc>
      </w:tr>
      <w:tr>
        <w:trPr>
          <w:trHeight w:val="324"/>
        </w:trPr>
        <w:tc>
          <w:tcPr>
            <w:tcW w:w="3240" w:type="dxa"/>
            <w:vAlign w:val="bottom"/>
          </w:tcPr>
          <w:p>
            <w:pPr>
              <w:spacing w:after="0"/>
              <w:rPr>
                <w:sz w:val="20"/>
                <w:szCs w:val="20"/>
                <w:color w:val="auto"/>
              </w:rPr>
            </w:pPr>
            <w:r>
              <w:rPr>
                <w:rFonts w:ascii="Arial" w:cs="Arial" w:eastAsia="Arial" w:hAnsi="Arial"/>
                <w:sz w:val="18"/>
                <w:szCs w:val="18"/>
                <w:color w:val="auto"/>
              </w:rPr>
              <w:t>Principal Amount:</w:t>
            </w:r>
          </w:p>
        </w:tc>
        <w:tc>
          <w:tcPr>
            <w:tcW w:w="3120" w:type="dxa"/>
            <w:vAlign w:val="bottom"/>
            <w:gridSpan w:val="2"/>
          </w:tcPr>
          <w:p>
            <w:pPr>
              <w:ind w:left="620"/>
              <w:spacing w:after="0"/>
              <w:rPr>
                <w:sz w:val="20"/>
                <w:szCs w:val="20"/>
                <w:color w:val="auto"/>
              </w:rPr>
            </w:pPr>
            <w:r>
              <w:rPr>
                <w:rFonts w:ascii="Arial" w:cs="Arial" w:eastAsia="Arial" w:hAnsi="Arial"/>
                <w:sz w:val="18"/>
                <w:szCs w:val="18"/>
                <w:color w:val="auto"/>
              </w:rPr>
              <w:t>$750,000,000</w:t>
            </w:r>
          </w:p>
        </w:tc>
        <w:tc>
          <w:tcPr>
            <w:tcW w:w="4660" w:type="dxa"/>
            <w:vAlign w:val="bottom"/>
          </w:tcPr>
          <w:p>
            <w:pPr>
              <w:spacing w:after="0"/>
              <w:rPr>
                <w:sz w:val="24"/>
                <w:szCs w:val="24"/>
                <w:color w:val="auto"/>
              </w:rPr>
            </w:pPr>
          </w:p>
        </w:tc>
      </w:tr>
      <w:tr>
        <w:trPr>
          <w:trHeight w:val="324"/>
        </w:trPr>
        <w:tc>
          <w:tcPr>
            <w:tcW w:w="3240" w:type="dxa"/>
            <w:vAlign w:val="bottom"/>
          </w:tcPr>
          <w:p>
            <w:pPr>
              <w:spacing w:after="0"/>
              <w:rPr>
                <w:sz w:val="20"/>
                <w:szCs w:val="20"/>
                <w:color w:val="auto"/>
              </w:rPr>
            </w:pPr>
            <w:r>
              <w:rPr>
                <w:rFonts w:ascii="Arial" w:cs="Arial" w:eastAsia="Arial" w:hAnsi="Arial"/>
                <w:sz w:val="18"/>
                <w:szCs w:val="18"/>
                <w:color w:val="auto"/>
              </w:rPr>
              <w:t>Maturity:</w:t>
            </w:r>
          </w:p>
        </w:tc>
        <w:tc>
          <w:tcPr>
            <w:tcW w:w="7780" w:type="dxa"/>
            <w:vAlign w:val="bottom"/>
            <w:gridSpan w:val="3"/>
          </w:tcPr>
          <w:p>
            <w:pPr>
              <w:ind w:left="620"/>
              <w:spacing w:after="0"/>
              <w:rPr>
                <w:sz w:val="20"/>
                <w:szCs w:val="20"/>
                <w:color w:val="auto"/>
              </w:rPr>
            </w:pPr>
            <w:r>
              <w:rPr>
                <w:rFonts w:ascii="Arial" w:cs="Arial" w:eastAsia="Arial" w:hAnsi="Arial"/>
                <w:sz w:val="18"/>
                <w:szCs w:val="18"/>
                <w:color w:val="auto"/>
              </w:rPr>
              <w:t>March 14, 2033</w:t>
            </w:r>
          </w:p>
        </w:tc>
      </w:tr>
      <w:tr>
        <w:trPr>
          <w:trHeight w:val="324"/>
        </w:trPr>
        <w:tc>
          <w:tcPr>
            <w:tcW w:w="3240" w:type="dxa"/>
            <w:vAlign w:val="bottom"/>
          </w:tcPr>
          <w:p>
            <w:pPr>
              <w:spacing w:after="0"/>
              <w:rPr>
                <w:sz w:val="20"/>
                <w:szCs w:val="20"/>
                <w:color w:val="auto"/>
              </w:rPr>
            </w:pPr>
            <w:r>
              <w:rPr>
                <w:rFonts w:ascii="Arial" w:cs="Arial" w:eastAsia="Arial" w:hAnsi="Arial"/>
                <w:sz w:val="18"/>
                <w:szCs w:val="18"/>
                <w:color w:val="auto"/>
              </w:rPr>
              <w:t>Coupon:</w:t>
            </w:r>
          </w:p>
        </w:tc>
        <w:tc>
          <w:tcPr>
            <w:tcW w:w="1400" w:type="dxa"/>
            <w:vAlign w:val="bottom"/>
          </w:tcPr>
          <w:p>
            <w:pPr>
              <w:ind w:left="620"/>
              <w:spacing w:after="0"/>
              <w:rPr>
                <w:sz w:val="20"/>
                <w:szCs w:val="20"/>
                <w:color w:val="auto"/>
              </w:rPr>
            </w:pPr>
            <w:r>
              <w:rPr>
                <w:rFonts w:ascii="Arial" w:cs="Arial" w:eastAsia="Arial" w:hAnsi="Arial"/>
                <w:sz w:val="18"/>
                <w:szCs w:val="18"/>
                <w:color w:val="auto"/>
              </w:rPr>
              <w:t>4.900%</w:t>
            </w:r>
          </w:p>
        </w:tc>
        <w:tc>
          <w:tcPr>
            <w:tcW w:w="1720" w:type="dxa"/>
            <w:vAlign w:val="bottom"/>
          </w:tcPr>
          <w:p>
            <w:pPr>
              <w:spacing w:after="0"/>
              <w:rPr>
                <w:sz w:val="24"/>
                <w:szCs w:val="24"/>
                <w:color w:val="auto"/>
              </w:rPr>
            </w:pPr>
          </w:p>
        </w:tc>
        <w:tc>
          <w:tcPr>
            <w:tcW w:w="4660" w:type="dxa"/>
            <w:vAlign w:val="bottom"/>
          </w:tcPr>
          <w:p>
            <w:pPr>
              <w:spacing w:after="0"/>
              <w:rPr>
                <w:sz w:val="24"/>
                <w:szCs w:val="24"/>
                <w:color w:val="auto"/>
              </w:rPr>
            </w:pPr>
          </w:p>
        </w:tc>
      </w:tr>
      <w:tr>
        <w:trPr>
          <w:trHeight w:val="324"/>
        </w:trPr>
        <w:tc>
          <w:tcPr>
            <w:tcW w:w="3240" w:type="dxa"/>
            <w:vAlign w:val="bottom"/>
          </w:tcPr>
          <w:p>
            <w:pPr>
              <w:spacing w:after="0"/>
              <w:rPr>
                <w:sz w:val="20"/>
                <w:szCs w:val="20"/>
                <w:color w:val="auto"/>
              </w:rPr>
            </w:pPr>
            <w:r>
              <w:rPr>
                <w:rFonts w:ascii="Arial" w:cs="Arial" w:eastAsia="Arial" w:hAnsi="Arial"/>
                <w:sz w:val="18"/>
                <w:szCs w:val="18"/>
                <w:color w:val="auto"/>
              </w:rPr>
              <w:t>Price to Public:</w:t>
            </w:r>
          </w:p>
        </w:tc>
        <w:tc>
          <w:tcPr>
            <w:tcW w:w="7780" w:type="dxa"/>
            <w:vAlign w:val="bottom"/>
            <w:gridSpan w:val="3"/>
          </w:tcPr>
          <w:p>
            <w:pPr>
              <w:ind w:left="620"/>
              <w:spacing w:after="0"/>
              <w:rPr>
                <w:sz w:val="20"/>
                <w:szCs w:val="20"/>
                <w:color w:val="auto"/>
              </w:rPr>
            </w:pPr>
            <w:r>
              <w:rPr>
                <w:rFonts w:ascii="Arial" w:cs="Arial" w:eastAsia="Arial" w:hAnsi="Arial"/>
                <w:sz w:val="18"/>
                <w:szCs w:val="18"/>
                <w:color w:val="auto"/>
              </w:rPr>
              <w:t>99.922% of principal amount</w:t>
            </w:r>
          </w:p>
        </w:tc>
      </w:tr>
      <w:tr>
        <w:trPr>
          <w:trHeight w:val="324"/>
        </w:trPr>
        <w:tc>
          <w:tcPr>
            <w:tcW w:w="3240" w:type="dxa"/>
            <w:vAlign w:val="bottom"/>
          </w:tcPr>
          <w:p>
            <w:pPr>
              <w:spacing w:after="0"/>
              <w:rPr>
                <w:sz w:val="20"/>
                <w:szCs w:val="20"/>
                <w:color w:val="auto"/>
              </w:rPr>
            </w:pPr>
            <w:r>
              <w:rPr>
                <w:rFonts w:ascii="Arial" w:cs="Arial" w:eastAsia="Arial" w:hAnsi="Arial"/>
                <w:sz w:val="18"/>
                <w:szCs w:val="18"/>
                <w:color w:val="auto"/>
              </w:rPr>
              <w:t>Interest Payment Dates:</w:t>
            </w:r>
          </w:p>
        </w:tc>
        <w:tc>
          <w:tcPr>
            <w:tcW w:w="7780" w:type="dxa"/>
            <w:vAlign w:val="bottom"/>
            <w:gridSpan w:val="3"/>
          </w:tcPr>
          <w:p>
            <w:pPr>
              <w:ind w:left="620"/>
              <w:spacing w:after="0"/>
              <w:rPr>
                <w:sz w:val="20"/>
                <w:szCs w:val="20"/>
                <w:color w:val="auto"/>
              </w:rPr>
            </w:pPr>
            <w:r>
              <w:rPr>
                <w:rFonts w:ascii="Arial" w:cs="Arial" w:eastAsia="Arial" w:hAnsi="Arial"/>
                <w:sz w:val="18"/>
                <w:szCs w:val="18"/>
                <w:color w:val="auto"/>
              </w:rPr>
              <w:t>March 14 and September 14, beginning on September 14, 2023, and on the maturity date</w:t>
            </w:r>
          </w:p>
        </w:tc>
      </w:tr>
      <w:tr>
        <w:trPr>
          <w:trHeight w:val="324"/>
        </w:trPr>
        <w:tc>
          <w:tcPr>
            <w:tcW w:w="3240" w:type="dxa"/>
            <w:vAlign w:val="bottom"/>
          </w:tcPr>
          <w:p>
            <w:pPr>
              <w:spacing w:after="0"/>
              <w:rPr>
                <w:sz w:val="20"/>
                <w:szCs w:val="20"/>
                <w:color w:val="auto"/>
              </w:rPr>
            </w:pPr>
            <w:r>
              <w:rPr>
                <w:rFonts w:ascii="Arial" w:cs="Arial" w:eastAsia="Arial" w:hAnsi="Arial"/>
                <w:sz w:val="18"/>
                <w:szCs w:val="18"/>
                <w:color w:val="auto"/>
              </w:rPr>
              <w:t>Day Count Convention:</w:t>
            </w:r>
          </w:p>
        </w:tc>
        <w:tc>
          <w:tcPr>
            <w:tcW w:w="1400" w:type="dxa"/>
            <w:vAlign w:val="bottom"/>
          </w:tcPr>
          <w:p>
            <w:pPr>
              <w:ind w:left="620"/>
              <w:spacing w:after="0"/>
              <w:rPr>
                <w:sz w:val="20"/>
                <w:szCs w:val="20"/>
                <w:color w:val="auto"/>
              </w:rPr>
            </w:pPr>
            <w:r>
              <w:rPr>
                <w:rFonts w:ascii="Arial" w:cs="Arial" w:eastAsia="Arial" w:hAnsi="Arial"/>
                <w:sz w:val="18"/>
                <w:szCs w:val="18"/>
                <w:color w:val="auto"/>
              </w:rPr>
              <w:t>30/360</w:t>
            </w:r>
          </w:p>
        </w:tc>
        <w:tc>
          <w:tcPr>
            <w:tcW w:w="1720" w:type="dxa"/>
            <w:vAlign w:val="bottom"/>
          </w:tcPr>
          <w:p>
            <w:pPr>
              <w:spacing w:after="0"/>
              <w:rPr>
                <w:sz w:val="24"/>
                <w:szCs w:val="24"/>
                <w:color w:val="auto"/>
              </w:rPr>
            </w:pPr>
          </w:p>
        </w:tc>
        <w:tc>
          <w:tcPr>
            <w:tcW w:w="4660" w:type="dxa"/>
            <w:vAlign w:val="bottom"/>
          </w:tcPr>
          <w:p>
            <w:pPr>
              <w:spacing w:after="0"/>
              <w:rPr>
                <w:sz w:val="24"/>
                <w:szCs w:val="24"/>
                <w:color w:val="auto"/>
              </w:rPr>
            </w:pPr>
          </w:p>
        </w:tc>
      </w:tr>
      <w:tr>
        <w:trPr>
          <w:trHeight w:val="324"/>
        </w:trPr>
        <w:tc>
          <w:tcPr>
            <w:tcW w:w="3240" w:type="dxa"/>
            <w:vAlign w:val="bottom"/>
          </w:tcPr>
          <w:p>
            <w:pPr>
              <w:spacing w:after="0"/>
              <w:rPr>
                <w:sz w:val="20"/>
                <w:szCs w:val="20"/>
                <w:color w:val="auto"/>
              </w:rPr>
            </w:pPr>
            <w:r>
              <w:rPr>
                <w:rFonts w:ascii="Arial" w:cs="Arial" w:eastAsia="Arial" w:hAnsi="Arial"/>
                <w:sz w:val="18"/>
                <w:szCs w:val="18"/>
                <w:color w:val="auto"/>
              </w:rPr>
              <w:t>Proceeds (before expenses) to TI:</w:t>
            </w:r>
          </w:p>
        </w:tc>
        <w:tc>
          <w:tcPr>
            <w:tcW w:w="3120" w:type="dxa"/>
            <w:vAlign w:val="bottom"/>
            <w:gridSpan w:val="2"/>
          </w:tcPr>
          <w:p>
            <w:pPr>
              <w:ind w:left="620"/>
              <w:spacing w:after="0"/>
              <w:rPr>
                <w:sz w:val="20"/>
                <w:szCs w:val="20"/>
                <w:color w:val="auto"/>
              </w:rPr>
            </w:pPr>
            <w:r>
              <w:rPr>
                <w:rFonts w:ascii="Arial" w:cs="Arial" w:eastAsia="Arial" w:hAnsi="Arial"/>
                <w:sz w:val="18"/>
                <w:szCs w:val="18"/>
                <w:color w:val="auto"/>
              </w:rPr>
              <w:t>$746,790,000</w:t>
            </w:r>
          </w:p>
        </w:tc>
        <w:tc>
          <w:tcPr>
            <w:tcW w:w="4660" w:type="dxa"/>
            <w:vAlign w:val="bottom"/>
          </w:tcPr>
          <w:p>
            <w:pPr>
              <w:spacing w:after="0"/>
              <w:rPr>
                <w:sz w:val="24"/>
                <w:szCs w:val="24"/>
                <w:color w:val="auto"/>
              </w:rPr>
            </w:pPr>
          </w:p>
        </w:tc>
      </w:tr>
      <w:tr>
        <w:trPr>
          <w:trHeight w:val="324"/>
        </w:trPr>
        <w:tc>
          <w:tcPr>
            <w:tcW w:w="3240" w:type="dxa"/>
            <w:vAlign w:val="bottom"/>
          </w:tcPr>
          <w:p>
            <w:pPr>
              <w:spacing w:after="0"/>
              <w:rPr>
                <w:sz w:val="20"/>
                <w:szCs w:val="20"/>
                <w:color w:val="auto"/>
              </w:rPr>
            </w:pPr>
            <w:r>
              <w:rPr>
                <w:rFonts w:ascii="Arial" w:cs="Arial" w:eastAsia="Arial" w:hAnsi="Arial"/>
                <w:sz w:val="18"/>
                <w:szCs w:val="18"/>
                <w:color w:val="auto"/>
              </w:rPr>
              <w:t>Benchmark Treasury:</w:t>
            </w:r>
          </w:p>
        </w:tc>
        <w:tc>
          <w:tcPr>
            <w:tcW w:w="7780" w:type="dxa"/>
            <w:vAlign w:val="bottom"/>
            <w:gridSpan w:val="3"/>
          </w:tcPr>
          <w:p>
            <w:pPr>
              <w:ind w:left="620"/>
              <w:spacing w:after="0"/>
              <w:rPr>
                <w:sz w:val="20"/>
                <w:szCs w:val="20"/>
                <w:color w:val="auto"/>
              </w:rPr>
            </w:pPr>
            <w:r>
              <w:rPr>
                <w:rFonts w:ascii="Arial" w:cs="Arial" w:eastAsia="Arial" w:hAnsi="Arial"/>
                <w:sz w:val="18"/>
                <w:szCs w:val="18"/>
                <w:color w:val="auto"/>
              </w:rPr>
              <w:t>3.500% due February 15, 2033</w:t>
            </w:r>
          </w:p>
        </w:tc>
      </w:tr>
      <w:tr>
        <w:trPr>
          <w:trHeight w:val="324"/>
        </w:trPr>
        <w:tc>
          <w:tcPr>
            <w:tcW w:w="3240" w:type="dxa"/>
            <w:vAlign w:val="bottom"/>
          </w:tcPr>
          <w:p>
            <w:pPr>
              <w:spacing w:after="0"/>
              <w:rPr>
                <w:sz w:val="20"/>
                <w:szCs w:val="20"/>
                <w:color w:val="auto"/>
              </w:rPr>
            </w:pPr>
            <w:r>
              <w:rPr>
                <w:rFonts w:ascii="Arial" w:cs="Arial" w:eastAsia="Arial" w:hAnsi="Arial"/>
                <w:sz w:val="18"/>
                <w:szCs w:val="18"/>
                <w:color w:val="auto"/>
              </w:rPr>
              <w:t>Spread to Benchmark Treasury:</w:t>
            </w:r>
          </w:p>
        </w:tc>
        <w:tc>
          <w:tcPr>
            <w:tcW w:w="7780" w:type="dxa"/>
            <w:vAlign w:val="bottom"/>
            <w:gridSpan w:val="3"/>
          </w:tcPr>
          <w:p>
            <w:pPr>
              <w:ind w:left="620"/>
              <w:spacing w:after="0"/>
              <w:rPr>
                <w:sz w:val="20"/>
                <w:szCs w:val="20"/>
                <w:color w:val="auto"/>
              </w:rPr>
            </w:pPr>
            <w:r>
              <w:rPr>
                <w:rFonts w:ascii="Arial" w:cs="Arial" w:eastAsia="Arial" w:hAnsi="Arial"/>
                <w:sz w:val="18"/>
                <w:szCs w:val="18"/>
                <w:color w:val="auto"/>
              </w:rPr>
              <w:t>95 basis points</w:t>
            </w:r>
          </w:p>
        </w:tc>
      </w:tr>
      <w:tr>
        <w:trPr>
          <w:trHeight w:val="324"/>
        </w:trPr>
        <w:tc>
          <w:tcPr>
            <w:tcW w:w="3240" w:type="dxa"/>
            <w:vAlign w:val="bottom"/>
          </w:tcPr>
          <w:p>
            <w:pPr>
              <w:spacing w:after="0"/>
              <w:rPr>
                <w:sz w:val="20"/>
                <w:szCs w:val="20"/>
                <w:color w:val="auto"/>
              </w:rPr>
            </w:pPr>
            <w:r>
              <w:rPr>
                <w:rFonts w:ascii="Arial" w:cs="Arial" w:eastAsia="Arial" w:hAnsi="Arial"/>
                <w:sz w:val="18"/>
                <w:szCs w:val="18"/>
                <w:color w:val="auto"/>
              </w:rPr>
              <w:t>Yield to Maturity:</w:t>
            </w:r>
          </w:p>
        </w:tc>
        <w:tc>
          <w:tcPr>
            <w:tcW w:w="1400" w:type="dxa"/>
            <w:vAlign w:val="bottom"/>
          </w:tcPr>
          <w:p>
            <w:pPr>
              <w:ind w:left="620"/>
              <w:spacing w:after="0"/>
              <w:rPr>
                <w:sz w:val="20"/>
                <w:szCs w:val="20"/>
                <w:color w:val="auto"/>
              </w:rPr>
            </w:pPr>
            <w:r>
              <w:rPr>
                <w:rFonts w:ascii="Arial" w:cs="Arial" w:eastAsia="Arial" w:hAnsi="Arial"/>
                <w:sz w:val="18"/>
                <w:szCs w:val="18"/>
                <w:color w:val="auto"/>
              </w:rPr>
              <w:t>4.910%</w:t>
            </w:r>
          </w:p>
        </w:tc>
        <w:tc>
          <w:tcPr>
            <w:tcW w:w="1720" w:type="dxa"/>
            <w:vAlign w:val="bottom"/>
          </w:tcPr>
          <w:p>
            <w:pPr>
              <w:spacing w:after="0"/>
              <w:rPr>
                <w:sz w:val="24"/>
                <w:szCs w:val="24"/>
                <w:color w:val="auto"/>
              </w:rPr>
            </w:pPr>
          </w:p>
        </w:tc>
        <w:tc>
          <w:tcPr>
            <w:tcW w:w="4660" w:type="dxa"/>
            <w:vAlign w:val="bottom"/>
          </w:tcPr>
          <w:p>
            <w:pPr>
              <w:spacing w:after="0"/>
              <w:rPr>
                <w:sz w:val="24"/>
                <w:szCs w:val="24"/>
                <w:color w:val="auto"/>
              </w:rPr>
            </w:pPr>
          </w:p>
        </w:tc>
      </w:tr>
      <w:tr>
        <w:trPr>
          <w:trHeight w:val="324"/>
        </w:trPr>
        <w:tc>
          <w:tcPr>
            <w:tcW w:w="3240" w:type="dxa"/>
            <w:vAlign w:val="bottom"/>
          </w:tcPr>
          <w:p>
            <w:pPr>
              <w:spacing w:after="0"/>
              <w:rPr>
                <w:sz w:val="20"/>
                <w:szCs w:val="20"/>
                <w:color w:val="auto"/>
              </w:rPr>
            </w:pPr>
            <w:r>
              <w:rPr>
                <w:rFonts w:ascii="Arial" w:cs="Arial" w:eastAsia="Arial" w:hAnsi="Arial"/>
                <w:sz w:val="18"/>
                <w:szCs w:val="18"/>
                <w:color w:val="auto"/>
              </w:rPr>
              <w:t>Benchmark Treasury Price and Yield:</w:t>
            </w:r>
          </w:p>
        </w:tc>
        <w:tc>
          <w:tcPr>
            <w:tcW w:w="3120" w:type="dxa"/>
            <w:vAlign w:val="bottom"/>
            <w:gridSpan w:val="2"/>
          </w:tcPr>
          <w:p>
            <w:pPr>
              <w:ind w:left="620"/>
              <w:spacing w:after="0"/>
              <w:rPr>
                <w:sz w:val="20"/>
                <w:szCs w:val="20"/>
                <w:color w:val="auto"/>
              </w:rPr>
            </w:pPr>
            <w:r>
              <w:rPr>
                <w:rFonts w:ascii="Arial" w:cs="Arial" w:eastAsia="Arial" w:hAnsi="Arial"/>
                <w:sz w:val="18"/>
                <w:szCs w:val="18"/>
                <w:color w:val="auto"/>
              </w:rPr>
              <w:t>96-08; 3.960%</w:t>
            </w:r>
          </w:p>
        </w:tc>
        <w:tc>
          <w:tcPr>
            <w:tcW w:w="4660" w:type="dxa"/>
            <w:vAlign w:val="bottom"/>
          </w:tcPr>
          <w:p>
            <w:pPr>
              <w:spacing w:after="0"/>
              <w:rPr>
                <w:sz w:val="24"/>
                <w:szCs w:val="24"/>
                <w:color w:val="auto"/>
              </w:rPr>
            </w:pPr>
          </w:p>
        </w:tc>
      </w:tr>
      <w:tr>
        <w:trPr>
          <w:trHeight w:val="310"/>
        </w:trPr>
        <w:tc>
          <w:tcPr>
            <w:tcW w:w="3240" w:type="dxa"/>
            <w:vAlign w:val="bottom"/>
          </w:tcPr>
          <w:p>
            <w:pPr>
              <w:spacing w:after="0"/>
              <w:rPr>
                <w:sz w:val="20"/>
                <w:szCs w:val="20"/>
                <w:color w:val="auto"/>
              </w:rPr>
            </w:pPr>
            <w:r>
              <w:rPr>
                <w:rFonts w:ascii="Arial" w:cs="Arial" w:eastAsia="Arial" w:hAnsi="Arial"/>
                <w:sz w:val="18"/>
                <w:szCs w:val="18"/>
                <w:color w:val="auto"/>
              </w:rPr>
              <w:t>Make-Whole Call:</w:t>
            </w:r>
          </w:p>
        </w:tc>
        <w:tc>
          <w:tcPr>
            <w:tcW w:w="7780" w:type="dxa"/>
            <w:vAlign w:val="bottom"/>
            <w:gridSpan w:val="3"/>
          </w:tcPr>
          <w:p>
            <w:pPr>
              <w:ind w:left="620"/>
              <w:spacing w:after="0"/>
              <w:rPr>
                <w:sz w:val="20"/>
                <w:szCs w:val="20"/>
                <w:color w:val="auto"/>
              </w:rPr>
            </w:pPr>
            <w:r>
              <w:rPr>
                <w:rFonts w:ascii="Arial" w:cs="Arial" w:eastAsia="Arial" w:hAnsi="Arial"/>
                <w:sz w:val="18"/>
                <w:szCs w:val="18"/>
                <w:color w:val="auto"/>
                <w:w w:val="93"/>
              </w:rPr>
              <w:t>At any time before December 14, 2032 (three months before the maturity date) at the greater of:</w:t>
            </w:r>
          </w:p>
        </w:tc>
      </w:tr>
      <w:tr>
        <w:trPr>
          <w:trHeight w:val="216"/>
        </w:trPr>
        <w:tc>
          <w:tcPr>
            <w:tcW w:w="3240" w:type="dxa"/>
            <w:vAlign w:val="bottom"/>
          </w:tcPr>
          <w:p>
            <w:pPr>
              <w:spacing w:after="0"/>
              <w:rPr>
                <w:sz w:val="18"/>
                <w:szCs w:val="18"/>
                <w:color w:val="auto"/>
              </w:rPr>
            </w:pPr>
          </w:p>
        </w:tc>
        <w:tc>
          <w:tcPr>
            <w:tcW w:w="7780" w:type="dxa"/>
            <w:vAlign w:val="bottom"/>
            <w:gridSpan w:val="3"/>
          </w:tcPr>
          <w:p>
            <w:pPr>
              <w:ind w:left="620"/>
              <w:spacing w:after="0"/>
              <w:rPr>
                <w:sz w:val="20"/>
                <w:szCs w:val="20"/>
                <w:color w:val="auto"/>
              </w:rPr>
            </w:pPr>
            <w:r>
              <w:rPr>
                <w:rFonts w:ascii="Arial" w:cs="Arial" w:eastAsia="Arial" w:hAnsi="Arial"/>
                <w:sz w:val="18"/>
                <w:szCs w:val="18"/>
                <w:color w:val="auto"/>
                <w:w w:val="90"/>
              </w:rPr>
              <w:t>(1) (a) the sum of the present values of the remaining scheduled payments of principal and interest</w:t>
            </w:r>
          </w:p>
        </w:tc>
      </w:tr>
      <w:tr>
        <w:trPr>
          <w:trHeight w:val="216"/>
        </w:trPr>
        <w:tc>
          <w:tcPr>
            <w:tcW w:w="3240" w:type="dxa"/>
            <w:vAlign w:val="bottom"/>
          </w:tcPr>
          <w:p>
            <w:pPr>
              <w:spacing w:after="0"/>
              <w:rPr>
                <w:sz w:val="18"/>
                <w:szCs w:val="18"/>
                <w:color w:val="auto"/>
              </w:rPr>
            </w:pPr>
          </w:p>
        </w:tc>
        <w:tc>
          <w:tcPr>
            <w:tcW w:w="7780" w:type="dxa"/>
            <w:vAlign w:val="bottom"/>
            <w:gridSpan w:val="3"/>
          </w:tcPr>
          <w:p>
            <w:pPr>
              <w:ind w:left="620"/>
              <w:spacing w:after="0"/>
              <w:rPr>
                <w:sz w:val="20"/>
                <w:szCs w:val="20"/>
                <w:color w:val="auto"/>
              </w:rPr>
            </w:pPr>
            <w:r>
              <w:rPr>
                <w:rFonts w:ascii="Arial" w:cs="Arial" w:eastAsia="Arial" w:hAnsi="Arial"/>
                <w:sz w:val="18"/>
                <w:szCs w:val="18"/>
                <w:color w:val="auto"/>
                <w:w w:val="89"/>
              </w:rPr>
              <w:t>thereon discounted to the redemption date (assuming the Notes matured on December 14, 2032) on</w:t>
            </w:r>
          </w:p>
        </w:tc>
      </w:tr>
      <w:tr>
        <w:trPr>
          <w:trHeight w:val="216"/>
        </w:trPr>
        <w:tc>
          <w:tcPr>
            <w:tcW w:w="3240" w:type="dxa"/>
            <w:vAlign w:val="bottom"/>
          </w:tcPr>
          <w:p>
            <w:pPr>
              <w:spacing w:after="0"/>
              <w:rPr>
                <w:sz w:val="18"/>
                <w:szCs w:val="18"/>
                <w:color w:val="auto"/>
              </w:rPr>
            </w:pPr>
          </w:p>
        </w:tc>
        <w:tc>
          <w:tcPr>
            <w:tcW w:w="7780" w:type="dxa"/>
            <w:vAlign w:val="bottom"/>
            <w:gridSpan w:val="3"/>
          </w:tcPr>
          <w:p>
            <w:pPr>
              <w:ind w:left="620"/>
              <w:spacing w:after="0"/>
              <w:rPr>
                <w:sz w:val="20"/>
                <w:szCs w:val="20"/>
                <w:color w:val="auto"/>
              </w:rPr>
            </w:pPr>
            <w:r>
              <w:rPr>
                <w:rFonts w:ascii="Arial" w:cs="Arial" w:eastAsia="Arial" w:hAnsi="Arial"/>
                <w:sz w:val="18"/>
                <w:szCs w:val="18"/>
                <w:color w:val="auto"/>
                <w:w w:val="90"/>
              </w:rPr>
              <w:t>a semi-annual basis (assuming a 360-day year consisting of twelve 30-day months) at the Treasury</w:t>
            </w:r>
          </w:p>
        </w:tc>
      </w:tr>
      <w:tr>
        <w:trPr>
          <w:trHeight w:val="216"/>
        </w:trPr>
        <w:tc>
          <w:tcPr>
            <w:tcW w:w="3240" w:type="dxa"/>
            <w:vAlign w:val="bottom"/>
          </w:tcPr>
          <w:p>
            <w:pPr>
              <w:spacing w:after="0"/>
              <w:rPr>
                <w:sz w:val="18"/>
                <w:szCs w:val="18"/>
                <w:color w:val="auto"/>
              </w:rPr>
            </w:pPr>
          </w:p>
        </w:tc>
        <w:tc>
          <w:tcPr>
            <w:tcW w:w="7780" w:type="dxa"/>
            <w:vAlign w:val="bottom"/>
            <w:gridSpan w:val="3"/>
          </w:tcPr>
          <w:p>
            <w:pPr>
              <w:ind w:left="620"/>
              <w:spacing w:after="0"/>
              <w:rPr>
                <w:sz w:val="20"/>
                <w:szCs w:val="20"/>
                <w:color w:val="auto"/>
              </w:rPr>
            </w:pPr>
            <w:r>
              <w:rPr>
                <w:rFonts w:ascii="Arial" w:cs="Arial" w:eastAsia="Arial" w:hAnsi="Arial"/>
                <w:sz w:val="18"/>
                <w:szCs w:val="18"/>
                <w:color w:val="auto"/>
                <w:w w:val="92"/>
              </w:rPr>
              <w:t>Rate plus 15 basis points less (b) interest accrued to the date of redemption, and (2) 100% of the</w:t>
            </w:r>
          </w:p>
        </w:tc>
      </w:tr>
      <w:tr>
        <w:trPr>
          <w:trHeight w:val="216"/>
        </w:trPr>
        <w:tc>
          <w:tcPr>
            <w:tcW w:w="3240" w:type="dxa"/>
            <w:vAlign w:val="bottom"/>
          </w:tcPr>
          <w:p>
            <w:pPr>
              <w:spacing w:after="0"/>
              <w:rPr>
                <w:sz w:val="18"/>
                <w:szCs w:val="18"/>
                <w:color w:val="auto"/>
              </w:rPr>
            </w:pPr>
          </w:p>
        </w:tc>
        <w:tc>
          <w:tcPr>
            <w:tcW w:w="7780" w:type="dxa"/>
            <w:vAlign w:val="bottom"/>
            <w:gridSpan w:val="3"/>
          </w:tcPr>
          <w:p>
            <w:pPr>
              <w:ind w:left="620"/>
              <w:spacing w:after="0"/>
              <w:rPr>
                <w:sz w:val="20"/>
                <w:szCs w:val="20"/>
                <w:color w:val="auto"/>
              </w:rPr>
            </w:pPr>
            <w:r>
              <w:rPr>
                <w:rFonts w:ascii="Arial" w:cs="Arial" w:eastAsia="Arial" w:hAnsi="Arial"/>
                <w:sz w:val="18"/>
                <w:szCs w:val="18"/>
                <w:color w:val="auto"/>
                <w:w w:val="94"/>
              </w:rPr>
              <w:t>principal amount of the Notes to be redeemed, plus, in either case, accrued and unpaid interest</w:t>
            </w:r>
          </w:p>
        </w:tc>
      </w:tr>
      <w:tr>
        <w:trPr>
          <w:trHeight w:val="230"/>
        </w:trPr>
        <w:tc>
          <w:tcPr>
            <w:tcW w:w="3240" w:type="dxa"/>
            <w:vAlign w:val="bottom"/>
          </w:tcPr>
          <w:p>
            <w:pPr>
              <w:spacing w:after="0"/>
              <w:rPr>
                <w:sz w:val="20"/>
                <w:szCs w:val="20"/>
                <w:color w:val="auto"/>
              </w:rPr>
            </w:pPr>
          </w:p>
        </w:tc>
        <w:tc>
          <w:tcPr>
            <w:tcW w:w="7780" w:type="dxa"/>
            <w:vAlign w:val="bottom"/>
            <w:gridSpan w:val="3"/>
          </w:tcPr>
          <w:p>
            <w:pPr>
              <w:ind w:left="620"/>
              <w:spacing w:after="0"/>
              <w:rPr>
                <w:sz w:val="20"/>
                <w:szCs w:val="20"/>
                <w:color w:val="auto"/>
              </w:rPr>
            </w:pPr>
            <w:r>
              <w:rPr>
                <w:rFonts w:ascii="Arial" w:cs="Arial" w:eastAsia="Arial" w:hAnsi="Arial"/>
                <w:sz w:val="18"/>
                <w:szCs w:val="18"/>
                <w:color w:val="auto"/>
              </w:rPr>
              <w:t>thereon to the redemption date.</w:t>
            </w:r>
          </w:p>
        </w:tc>
      </w:tr>
      <w:tr>
        <w:trPr>
          <w:trHeight w:val="365"/>
        </w:trPr>
        <w:tc>
          <w:tcPr>
            <w:tcW w:w="3240" w:type="dxa"/>
            <w:vAlign w:val="bottom"/>
          </w:tcPr>
          <w:p>
            <w:pPr>
              <w:spacing w:after="0"/>
              <w:rPr>
                <w:sz w:val="24"/>
                <w:szCs w:val="24"/>
                <w:color w:val="auto"/>
              </w:rPr>
            </w:pPr>
          </w:p>
        </w:tc>
        <w:tc>
          <w:tcPr>
            <w:tcW w:w="3120" w:type="dxa"/>
            <w:vAlign w:val="bottom"/>
            <w:gridSpan w:val="2"/>
          </w:tcPr>
          <w:p>
            <w:pPr>
              <w:jc w:val="center"/>
              <w:ind w:left="1310"/>
              <w:spacing w:after="0"/>
              <w:rPr>
                <w:sz w:val="20"/>
                <w:szCs w:val="20"/>
                <w:color w:val="auto"/>
              </w:rPr>
            </w:pPr>
            <w:r>
              <w:rPr>
                <w:rFonts w:ascii="Arial" w:cs="Arial" w:eastAsia="Arial" w:hAnsi="Arial"/>
                <w:sz w:val="18"/>
                <w:szCs w:val="18"/>
                <w:color w:val="auto"/>
                <w:w w:val="79"/>
              </w:rPr>
              <w:t>1</w:t>
            </w:r>
          </w:p>
        </w:tc>
        <w:tc>
          <w:tcPr>
            <w:tcW w:w="4660" w:type="dxa"/>
            <w:vAlign w:val="bottom"/>
          </w:tcPr>
          <w:p>
            <w:pPr>
              <w:spacing w:after="0"/>
              <w:rPr>
                <w:sz w:val="24"/>
                <w:szCs w:val="24"/>
                <w:color w:val="auto"/>
              </w:rPr>
            </w:pPr>
          </w:p>
        </w:tc>
      </w:tr>
    </w:tbl>
    <w:p>
      <w:pPr>
        <w:sectPr>
          <w:pgSz w:w="11900" w:h="16838" w:orient="portrait"/>
          <w:cols w:equalWidth="0" w:num="1">
            <w:col w:w="11020"/>
          </w:cols>
          <w:pgMar w:left="440" w:top="233" w:right="43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Par Call:</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Trade Date: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Settlement Date: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Denominations: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CUSIP/ISIN: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Issuer: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Principal Amount: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Maturity: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Coupon: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Price to Public: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Interest Payment Dates: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Day Count Convention:</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Proceeds (before expenses) to TI:</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Benchmark Treasury: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Spread to Benchmark Treasury: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Yield to Maturity:</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Benchmark Treasury Price and Yield:</w:t>
      </w:r>
    </w:p>
    <w:p>
      <w:pPr>
        <w:spacing w:after="0" w:line="20" w:lineRule="exact"/>
        <w:rPr>
          <w:sz w:val="20"/>
          <w:szCs w:val="20"/>
          <w:color w:val="auto"/>
        </w:rPr>
      </w:pPr>
      <w:r>
        <w:rPr>
          <w:sz w:val="20"/>
          <w:szCs w:val="20"/>
          <w:color w:val="auto"/>
        </w:rPr>
        <w:br w:type="column"/>
      </w:r>
    </w:p>
    <w:p>
      <w:pPr>
        <w:spacing w:after="0" w:line="263" w:lineRule="auto"/>
        <w:rPr>
          <w:sz w:val="20"/>
          <w:szCs w:val="20"/>
          <w:color w:val="auto"/>
        </w:rPr>
      </w:pPr>
      <w:r>
        <w:rPr>
          <w:rFonts w:ascii="Arial" w:cs="Arial" w:eastAsia="Arial" w:hAnsi="Arial"/>
          <w:sz w:val="18"/>
          <w:szCs w:val="18"/>
          <w:color w:val="auto"/>
        </w:rPr>
        <w:t>At any time on or after December 14, 2032 (three months before the maturity date) at 100% of the principal amount of notes being redeemed plus accrued and unpaid interest thereon to the redemption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-2534285</wp:posOffset>
            </wp:positionH>
            <wp:positionV relativeFrom="paragraph">
              <wp:posOffset>-585470</wp:posOffset>
            </wp:positionV>
            <wp:extent cx="71748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color w:val="auto"/>
        </w:rPr>
        <w:t>March 7, 2023</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March 14, 2023 (T+5)</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$2,000 and multiples of $1,000 thereafter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882508CB8/US882508CB86</w:t>
      </w:r>
    </w:p>
    <w:p>
      <w:pPr>
        <w:spacing w:after="0" w:line="200" w:lineRule="exact"/>
        <w:rPr>
          <w:sz w:val="20"/>
          <w:szCs w:val="20"/>
          <w:color w:val="auto"/>
        </w:rPr>
      </w:pPr>
    </w:p>
    <w:p>
      <w:pPr>
        <w:spacing w:after="0" w:line="241" w:lineRule="exact"/>
        <w:rPr>
          <w:sz w:val="20"/>
          <w:szCs w:val="20"/>
          <w:color w:val="auto"/>
        </w:rPr>
      </w:pPr>
    </w:p>
    <w:p>
      <w:pPr>
        <w:ind w:left="780"/>
        <w:spacing w:after="0"/>
        <w:rPr>
          <w:sz w:val="20"/>
          <w:szCs w:val="20"/>
          <w:color w:val="auto"/>
        </w:rPr>
      </w:pPr>
      <w:r>
        <w:rPr>
          <w:rFonts w:ascii="Arial" w:cs="Arial" w:eastAsia="Arial" w:hAnsi="Arial"/>
          <w:sz w:val="18"/>
          <w:szCs w:val="18"/>
          <w:u w:val="single" w:color="auto"/>
          <w:color w:val="auto"/>
        </w:rPr>
        <w:t>5.000% Notes due 2053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Texas Instruments Incorporated (“TI”)</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$650,000,000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March 14, 2053</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5.000%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99.661% of principal amount</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March 14 and September 14, beginning on September 14, 2023, and on the maturity date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30/360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$643,896,500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4.000% due November 15, 2052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115 basis points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5.022%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102-07+; 3.872%</w:t>
      </w:r>
    </w:p>
    <w:p>
      <w:pPr>
        <w:spacing w:after="0" w:line="158"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2</w:t>
      </w:r>
    </w:p>
    <w:p>
      <w:pPr>
        <w:sectPr>
          <w:pgSz w:w="11900" w:h="16838" w:orient="portrait"/>
          <w:cols w:equalWidth="0" w:num="2">
            <w:col w:w="3140" w:space="720"/>
            <w:col w:w="7060"/>
          </w:cols>
          <w:pgMar w:left="440" w:top="382" w:right="5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16"/>
        </w:trPr>
        <w:tc>
          <w:tcPr>
            <w:tcW w:w="3060" w:type="dxa"/>
            <w:vAlign w:val="bottom"/>
          </w:tcPr>
          <w:p>
            <w:pPr>
              <w:spacing w:after="0"/>
              <w:rPr>
                <w:sz w:val="20"/>
                <w:szCs w:val="20"/>
                <w:color w:val="auto"/>
              </w:rPr>
            </w:pPr>
            <w:r>
              <w:rPr>
                <w:rFonts w:ascii="Arial" w:cs="Arial" w:eastAsia="Arial" w:hAnsi="Arial"/>
                <w:sz w:val="18"/>
                <w:szCs w:val="18"/>
                <w:color w:val="auto"/>
              </w:rPr>
              <w:t>Make-Whole Call:</w:t>
            </w:r>
          </w:p>
        </w:tc>
        <w:tc>
          <w:tcPr>
            <w:tcW w:w="7940" w:type="dxa"/>
            <w:vAlign w:val="bottom"/>
            <w:gridSpan w:val="3"/>
          </w:tcPr>
          <w:p>
            <w:pPr>
              <w:ind w:left="800"/>
              <w:spacing w:after="0"/>
              <w:rPr>
                <w:sz w:val="20"/>
                <w:szCs w:val="20"/>
                <w:color w:val="auto"/>
              </w:rPr>
            </w:pPr>
            <w:r>
              <w:rPr>
                <w:rFonts w:ascii="Arial" w:cs="Arial" w:eastAsia="Arial" w:hAnsi="Arial"/>
                <w:sz w:val="18"/>
                <w:szCs w:val="18"/>
                <w:color w:val="auto"/>
                <w:w w:val="91"/>
              </w:rPr>
              <w:t>At any time before September 14, 2052 (six months before the maturity date) at the greater of: (1)</w:t>
            </w:r>
          </w:p>
        </w:tc>
      </w:tr>
      <w:tr>
        <w:trPr>
          <w:trHeight w:val="216"/>
        </w:trPr>
        <w:tc>
          <w:tcPr>
            <w:tcW w:w="3060" w:type="dxa"/>
            <w:vAlign w:val="bottom"/>
          </w:tcPr>
          <w:p>
            <w:pPr>
              <w:spacing w:after="0"/>
              <w:rPr>
                <w:sz w:val="18"/>
                <w:szCs w:val="18"/>
                <w:color w:val="auto"/>
              </w:rPr>
            </w:pPr>
          </w:p>
        </w:tc>
        <w:tc>
          <w:tcPr>
            <w:tcW w:w="7940" w:type="dxa"/>
            <w:vAlign w:val="bottom"/>
            <w:gridSpan w:val="3"/>
          </w:tcPr>
          <w:p>
            <w:pPr>
              <w:ind w:left="800"/>
              <w:spacing w:after="0"/>
              <w:rPr>
                <w:sz w:val="20"/>
                <w:szCs w:val="20"/>
                <w:color w:val="auto"/>
              </w:rPr>
            </w:pPr>
            <w:r>
              <w:rPr>
                <w:rFonts w:ascii="Arial" w:cs="Arial" w:eastAsia="Arial" w:hAnsi="Arial"/>
                <w:sz w:val="18"/>
                <w:szCs w:val="18"/>
                <w:color w:val="auto"/>
                <w:w w:val="93"/>
              </w:rPr>
              <w:t>(a) the sum of the present values of the remaining scheduled payments of principal and interest</w:t>
            </w:r>
          </w:p>
        </w:tc>
      </w:tr>
      <w:tr>
        <w:trPr>
          <w:trHeight w:val="216"/>
        </w:trPr>
        <w:tc>
          <w:tcPr>
            <w:tcW w:w="3060" w:type="dxa"/>
            <w:vAlign w:val="bottom"/>
          </w:tcPr>
          <w:p>
            <w:pPr>
              <w:spacing w:after="0"/>
              <w:rPr>
                <w:sz w:val="18"/>
                <w:szCs w:val="18"/>
                <w:color w:val="auto"/>
              </w:rPr>
            </w:pPr>
          </w:p>
        </w:tc>
        <w:tc>
          <w:tcPr>
            <w:tcW w:w="7940" w:type="dxa"/>
            <w:vAlign w:val="bottom"/>
            <w:gridSpan w:val="3"/>
          </w:tcPr>
          <w:p>
            <w:pPr>
              <w:ind w:left="800"/>
              <w:spacing w:after="0"/>
              <w:rPr>
                <w:sz w:val="20"/>
                <w:szCs w:val="20"/>
                <w:color w:val="auto"/>
              </w:rPr>
            </w:pPr>
            <w:r>
              <w:rPr>
                <w:rFonts w:ascii="Arial" w:cs="Arial" w:eastAsia="Arial" w:hAnsi="Arial"/>
                <w:sz w:val="18"/>
                <w:szCs w:val="18"/>
                <w:color w:val="auto"/>
                <w:w w:val="91"/>
              </w:rPr>
              <w:t>thereon discounted to the redemption date (assuming the Notes matured on September 14, 2052)</w:t>
            </w:r>
          </w:p>
        </w:tc>
      </w:tr>
      <w:tr>
        <w:trPr>
          <w:trHeight w:val="216"/>
        </w:trPr>
        <w:tc>
          <w:tcPr>
            <w:tcW w:w="3060" w:type="dxa"/>
            <w:vAlign w:val="bottom"/>
          </w:tcPr>
          <w:p>
            <w:pPr>
              <w:spacing w:after="0"/>
              <w:rPr>
                <w:sz w:val="18"/>
                <w:szCs w:val="18"/>
                <w:color w:val="auto"/>
              </w:rPr>
            </w:pPr>
          </w:p>
        </w:tc>
        <w:tc>
          <w:tcPr>
            <w:tcW w:w="7940" w:type="dxa"/>
            <w:vAlign w:val="bottom"/>
            <w:gridSpan w:val="3"/>
          </w:tcPr>
          <w:p>
            <w:pPr>
              <w:ind w:left="800"/>
              <w:spacing w:after="0"/>
              <w:rPr>
                <w:sz w:val="20"/>
                <w:szCs w:val="20"/>
                <w:color w:val="auto"/>
              </w:rPr>
            </w:pPr>
            <w:r>
              <w:rPr>
                <w:rFonts w:ascii="Arial" w:cs="Arial" w:eastAsia="Arial" w:hAnsi="Arial"/>
                <w:sz w:val="18"/>
                <w:szCs w:val="18"/>
                <w:color w:val="auto"/>
                <w:w w:val="96"/>
              </w:rPr>
              <w:t>on a semi-annual basis (assuming a 360-day year consisting of twelve 30-day months) at the</w:t>
            </w:r>
          </w:p>
        </w:tc>
      </w:tr>
      <w:tr>
        <w:trPr>
          <w:trHeight w:val="216"/>
        </w:trPr>
        <w:tc>
          <w:tcPr>
            <w:tcW w:w="3060" w:type="dxa"/>
            <w:vAlign w:val="bottom"/>
          </w:tcPr>
          <w:p>
            <w:pPr>
              <w:spacing w:after="0"/>
              <w:rPr>
                <w:sz w:val="18"/>
                <w:szCs w:val="18"/>
                <w:color w:val="auto"/>
              </w:rPr>
            </w:pPr>
          </w:p>
        </w:tc>
        <w:tc>
          <w:tcPr>
            <w:tcW w:w="7940" w:type="dxa"/>
            <w:vAlign w:val="bottom"/>
            <w:gridSpan w:val="3"/>
          </w:tcPr>
          <w:p>
            <w:pPr>
              <w:ind w:left="800"/>
              <w:spacing w:after="0"/>
              <w:rPr>
                <w:sz w:val="20"/>
                <w:szCs w:val="20"/>
                <w:color w:val="auto"/>
              </w:rPr>
            </w:pPr>
            <w:r>
              <w:rPr>
                <w:rFonts w:ascii="Arial" w:cs="Arial" w:eastAsia="Arial" w:hAnsi="Arial"/>
                <w:sz w:val="18"/>
                <w:szCs w:val="18"/>
                <w:color w:val="auto"/>
                <w:w w:val="89"/>
              </w:rPr>
              <w:t>Treasury Rate plus 20 basis points less (b) interest accrued to the date of redemption, and (2) 100%</w:t>
            </w:r>
          </w:p>
        </w:tc>
      </w:tr>
      <w:tr>
        <w:trPr>
          <w:trHeight w:val="216"/>
        </w:trPr>
        <w:tc>
          <w:tcPr>
            <w:tcW w:w="3060" w:type="dxa"/>
            <w:vAlign w:val="bottom"/>
          </w:tcPr>
          <w:p>
            <w:pPr>
              <w:spacing w:after="0"/>
              <w:rPr>
                <w:sz w:val="18"/>
                <w:szCs w:val="18"/>
                <w:color w:val="auto"/>
              </w:rPr>
            </w:pPr>
          </w:p>
        </w:tc>
        <w:tc>
          <w:tcPr>
            <w:tcW w:w="7940" w:type="dxa"/>
            <w:vAlign w:val="bottom"/>
            <w:gridSpan w:val="3"/>
          </w:tcPr>
          <w:p>
            <w:pPr>
              <w:ind w:left="800"/>
              <w:spacing w:after="0"/>
              <w:rPr>
                <w:sz w:val="20"/>
                <w:szCs w:val="20"/>
                <w:color w:val="auto"/>
              </w:rPr>
            </w:pPr>
            <w:r>
              <w:rPr>
                <w:rFonts w:ascii="Arial" w:cs="Arial" w:eastAsia="Arial" w:hAnsi="Arial"/>
                <w:sz w:val="18"/>
                <w:szCs w:val="18"/>
                <w:color w:val="auto"/>
                <w:w w:val="95"/>
              </w:rPr>
              <w:t>of the principal amount of the Notes to be redeemed, plus, in either case, accrued and unpaid</w:t>
            </w:r>
          </w:p>
        </w:tc>
      </w:tr>
      <w:tr>
        <w:trPr>
          <w:trHeight w:val="230"/>
        </w:trPr>
        <w:tc>
          <w:tcPr>
            <w:tcW w:w="3060" w:type="dxa"/>
            <w:vAlign w:val="bottom"/>
          </w:tcPr>
          <w:p>
            <w:pPr>
              <w:spacing w:after="0"/>
              <w:rPr>
                <w:sz w:val="20"/>
                <w:szCs w:val="20"/>
                <w:color w:val="auto"/>
              </w:rPr>
            </w:pPr>
          </w:p>
        </w:tc>
        <w:tc>
          <w:tcPr>
            <w:tcW w:w="7940" w:type="dxa"/>
            <w:vAlign w:val="bottom"/>
            <w:gridSpan w:val="3"/>
          </w:tcPr>
          <w:p>
            <w:pPr>
              <w:ind w:left="800"/>
              <w:spacing w:after="0"/>
              <w:rPr>
                <w:sz w:val="20"/>
                <w:szCs w:val="20"/>
                <w:color w:val="auto"/>
              </w:rPr>
            </w:pPr>
            <w:r>
              <w:rPr>
                <w:rFonts w:ascii="Arial" w:cs="Arial" w:eastAsia="Arial" w:hAnsi="Arial"/>
                <w:sz w:val="18"/>
                <w:szCs w:val="18"/>
                <w:color w:val="auto"/>
              </w:rPr>
              <w:t>interest thereon to the redemption date.</w:t>
            </w:r>
          </w:p>
        </w:tc>
      </w:tr>
      <w:tr>
        <w:trPr>
          <w:trHeight w:val="310"/>
        </w:trPr>
        <w:tc>
          <w:tcPr>
            <w:tcW w:w="3060" w:type="dxa"/>
            <w:vAlign w:val="bottom"/>
          </w:tcPr>
          <w:p>
            <w:pPr>
              <w:spacing w:after="0"/>
              <w:rPr>
                <w:sz w:val="20"/>
                <w:szCs w:val="20"/>
                <w:color w:val="auto"/>
              </w:rPr>
            </w:pPr>
            <w:r>
              <w:rPr>
                <w:rFonts w:ascii="Arial" w:cs="Arial" w:eastAsia="Arial" w:hAnsi="Arial"/>
                <w:sz w:val="18"/>
                <w:szCs w:val="18"/>
                <w:color w:val="auto"/>
              </w:rPr>
              <w:t>Par Call:</w:t>
            </w:r>
          </w:p>
        </w:tc>
        <w:tc>
          <w:tcPr>
            <w:tcW w:w="7940" w:type="dxa"/>
            <w:vAlign w:val="bottom"/>
            <w:gridSpan w:val="3"/>
          </w:tcPr>
          <w:p>
            <w:pPr>
              <w:ind w:left="800"/>
              <w:spacing w:after="0"/>
              <w:rPr>
                <w:sz w:val="20"/>
                <w:szCs w:val="20"/>
                <w:color w:val="auto"/>
              </w:rPr>
            </w:pPr>
            <w:r>
              <w:rPr>
                <w:rFonts w:ascii="Arial" w:cs="Arial" w:eastAsia="Arial" w:hAnsi="Arial"/>
                <w:sz w:val="18"/>
                <w:szCs w:val="18"/>
                <w:color w:val="auto"/>
                <w:w w:val="93"/>
              </w:rPr>
              <w:t>At any time on or after September 14, 2052 (six months before the maturity date) at 100% of the</w:t>
            </w:r>
          </w:p>
        </w:tc>
      </w:tr>
      <w:tr>
        <w:trPr>
          <w:trHeight w:val="216"/>
        </w:trPr>
        <w:tc>
          <w:tcPr>
            <w:tcW w:w="3060" w:type="dxa"/>
            <w:vAlign w:val="bottom"/>
          </w:tcPr>
          <w:p>
            <w:pPr>
              <w:spacing w:after="0"/>
              <w:rPr>
                <w:sz w:val="18"/>
                <w:szCs w:val="18"/>
                <w:color w:val="auto"/>
              </w:rPr>
            </w:pPr>
          </w:p>
        </w:tc>
        <w:tc>
          <w:tcPr>
            <w:tcW w:w="7940" w:type="dxa"/>
            <w:vAlign w:val="bottom"/>
            <w:gridSpan w:val="3"/>
          </w:tcPr>
          <w:p>
            <w:pPr>
              <w:ind w:left="800"/>
              <w:spacing w:after="0"/>
              <w:rPr>
                <w:sz w:val="20"/>
                <w:szCs w:val="20"/>
                <w:color w:val="auto"/>
              </w:rPr>
            </w:pPr>
            <w:r>
              <w:rPr>
                <w:rFonts w:ascii="Arial" w:cs="Arial" w:eastAsia="Arial" w:hAnsi="Arial"/>
                <w:sz w:val="18"/>
                <w:szCs w:val="18"/>
                <w:color w:val="auto"/>
                <w:w w:val="99"/>
              </w:rPr>
              <w:t>principal amount of notes being redeemed plus accrued and unpaid interest thereon to the</w:t>
            </w:r>
          </w:p>
        </w:tc>
      </w:tr>
      <w:tr>
        <w:trPr>
          <w:trHeight w:val="230"/>
        </w:trPr>
        <w:tc>
          <w:tcPr>
            <w:tcW w:w="3060" w:type="dxa"/>
            <w:vAlign w:val="bottom"/>
          </w:tcPr>
          <w:p>
            <w:pPr>
              <w:spacing w:after="0"/>
              <w:rPr>
                <w:sz w:val="20"/>
                <w:szCs w:val="20"/>
                <w:color w:val="auto"/>
              </w:rPr>
            </w:pPr>
          </w:p>
        </w:tc>
        <w:tc>
          <w:tcPr>
            <w:tcW w:w="7940" w:type="dxa"/>
            <w:vAlign w:val="bottom"/>
            <w:gridSpan w:val="3"/>
          </w:tcPr>
          <w:p>
            <w:pPr>
              <w:ind w:left="800"/>
              <w:spacing w:after="0"/>
              <w:rPr>
                <w:sz w:val="20"/>
                <w:szCs w:val="20"/>
                <w:color w:val="auto"/>
              </w:rPr>
            </w:pPr>
            <w:r>
              <w:rPr>
                <w:rFonts w:ascii="Arial" w:cs="Arial" w:eastAsia="Arial" w:hAnsi="Arial"/>
                <w:sz w:val="18"/>
                <w:szCs w:val="18"/>
                <w:color w:val="auto"/>
              </w:rPr>
              <w:t>redemption date.</w:t>
            </w:r>
          </w:p>
        </w:tc>
      </w:tr>
      <w:tr>
        <w:trPr>
          <w:trHeight w:val="324"/>
        </w:trPr>
        <w:tc>
          <w:tcPr>
            <w:tcW w:w="3060" w:type="dxa"/>
            <w:vAlign w:val="bottom"/>
          </w:tcPr>
          <w:p>
            <w:pPr>
              <w:spacing w:after="0"/>
              <w:rPr>
                <w:sz w:val="20"/>
                <w:szCs w:val="20"/>
                <w:color w:val="auto"/>
              </w:rPr>
            </w:pPr>
            <w:r>
              <w:rPr>
                <w:rFonts w:ascii="Arial" w:cs="Arial" w:eastAsia="Arial" w:hAnsi="Arial"/>
                <w:sz w:val="18"/>
                <w:szCs w:val="18"/>
                <w:color w:val="auto"/>
              </w:rPr>
              <w:t>Trade Date:</w:t>
            </w:r>
          </w:p>
        </w:tc>
        <w:tc>
          <w:tcPr>
            <w:tcW w:w="7940" w:type="dxa"/>
            <w:vAlign w:val="bottom"/>
            <w:gridSpan w:val="3"/>
          </w:tcPr>
          <w:p>
            <w:pPr>
              <w:ind w:left="800"/>
              <w:spacing w:after="0"/>
              <w:rPr>
                <w:sz w:val="20"/>
                <w:szCs w:val="20"/>
                <w:color w:val="auto"/>
              </w:rPr>
            </w:pPr>
            <w:r>
              <w:rPr>
                <w:rFonts w:ascii="Arial" w:cs="Arial" w:eastAsia="Arial" w:hAnsi="Arial"/>
                <w:sz w:val="18"/>
                <w:szCs w:val="18"/>
                <w:color w:val="auto"/>
              </w:rPr>
              <w:t>March 7, 2023</w:t>
            </w:r>
          </w:p>
        </w:tc>
      </w:tr>
      <w:tr>
        <w:trPr>
          <w:trHeight w:val="324"/>
        </w:trPr>
        <w:tc>
          <w:tcPr>
            <w:tcW w:w="3060" w:type="dxa"/>
            <w:vAlign w:val="bottom"/>
          </w:tcPr>
          <w:p>
            <w:pPr>
              <w:spacing w:after="0"/>
              <w:rPr>
                <w:sz w:val="20"/>
                <w:szCs w:val="20"/>
                <w:color w:val="auto"/>
              </w:rPr>
            </w:pPr>
            <w:r>
              <w:rPr>
                <w:rFonts w:ascii="Arial" w:cs="Arial" w:eastAsia="Arial" w:hAnsi="Arial"/>
                <w:sz w:val="18"/>
                <w:szCs w:val="18"/>
                <w:color w:val="auto"/>
              </w:rPr>
              <w:t>Settlement Date:</w:t>
            </w:r>
          </w:p>
        </w:tc>
        <w:tc>
          <w:tcPr>
            <w:tcW w:w="7940" w:type="dxa"/>
            <w:vAlign w:val="bottom"/>
            <w:gridSpan w:val="3"/>
          </w:tcPr>
          <w:p>
            <w:pPr>
              <w:ind w:left="800"/>
              <w:spacing w:after="0"/>
              <w:rPr>
                <w:sz w:val="20"/>
                <w:szCs w:val="20"/>
                <w:color w:val="auto"/>
              </w:rPr>
            </w:pPr>
            <w:r>
              <w:rPr>
                <w:rFonts w:ascii="Arial" w:cs="Arial" w:eastAsia="Arial" w:hAnsi="Arial"/>
                <w:sz w:val="18"/>
                <w:szCs w:val="18"/>
                <w:color w:val="auto"/>
              </w:rPr>
              <w:t>March 14, 2023 (T+5)</w:t>
            </w:r>
          </w:p>
        </w:tc>
      </w:tr>
      <w:tr>
        <w:trPr>
          <w:trHeight w:val="324"/>
        </w:trPr>
        <w:tc>
          <w:tcPr>
            <w:tcW w:w="3060" w:type="dxa"/>
            <w:vAlign w:val="bottom"/>
          </w:tcPr>
          <w:p>
            <w:pPr>
              <w:spacing w:after="0"/>
              <w:rPr>
                <w:sz w:val="20"/>
                <w:szCs w:val="20"/>
                <w:color w:val="auto"/>
              </w:rPr>
            </w:pPr>
            <w:r>
              <w:rPr>
                <w:rFonts w:ascii="Arial" w:cs="Arial" w:eastAsia="Arial" w:hAnsi="Arial"/>
                <w:sz w:val="18"/>
                <w:szCs w:val="18"/>
                <w:color w:val="auto"/>
              </w:rPr>
              <w:t>Denominations:</w:t>
            </w:r>
          </w:p>
        </w:tc>
        <w:tc>
          <w:tcPr>
            <w:tcW w:w="7940" w:type="dxa"/>
            <w:vAlign w:val="bottom"/>
            <w:gridSpan w:val="3"/>
          </w:tcPr>
          <w:p>
            <w:pPr>
              <w:ind w:left="800"/>
              <w:spacing w:after="0"/>
              <w:rPr>
                <w:sz w:val="20"/>
                <w:szCs w:val="20"/>
                <w:color w:val="auto"/>
              </w:rPr>
            </w:pPr>
            <w:r>
              <w:rPr>
                <w:rFonts w:ascii="Arial" w:cs="Arial" w:eastAsia="Arial" w:hAnsi="Arial"/>
                <w:sz w:val="18"/>
                <w:szCs w:val="18"/>
                <w:color w:val="auto"/>
              </w:rPr>
              <w:t>$2,000 and multiples of $1,000 thereafter</w:t>
            </w:r>
          </w:p>
        </w:tc>
      </w:tr>
      <w:tr>
        <w:trPr>
          <w:trHeight w:val="324"/>
        </w:trPr>
        <w:tc>
          <w:tcPr>
            <w:tcW w:w="3060" w:type="dxa"/>
            <w:vAlign w:val="bottom"/>
          </w:tcPr>
          <w:p>
            <w:pPr>
              <w:spacing w:after="0"/>
              <w:rPr>
                <w:sz w:val="20"/>
                <w:szCs w:val="20"/>
                <w:color w:val="auto"/>
              </w:rPr>
            </w:pPr>
            <w:r>
              <w:rPr>
                <w:rFonts w:ascii="Arial" w:cs="Arial" w:eastAsia="Arial" w:hAnsi="Arial"/>
                <w:sz w:val="18"/>
                <w:szCs w:val="18"/>
                <w:color w:val="auto"/>
              </w:rPr>
              <w:t>CUSIP/ISIN:</w:t>
            </w:r>
          </w:p>
        </w:tc>
        <w:tc>
          <w:tcPr>
            <w:tcW w:w="7940" w:type="dxa"/>
            <w:vAlign w:val="bottom"/>
            <w:gridSpan w:val="3"/>
          </w:tcPr>
          <w:p>
            <w:pPr>
              <w:ind w:left="800"/>
              <w:spacing w:after="0"/>
              <w:rPr>
                <w:sz w:val="20"/>
                <w:szCs w:val="20"/>
                <w:color w:val="auto"/>
              </w:rPr>
            </w:pPr>
            <w:r>
              <w:rPr>
                <w:rFonts w:ascii="Arial" w:cs="Arial" w:eastAsia="Arial" w:hAnsi="Arial"/>
                <w:sz w:val="18"/>
                <w:szCs w:val="18"/>
                <w:color w:val="auto"/>
              </w:rPr>
              <w:t>882508CC6/US882508CC69</w:t>
            </w:r>
          </w:p>
        </w:tc>
      </w:tr>
      <w:tr>
        <w:trPr>
          <w:trHeight w:val="608"/>
        </w:trPr>
        <w:tc>
          <w:tcPr>
            <w:tcW w:w="30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6160" w:type="dxa"/>
            <w:vAlign w:val="bottom"/>
            <w:gridSpan w:val="2"/>
          </w:tcPr>
          <w:p>
            <w:pPr>
              <w:spacing w:after="0"/>
              <w:rPr>
                <w:sz w:val="20"/>
                <w:szCs w:val="20"/>
                <w:color w:val="auto"/>
              </w:rPr>
            </w:pPr>
            <w:r>
              <w:rPr>
                <w:rFonts w:ascii="Arial" w:cs="Arial" w:eastAsia="Arial" w:hAnsi="Arial"/>
                <w:sz w:val="18"/>
                <w:szCs w:val="18"/>
                <w:color w:val="auto"/>
              </w:rPr>
              <w:t>Other Information</w:t>
            </w:r>
          </w:p>
        </w:tc>
      </w:tr>
      <w:tr>
        <w:trPr>
          <w:trHeight w:val="20"/>
        </w:trPr>
        <w:tc>
          <w:tcPr>
            <w:tcW w:w="30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r>
      <w:tr>
        <w:trPr>
          <w:trHeight w:val="330"/>
        </w:trPr>
        <w:tc>
          <w:tcPr>
            <w:tcW w:w="3060" w:type="dxa"/>
            <w:vAlign w:val="bottom"/>
          </w:tcPr>
          <w:p>
            <w:pPr>
              <w:spacing w:after="0"/>
              <w:rPr>
                <w:sz w:val="20"/>
                <w:szCs w:val="20"/>
                <w:color w:val="auto"/>
              </w:rPr>
            </w:pPr>
            <w:r>
              <w:rPr>
                <w:rFonts w:ascii="Arial" w:cs="Arial" w:eastAsia="Arial" w:hAnsi="Arial"/>
                <w:sz w:val="18"/>
                <w:szCs w:val="18"/>
                <w:color w:val="auto"/>
              </w:rPr>
              <w:t>Ratings:*</w:t>
            </w:r>
          </w:p>
        </w:tc>
        <w:tc>
          <w:tcPr>
            <w:tcW w:w="7940" w:type="dxa"/>
            <w:vAlign w:val="bottom"/>
            <w:gridSpan w:val="3"/>
          </w:tcPr>
          <w:p>
            <w:pPr>
              <w:ind w:left="800"/>
              <w:spacing w:after="0"/>
              <w:rPr>
                <w:sz w:val="20"/>
                <w:szCs w:val="20"/>
                <w:color w:val="auto"/>
              </w:rPr>
            </w:pPr>
            <w:r>
              <w:rPr>
                <w:rFonts w:ascii="Arial" w:cs="Arial" w:eastAsia="Arial" w:hAnsi="Arial"/>
                <w:sz w:val="18"/>
                <w:szCs w:val="18"/>
                <w:color w:val="auto"/>
              </w:rPr>
              <w:t>Moody’s: Aa3 (stable outlook)</w:t>
            </w:r>
          </w:p>
        </w:tc>
      </w:tr>
      <w:tr>
        <w:trPr>
          <w:trHeight w:val="230"/>
        </w:trPr>
        <w:tc>
          <w:tcPr>
            <w:tcW w:w="3060" w:type="dxa"/>
            <w:vAlign w:val="bottom"/>
          </w:tcPr>
          <w:p>
            <w:pPr>
              <w:spacing w:after="0"/>
              <w:rPr>
                <w:sz w:val="20"/>
                <w:szCs w:val="20"/>
                <w:color w:val="auto"/>
              </w:rPr>
            </w:pPr>
          </w:p>
        </w:tc>
        <w:tc>
          <w:tcPr>
            <w:tcW w:w="7940" w:type="dxa"/>
            <w:vAlign w:val="bottom"/>
            <w:gridSpan w:val="3"/>
          </w:tcPr>
          <w:p>
            <w:pPr>
              <w:ind w:left="800"/>
              <w:spacing w:after="0"/>
              <w:rPr>
                <w:sz w:val="20"/>
                <w:szCs w:val="20"/>
                <w:color w:val="auto"/>
              </w:rPr>
            </w:pPr>
            <w:r>
              <w:rPr>
                <w:rFonts w:ascii="Arial" w:cs="Arial" w:eastAsia="Arial" w:hAnsi="Arial"/>
                <w:sz w:val="18"/>
                <w:szCs w:val="18"/>
                <w:color w:val="auto"/>
              </w:rPr>
              <w:t>S&amp;P: A+ (stable outlook)</w:t>
            </w:r>
          </w:p>
        </w:tc>
      </w:tr>
      <w:tr>
        <w:trPr>
          <w:trHeight w:val="310"/>
        </w:trPr>
        <w:tc>
          <w:tcPr>
            <w:tcW w:w="3060" w:type="dxa"/>
            <w:vAlign w:val="bottom"/>
          </w:tcPr>
          <w:p>
            <w:pPr>
              <w:spacing w:after="0"/>
              <w:rPr>
                <w:sz w:val="20"/>
                <w:szCs w:val="20"/>
                <w:color w:val="auto"/>
              </w:rPr>
            </w:pPr>
            <w:r>
              <w:rPr>
                <w:rFonts w:ascii="Arial" w:cs="Arial" w:eastAsia="Arial" w:hAnsi="Arial"/>
                <w:sz w:val="18"/>
                <w:szCs w:val="18"/>
                <w:color w:val="auto"/>
              </w:rPr>
              <w:t>Joint Book-Running Managers:</w:t>
            </w:r>
          </w:p>
        </w:tc>
        <w:tc>
          <w:tcPr>
            <w:tcW w:w="7940" w:type="dxa"/>
            <w:vAlign w:val="bottom"/>
            <w:gridSpan w:val="3"/>
          </w:tcPr>
          <w:p>
            <w:pPr>
              <w:ind w:left="800"/>
              <w:spacing w:after="0"/>
              <w:rPr>
                <w:sz w:val="20"/>
                <w:szCs w:val="20"/>
                <w:color w:val="auto"/>
              </w:rPr>
            </w:pPr>
            <w:r>
              <w:rPr>
                <w:rFonts w:ascii="Arial" w:cs="Arial" w:eastAsia="Arial" w:hAnsi="Arial"/>
                <w:sz w:val="18"/>
                <w:szCs w:val="18"/>
                <w:color w:val="auto"/>
              </w:rPr>
              <w:t>Barclays Capital Inc.</w:t>
            </w:r>
          </w:p>
        </w:tc>
      </w:tr>
      <w:tr>
        <w:trPr>
          <w:trHeight w:val="216"/>
        </w:trPr>
        <w:tc>
          <w:tcPr>
            <w:tcW w:w="3060" w:type="dxa"/>
            <w:vAlign w:val="bottom"/>
          </w:tcPr>
          <w:p>
            <w:pPr>
              <w:spacing w:after="0"/>
              <w:rPr>
                <w:sz w:val="18"/>
                <w:szCs w:val="18"/>
                <w:color w:val="auto"/>
              </w:rPr>
            </w:pPr>
          </w:p>
        </w:tc>
        <w:tc>
          <w:tcPr>
            <w:tcW w:w="7940" w:type="dxa"/>
            <w:vAlign w:val="bottom"/>
            <w:gridSpan w:val="3"/>
          </w:tcPr>
          <w:p>
            <w:pPr>
              <w:ind w:left="800"/>
              <w:spacing w:after="0"/>
              <w:rPr>
                <w:sz w:val="20"/>
                <w:szCs w:val="20"/>
                <w:color w:val="auto"/>
              </w:rPr>
            </w:pPr>
            <w:r>
              <w:rPr>
                <w:rFonts w:ascii="Arial" w:cs="Arial" w:eastAsia="Arial" w:hAnsi="Arial"/>
                <w:sz w:val="18"/>
                <w:szCs w:val="18"/>
                <w:color w:val="auto"/>
              </w:rPr>
              <w:t>BofA Securities, Inc.</w:t>
            </w:r>
          </w:p>
        </w:tc>
      </w:tr>
      <w:tr>
        <w:trPr>
          <w:trHeight w:val="230"/>
        </w:trPr>
        <w:tc>
          <w:tcPr>
            <w:tcW w:w="3060" w:type="dxa"/>
            <w:vAlign w:val="bottom"/>
          </w:tcPr>
          <w:p>
            <w:pPr>
              <w:spacing w:after="0"/>
              <w:rPr>
                <w:sz w:val="20"/>
                <w:szCs w:val="20"/>
                <w:color w:val="auto"/>
              </w:rPr>
            </w:pPr>
          </w:p>
        </w:tc>
        <w:tc>
          <w:tcPr>
            <w:tcW w:w="7940" w:type="dxa"/>
            <w:vAlign w:val="bottom"/>
            <w:gridSpan w:val="3"/>
          </w:tcPr>
          <w:p>
            <w:pPr>
              <w:ind w:left="800"/>
              <w:spacing w:after="0"/>
              <w:rPr>
                <w:sz w:val="20"/>
                <w:szCs w:val="20"/>
                <w:color w:val="auto"/>
              </w:rPr>
            </w:pPr>
            <w:r>
              <w:rPr>
                <w:rFonts w:ascii="Arial" w:cs="Arial" w:eastAsia="Arial" w:hAnsi="Arial"/>
                <w:sz w:val="18"/>
                <w:szCs w:val="18"/>
                <w:color w:val="auto"/>
              </w:rPr>
              <w:t>MUFG Securities Americas Inc.</w:t>
            </w:r>
          </w:p>
        </w:tc>
      </w:tr>
      <w:tr>
        <w:trPr>
          <w:trHeight w:val="378"/>
        </w:trPr>
        <w:tc>
          <w:tcPr>
            <w:tcW w:w="3060" w:type="dxa"/>
            <w:vAlign w:val="bottom"/>
          </w:tcPr>
          <w:p>
            <w:pPr>
              <w:spacing w:after="0"/>
              <w:rPr>
                <w:sz w:val="24"/>
                <w:szCs w:val="24"/>
                <w:color w:val="auto"/>
              </w:rPr>
            </w:pPr>
          </w:p>
        </w:tc>
        <w:tc>
          <w:tcPr>
            <w:tcW w:w="3100" w:type="dxa"/>
            <w:vAlign w:val="bottom"/>
            <w:gridSpan w:val="2"/>
          </w:tcPr>
          <w:p>
            <w:pPr>
              <w:ind w:left="2400"/>
              <w:spacing w:after="0"/>
              <w:rPr>
                <w:sz w:val="20"/>
                <w:szCs w:val="20"/>
                <w:color w:val="auto"/>
              </w:rPr>
            </w:pPr>
            <w:r>
              <w:rPr>
                <w:rFonts w:ascii="Arial" w:cs="Arial" w:eastAsia="Arial" w:hAnsi="Arial"/>
                <w:sz w:val="18"/>
                <w:szCs w:val="18"/>
                <w:color w:val="auto"/>
              </w:rPr>
              <w:t>3</w:t>
            </w:r>
          </w:p>
        </w:tc>
        <w:tc>
          <w:tcPr>
            <w:tcW w:w="484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000"/>
          </w:cols>
          <w:pgMar w:left="440" w:top="382" w:right="45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3" w:name="page4"/>
    <w:bookmarkEnd w:id="3"/>
    <w:p>
      <w:pPr>
        <w:ind w:left="424" w:hanging="424"/>
        <w:spacing w:after="0"/>
        <w:tabs>
          <w:tab w:leader="none" w:pos="424" w:val="left"/>
        </w:tabs>
        <w:numPr>
          <w:ilvl w:val="0"/>
          <w:numId w:val="1"/>
        </w:numPr>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 securities rating is not a recommendation to buy, sell or hold securities and may be subject to revision or withdrawal at any time.</w:t>
      </w:r>
    </w:p>
    <w:p>
      <w:pPr>
        <w:spacing w:after="0" w:line="248" w:lineRule="exact"/>
        <w:rPr>
          <w:sz w:val="20"/>
          <w:szCs w:val="20"/>
          <w:color w:val="auto"/>
        </w:rPr>
      </w:pPr>
    </w:p>
    <w:p>
      <w:pPr>
        <w:ind w:left="4"/>
        <w:spacing w:after="0" w:line="273" w:lineRule="auto"/>
        <w:rPr>
          <w:sz w:val="20"/>
          <w:szCs w:val="20"/>
          <w:color w:val="auto"/>
        </w:rPr>
      </w:pPr>
      <w:r>
        <w:rPr>
          <w:rFonts w:ascii="Arial" w:cs="Arial" w:eastAsia="Arial" w:hAnsi="Arial"/>
          <w:sz w:val="17"/>
          <w:szCs w:val="17"/>
          <w:b w:val="1"/>
          <w:bCs w:val="1"/>
          <w:color w:val="auto"/>
        </w:rPr>
        <w:t>It is expected that delivery of the notes will be made against payment therefore on or about March 14, 2023, which is the fifth business day following the date hereof (such settlement cycle being referred to as “T+5”). Under Rule 15c6-1 under the Securities Exchange Act of 1934, as amended, trades in the secondary market generally are required to settle in two business days unless the parties to any such trade expressly agree otherwise. Accordingly, purchasers who wish to trade the notes prior to the second business day before the delivery of the notes will be required, by virtue of the fact that the notes initially will settle in T+5, to specify an alternative settlement cycle at the time of any such trade to prevent failed settlement. Purchasers of the notes who wish to trade the notes prior to the second business day before the delivery of the notes should consult their own advisors.</w:t>
      </w:r>
    </w:p>
    <w:p>
      <w:pPr>
        <w:spacing w:after="0" w:line="172" w:lineRule="exact"/>
        <w:rPr>
          <w:sz w:val="20"/>
          <w:szCs w:val="20"/>
          <w:color w:val="auto"/>
        </w:rPr>
      </w:pPr>
    </w:p>
    <w:p>
      <w:pPr>
        <w:ind w:left="4"/>
        <w:spacing w:after="0" w:line="255" w:lineRule="auto"/>
        <w:rPr>
          <w:sz w:val="20"/>
          <w:szCs w:val="20"/>
          <w:color w:val="auto"/>
        </w:rPr>
      </w:pPr>
      <w:r>
        <w:rPr>
          <w:rFonts w:ascii="Arial" w:cs="Arial" w:eastAsia="Arial" w:hAnsi="Arial"/>
          <w:sz w:val="18"/>
          <w:szCs w:val="18"/>
          <w:b w:val="1"/>
          <w:bCs w:val="1"/>
          <w:color w:val="auto"/>
        </w:rPr>
        <w:t>The issuer has filed a registration statement (including a prospectus) and a prospectus supplement with the Securities and Exchange Commission (“SEC”) for the offering to which this communication relates. Before you invest, you should read the prospectus in that registration statement, the prospectus supplement and other documents the issuer has filed with the SEC for more complete information about the issuer and this offering. You may get these documents for free by visiting EDGAR on the SEC Web site at www.sec.gov. Alternatively, the issuer, any underwriter or any dealer participating in the offering will arrange to send you the prospectus and prospectus supplement if you request it by calling Barclays Capital Inc. at (888) 603-5847, BofA Securities, Inc. at 1-800-294-1322 (toll-free) or MUFG Securities Americas Inc. at 1-877-649-6848.</w:t>
      </w:r>
    </w:p>
    <w:p>
      <w:pPr>
        <w:spacing w:after="0" w:line="189" w:lineRule="exact"/>
        <w:rPr>
          <w:sz w:val="20"/>
          <w:szCs w:val="20"/>
          <w:color w:val="auto"/>
        </w:rPr>
      </w:pPr>
    </w:p>
    <w:p>
      <w:pPr>
        <w:ind w:left="4" w:right="120"/>
        <w:spacing w:after="0" w:line="347" w:lineRule="auto"/>
        <w:rPr>
          <w:sz w:val="20"/>
          <w:szCs w:val="20"/>
          <w:color w:val="auto"/>
        </w:rPr>
      </w:pPr>
      <w:r>
        <w:rPr>
          <w:rFonts w:ascii="Arial" w:cs="Arial" w:eastAsia="Arial" w:hAnsi="Arial"/>
          <w:sz w:val="16"/>
          <w:szCs w:val="16"/>
          <w:b w:val="1"/>
          <w:bCs w:val="1"/>
          <w:color w:val="auto"/>
        </w:rPr>
        <w:t>Any disclaimer or other notice that may appear below is not applicable to this communication and should be disregarded. Such disclaimer or notice was automatically generated as a result of this communication being sent by Bloomberg or another email system.</w:t>
      </w:r>
    </w:p>
    <w:p>
      <w:pPr>
        <w:spacing w:after="0" w:line="52" w:lineRule="exact"/>
        <w:rPr>
          <w:sz w:val="20"/>
          <w:szCs w:val="20"/>
          <w:color w:val="auto"/>
        </w:rPr>
      </w:pPr>
    </w:p>
    <w:p>
      <w:pPr>
        <w:jc w:val="center"/>
        <w:ind w:right="-83"/>
        <w:spacing w:after="0"/>
        <w:rPr>
          <w:sz w:val="20"/>
          <w:szCs w:val="20"/>
          <w:color w:val="auto"/>
        </w:rPr>
      </w:pPr>
      <w:r>
        <w:rPr>
          <w:rFonts w:ascii="Arial" w:cs="Arial" w:eastAsia="Arial" w:hAnsi="Arial"/>
          <w:sz w:val="18"/>
          <w:szCs w:val="18"/>
          <w:color w:val="auto"/>
        </w:rPr>
        <w:t>4</w:t>
      </w:r>
    </w:p>
    <w:sectPr>
      <w:pgSz w:w="11900" w:h="16838" w:orient="portrait"/>
      <w:cols w:equalWidth="0" w:num="1">
        <w:col w:w="10924"/>
      </w:cols>
      <w:pgMar w:left="436" w:top="270"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2023-03-08T05:13:36Z</dcterms:created>
  <dcterms:modified xsi:type="dcterms:W3CDTF">2023-03-08T05:13:36Z</dcterms:modified>
</cp:coreProperties>
</file>